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3C" w:rsidRPr="00A40DBB" w:rsidRDefault="00C3773C" w:rsidP="00C3773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3773C" w:rsidRPr="00A40DBB" w:rsidRDefault="00C3773C" w:rsidP="00C3773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3773C" w:rsidRPr="00A40DBB" w:rsidRDefault="00C3773C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037B3" w:rsidRPr="00A40DBB" w:rsidRDefault="00A40DBB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A71F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7128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D616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037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72/12, 7/14 -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037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37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9037B3" w:rsidRPr="00A40DBB" w:rsidRDefault="009037B3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A40DBB" w:rsidRDefault="00A40DBB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D213C" w:rsidRPr="00A40DBB" w:rsidRDefault="006D213C" w:rsidP="005F4FC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58067D" w:rsidRPr="00A40DBB" w:rsidRDefault="0058067D" w:rsidP="005F4FC2">
      <w:pPr>
        <w:spacing w:after="0" w:line="240" w:lineRule="auto"/>
        <w:jc w:val="both"/>
        <w:rPr>
          <w:noProof/>
          <w:sz w:val="24"/>
          <w:szCs w:val="24"/>
          <w:lang w:val="sr-Latn-CS"/>
        </w:rPr>
      </w:pPr>
    </w:p>
    <w:p w:rsidR="007128C5" w:rsidRPr="00A40DBB" w:rsidRDefault="00A40DBB" w:rsidP="009F27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9F27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76AB2" w:rsidRPr="00A40DBB" w:rsidRDefault="00A40DBB" w:rsidP="00081F0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27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F27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27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9F27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BA71F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BA71F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BA71F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47DEB" w:rsidRPr="00A40DBB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212A7" w:rsidRPr="00A40DBB" w:rsidRDefault="004212A7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color w:val="7030A0"/>
          <w:sz w:val="24"/>
          <w:szCs w:val="24"/>
          <w:lang w:val="sr-Latn-CS"/>
        </w:rPr>
      </w:pPr>
    </w:p>
    <w:p w:rsidR="00AD0842" w:rsidRPr="00A40DBB" w:rsidRDefault="00776AB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FC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5F4FC2" w:rsidRPr="00A40DBB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28C5" w:rsidRPr="00A40DBB" w:rsidRDefault="00A40DBB" w:rsidP="003159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1597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uređivanja</w:t>
      </w:r>
    </w:p>
    <w:p w:rsidR="005F4FC2" w:rsidRPr="00A40DBB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830D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C830D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4277F" w:rsidRPr="00A40DBB" w:rsidRDefault="00A40DBB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F0557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odobrenim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podsticajima</w:t>
      </w:r>
      <w:r w:rsidR="0007634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14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5806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4FC2" w:rsidRPr="00A40DBB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</w:p>
    <w:p w:rsidR="005F4FC2" w:rsidRPr="00A40DBB" w:rsidRDefault="005F4FC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224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92D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F37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66224" w:rsidRPr="00A40DBB" w:rsidRDefault="00A40DBB" w:rsidP="005F4FC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upotrebljeni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483D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42E9C" w:rsidRPr="00A40DBB" w:rsidRDefault="0011149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2E4D1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69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B56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započinjanja</w:t>
      </w:r>
      <w:r w:rsidR="00B56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192D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postojećih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D42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proširenja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procese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1D42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kupljeno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427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direktnom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investicijom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42E9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E0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74277F" w:rsidP="001D428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projekat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čijom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realizacijom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ostvaruje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direktna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investicija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koji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je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opisan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biznis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planu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koji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podnosi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uz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prijavu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dodelu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="00CF59F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podsticaja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</w:t>
      </w:r>
      <w:r w:rsidR="0090596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koji</w:t>
      </w:r>
      <w:r w:rsidR="0090596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obavezno</w:t>
      </w:r>
      <w:r w:rsidR="000233A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sadrži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detaljan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opis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elemenata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direktne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investicije</w:t>
      </w:r>
      <w:r w:rsidR="00874A2C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kao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elemenata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stručnu</w:t>
      </w:r>
      <w:r w:rsidR="005C475B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analizu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investicionog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projekta</w:t>
      </w:r>
      <w:r w:rsidR="00083C1F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874A2C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skladu</w:t>
      </w:r>
      <w:r w:rsidR="00874A2C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</w:t>
      </w:r>
      <w:r w:rsidR="00874A2C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ovom</w:t>
      </w:r>
      <w:r w:rsidR="00874A2C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uredbom</w:t>
      </w:r>
      <w:r w:rsidR="009E0F16" w:rsidRPr="00A40DBB">
        <w:rPr>
          <w:rFonts w:ascii="Times New Roman" w:hAnsi="Times New Roman"/>
          <w:noProof/>
          <w:sz w:val="24"/>
          <w:lang w:val="sr-Latn-CS"/>
        </w:rPr>
        <w:t>;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192D86" w:rsidRPr="00A40DBB" w:rsidRDefault="000233A1" w:rsidP="001D42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domaće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E55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FE42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192D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dodelu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="001F07A8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podsticaja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radi</w:t>
      </w:r>
      <w:r w:rsidR="001F07A8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realizacije</w:t>
      </w:r>
      <w:r w:rsidR="00192D8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0233A1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94B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FE42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E55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5A65B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E1C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E1C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BE1C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FC4E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FC4E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BE1C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61F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1F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C4E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9D555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A65B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D12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1A25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5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A617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srednji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BE4E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bilans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E0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66224" w:rsidRPr="00A40DBB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803C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E662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pogone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mašine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opremu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33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233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233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5F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B5F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83C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B5F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5F9A" w:rsidRPr="00A40DBB">
        <w:rPr>
          <w:rFonts w:ascii="Times New Roman" w:hAnsi="Times New Roman"/>
          <w:noProof/>
          <w:sz w:val="24"/>
          <w:lang w:val="sr-Latn-CS"/>
        </w:rPr>
        <w:t xml:space="preserve">greenfield </w:t>
      </w:r>
      <w:r w:rsidR="00A40DBB">
        <w:rPr>
          <w:rFonts w:ascii="Times New Roman" w:hAnsi="Times New Roman"/>
          <w:noProof/>
          <w:sz w:val="24"/>
          <w:lang w:val="sr-Latn-CS"/>
        </w:rPr>
        <w:t>ili</w:t>
      </w:r>
      <w:r w:rsidR="003B5F9A" w:rsidRPr="00A40DBB">
        <w:rPr>
          <w:rFonts w:ascii="Times New Roman" w:hAnsi="Times New Roman"/>
          <w:noProof/>
          <w:sz w:val="24"/>
          <w:lang w:val="sr-Latn-CS"/>
        </w:rPr>
        <w:t xml:space="preserve"> brownfield </w:t>
      </w:r>
      <w:r w:rsidR="00A40DBB">
        <w:rPr>
          <w:rFonts w:ascii="Times New Roman" w:hAnsi="Times New Roman"/>
          <w:noProof/>
          <w:sz w:val="24"/>
          <w:lang w:val="sr-Latn-CS"/>
        </w:rPr>
        <w:t>investicije</w:t>
      </w:r>
      <w:r w:rsidR="003B5F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4171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F1F14" w:rsidRPr="00A40DBB" w:rsidRDefault="00483D16" w:rsidP="001F07A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B5F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patente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F94B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F94B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94B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priznaju</w:t>
      </w:r>
      <w:r w:rsidR="00F94B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amortizacija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bilansima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75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39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kupljena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="005F1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D0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156A2" w:rsidRPr="00A40DBB" w:rsidRDefault="00E156A2" w:rsidP="00E156A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državljana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poređenju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najvećim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A40DBB">
        <w:rPr>
          <w:rFonts w:ascii="Times New Roman" w:hAnsi="Times New Roman" w:cs="Times New Roman"/>
          <w:noProof/>
          <w:color w:val="00B050"/>
          <w:sz w:val="24"/>
          <w:szCs w:val="24"/>
          <w:lang w:val="sr-Latn-CS"/>
        </w:rPr>
        <w:t xml:space="preserve">;  </w:t>
      </w:r>
    </w:p>
    <w:p w:rsidR="00225B64" w:rsidRPr="00A40DBB" w:rsidRDefault="006964FF" w:rsidP="00471BE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BC0D9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75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462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09D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A2C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16D0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25B64" w:rsidRPr="00A40DBB" w:rsidRDefault="006964FF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razvrstavanje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jedinstvena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podnošenja</w:t>
      </w:r>
      <w:r w:rsidR="00937AC3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prijave</w:t>
      </w:r>
      <w:r w:rsidR="001C62D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</w:t>
      </w:r>
      <w:r w:rsidR="001C62D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dodelu</w:t>
      </w:r>
      <w:r w:rsidR="001C62D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="001A2AEF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podsticaja</w:t>
      </w:r>
      <w:r w:rsidR="00937AC3" w:rsidRPr="00A40DBB">
        <w:rPr>
          <w:rFonts w:ascii="Times New Roman" w:hAnsi="Times New Roman"/>
          <w:noProof/>
          <w:sz w:val="24"/>
          <w:lang w:val="sr-Latn-CS"/>
        </w:rPr>
        <w:t>;</w:t>
      </w:r>
    </w:p>
    <w:p w:rsidR="00A169EB" w:rsidRPr="00A40DBB" w:rsidRDefault="00B62171" w:rsidP="00E4293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/>
          <w:noProof/>
          <w:sz w:val="24"/>
          <w:lang w:val="sr-Latn-CS"/>
        </w:rPr>
        <w:t>1</w:t>
      </w:r>
      <w:r w:rsidR="00D75220" w:rsidRPr="00A40DBB">
        <w:rPr>
          <w:rFonts w:ascii="Times New Roman" w:hAnsi="Times New Roman"/>
          <w:noProof/>
          <w:sz w:val="24"/>
          <w:lang w:val="sr-Latn-CS"/>
        </w:rPr>
        <w:t>3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) </w:t>
      </w:r>
      <w:r w:rsidR="00A40DBB">
        <w:rPr>
          <w:rFonts w:ascii="Times New Roman" w:hAnsi="Times New Roman"/>
          <w:noProof/>
          <w:sz w:val="24"/>
          <w:lang w:val="sr-Latn-CS"/>
        </w:rPr>
        <w:t>period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investicionog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projekta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jeste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period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određen</w:t>
      </w:r>
      <w:r w:rsidR="00E4293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ugovorom</w:t>
      </w:r>
      <w:r w:rsidR="00E4293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</w:t>
      </w:r>
      <w:r w:rsidR="00E4293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dodeli</w:t>
      </w:r>
      <w:r w:rsidR="00E4293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="00E4293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podsticaja</w:t>
      </w:r>
      <w:r w:rsidR="00A169EB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A169EB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skladu</w:t>
      </w:r>
      <w:r w:rsidR="00A169EB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</w:t>
      </w:r>
      <w:r w:rsidR="00A169EB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ovom</w:t>
      </w:r>
      <w:r w:rsidR="00A169EB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uredbom</w:t>
      </w:r>
      <w:r w:rsidR="00A3678E" w:rsidRPr="00A40DBB">
        <w:rPr>
          <w:rFonts w:ascii="Times New Roman" w:hAnsi="Times New Roman"/>
          <w:noProof/>
          <w:sz w:val="24"/>
          <w:lang w:val="sr-Latn-CS"/>
        </w:rPr>
        <w:t>;</w:t>
      </w:r>
    </w:p>
    <w:p w:rsidR="00B62171" w:rsidRPr="00A40DBB" w:rsidRDefault="006964FF" w:rsidP="00E4293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752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16D0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dostignutu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4293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25B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B621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3678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169EB" w:rsidRPr="00A40DBB" w:rsidRDefault="00A169EB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752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utvrđenu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učinak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nagrada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bonusi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topli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obrok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ugovorena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0A189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minimalne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B7101" w:rsidRPr="00A40DBB" w:rsidRDefault="001B7101" w:rsidP="000A18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1</w:t>
      </w:r>
      <w:r w:rsidR="00D752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starija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ulagač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uvozi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ulagača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1F765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F765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D0842" w:rsidRPr="00A40DBB" w:rsidRDefault="006964FF" w:rsidP="00D95BA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752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A2A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002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komunikacionih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prevashodno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="00D95BA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razvojno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proizvodni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istraživačko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objedinjeno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ustupljeno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administrativnih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07634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skladištenje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C63AA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korisnički</w:t>
      </w:r>
      <w:r w:rsidR="001445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centri</w:t>
      </w:r>
      <w:r w:rsidR="00616D0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5178B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5178BF" w:rsidRPr="00A40DBB" w:rsidRDefault="005178BF" w:rsidP="005178B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</w:p>
    <w:p w:rsidR="001A2AEF" w:rsidRPr="00A40DBB" w:rsidRDefault="001A2AE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AD0842" w:rsidRPr="00A40DBB" w:rsidRDefault="00A40DBB" w:rsidP="001A2AE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0842" w:rsidRPr="00A40DBB" w:rsidRDefault="0005125E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počev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AD0842" w:rsidRPr="00A40DBB" w:rsidRDefault="00AD0842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77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777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D0842" w:rsidRPr="00A40DBB" w:rsidRDefault="00A40DBB" w:rsidP="00B01BD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kraći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E42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0842" w:rsidRPr="00A40DBB" w:rsidRDefault="00A40DBB" w:rsidP="003E42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zakupom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lizinga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kupljeno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A1B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EA1B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38715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0AD7" w:rsidRPr="00A40DBB" w:rsidRDefault="00A40DBB" w:rsidP="00370AD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putničkih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vozila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transportnih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opravdanim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70AD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38715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F59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56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BA568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="00C53E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53E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53E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53E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malo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E4553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</w:t>
      </w:r>
      <w:r w:rsidR="009E2C5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kupovine</w:t>
      </w:r>
      <w:r w:rsidR="009E2C5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5C475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9E2C5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D6E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D616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A0F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77764" w:rsidRPr="00A40DBB" w:rsidRDefault="00F77764" w:rsidP="008D6E4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A40DBB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II</w:t>
      </w:r>
      <w:r w:rsidR="006B74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C63AA0" w:rsidRPr="00A40DBB" w:rsidRDefault="00C63AA0" w:rsidP="005F4FC2">
      <w:pPr>
        <w:spacing w:after="0" w:line="240" w:lineRule="auto"/>
        <w:jc w:val="both"/>
        <w:rPr>
          <w:rFonts w:ascii="Times New Roman" w:hAnsi="Times New Roman" w:cs="Times New Roman"/>
          <w:noProof/>
          <w:color w:val="7030A0"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</w:p>
    <w:p w:rsidR="006B745A" w:rsidRPr="00A40DBB" w:rsidRDefault="006B745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7D1063" w:rsidRPr="00A40DBB" w:rsidRDefault="00A40DBB" w:rsidP="006B74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45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B197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445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B2FFE" w:rsidRPr="00A40DBB" w:rsidRDefault="00A40DBB" w:rsidP="006B2FF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E337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E337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337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E337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337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banjsko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6B2F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0B20" w:rsidRPr="00A40DBB" w:rsidRDefault="00A40DBB" w:rsidP="00060B2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softvera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proizvodnog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ugostiteljstva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igara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sintetičkih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vlakana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čelika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duvanskih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prerađevina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oružja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municije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brodogradnje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aerodroma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logističkih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centara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širokopojasne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ribarstva</w:t>
      </w:r>
      <w:r w:rsidR="002714C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14C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akvakulture</w:t>
      </w:r>
      <w:r w:rsidR="00D4378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37B0" w:rsidRPr="00A40DBB" w:rsidRDefault="00A40DBB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infrastrukturno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sanaciju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eventualnih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ekoloških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nanetih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predmetno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322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77764" w:rsidRPr="00A40DBB" w:rsidRDefault="00F77764" w:rsidP="006B745A">
      <w:pPr>
        <w:pStyle w:val="Normal2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3159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26802" w:rsidRPr="00A40DBB" w:rsidRDefault="004268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875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A40DBB" w:rsidRDefault="00A40DBB" w:rsidP="0042680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D616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D0A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268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543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7543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7543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543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543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A40DBB" w:rsidRDefault="00A40DBB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77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41F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FD62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D1063" w:rsidRPr="00A40DBB" w:rsidRDefault="00A40DBB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C055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777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delotvoran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podsticajni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efekat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A40DBB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veličine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D1063" w:rsidRPr="00A40DBB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6112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7D1063" w:rsidRPr="00A40DBB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znatno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brzine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6112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5F37B0" w:rsidRPr="00A40DBB" w:rsidRDefault="007D1063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1597E" w:rsidRPr="00A40DBB" w:rsidRDefault="0031597E" w:rsidP="0056112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Izuzimanje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911D89" w:rsidRPr="00A40DBB" w:rsidRDefault="00911D8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4875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A40DBB" w:rsidRDefault="00A40DBB" w:rsidP="00911D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izuzimaju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investitori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CD7E4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D7E4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dospele</w:t>
      </w:r>
      <w:r w:rsidR="003322E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322E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neizmirene</w:t>
      </w:r>
      <w:r w:rsidR="003322E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322E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smanjen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prosečan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navedenom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autonomna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pokrajina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vlasništvu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EC5DE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EC5DE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EC5DE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EC5DE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raskinut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sporazumnog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raskida</w:t>
      </w:r>
      <w:r w:rsidR="00680DE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720B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1597E" w:rsidRPr="00A40DBB" w:rsidRDefault="0031597E" w:rsidP="00CD7E4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</w:p>
    <w:p w:rsidR="00191150" w:rsidRPr="00A40DBB" w:rsidRDefault="0019115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1063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317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336B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1063" w:rsidRPr="00A40DBB" w:rsidRDefault="00A40DBB" w:rsidP="0019115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="001911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D1063" w:rsidRPr="00A40DBB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registrovano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5F37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076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likvidacija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B423E2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7D1063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04A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izmirilo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B423E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67A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4867A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D1063" w:rsidRPr="00A40DBB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B423E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teškoćama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2C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8D2C8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F37B0" w:rsidRPr="00A40DBB" w:rsidRDefault="00404A86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7D106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A46B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A46B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A46B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A46B7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068E" w:rsidRPr="00A40DBB" w:rsidRDefault="005D068E" w:rsidP="00B423E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6D63D9" w:rsidRPr="00A40DBB" w:rsidRDefault="006D63D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17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4A28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F909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F7E3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uzima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kumulacija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Maksimalan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870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D71B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167F5" w:rsidRPr="00A40DBB" w:rsidRDefault="00C167F5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818B1" w:rsidRPr="00A40DBB" w:rsidRDefault="002818B1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direktnu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investiciju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jedinstvenim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maksimalan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dozvoljeni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1642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subjektom</w:t>
      </w:r>
      <w:r w:rsidR="00F909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642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D63D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12A7" w:rsidRPr="00A40DBB" w:rsidRDefault="004212A7" w:rsidP="006D63D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D084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DOZVOLJENOST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27F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F5279" w:rsidRPr="00A40DBB" w:rsidRDefault="005F527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A40DBB" w:rsidRDefault="00A40DBB" w:rsidP="006868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:rsidR="001B553E" w:rsidRPr="00A40DBB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084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C51F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0842" w:rsidRPr="00A40DBB" w:rsidRDefault="00A40DBB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52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21362" w:rsidRPr="00A40DBB" w:rsidRDefault="00B21362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6744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26E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C6744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B17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44A69" w:rsidRPr="00A40DBB" w:rsidRDefault="00404A86" w:rsidP="005F527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A40DBB" w:rsidDel="0013193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26E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58F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AD084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60B20" w:rsidRPr="00A40DBB" w:rsidRDefault="006A3D08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131933" w:rsidRPr="00A40DBB" w:rsidDel="0013193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3193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076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.000.000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45E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44A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D068E" w:rsidRPr="00A40DBB" w:rsidRDefault="006A3D08" w:rsidP="00C11BD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hotelskog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banjskim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2.000.000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060B2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A1D" w:rsidRPr="00A40DBB" w:rsidRDefault="00043A1D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8A10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A10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A10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:rsidR="00E9335F" w:rsidRPr="00A40DBB" w:rsidRDefault="00E9335F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E9335F" w:rsidRPr="00A40DBB" w:rsidRDefault="00A40DBB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devastirana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9335F" w:rsidRPr="00A40DBB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9335F" w:rsidRPr="00A40DBB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9335F" w:rsidRPr="00A40DBB" w:rsidRDefault="00E9335F" w:rsidP="00E9335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proizvodnom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troškovi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nematerijalna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9335F" w:rsidRPr="00A40DBB" w:rsidRDefault="00E9335F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minimalna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1B1E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B1E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1B1E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1B1E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11BD0" w:rsidRPr="00A40DBB" w:rsidRDefault="00C11BD0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11BD0" w:rsidRPr="00A40DBB" w:rsidRDefault="00C11BD0" w:rsidP="00F070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5D370A" w:rsidRPr="00A40DBB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42937" w:rsidRPr="00A40DBB" w:rsidRDefault="00A40DBB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3360" w:rsidRPr="00A40DBB" w:rsidRDefault="00D42937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direktna</w:t>
      </w:r>
      <w:r w:rsidR="00A27EE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održi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lokaciji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770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404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404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818B1" w:rsidRPr="00A40DBB" w:rsidRDefault="002818B1" w:rsidP="00D4293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dostignuti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04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404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5A42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5D370A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color w:val="7030A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77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38.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ugovorenu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51F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51F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C51F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15)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4A509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B553E" w:rsidRPr="00A40DBB" w:rsidRDefault="001B553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330B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330B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</w:p>
    <w:p w:rsidR="005D370A" w:rsidRPr="00A40DBB" w:rsidRDefault="005D370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818B1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CA4C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2136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AE67E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E67E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67E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0796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AE67E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produžiti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CA4C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računajući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43A1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3A1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431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A4C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CA4C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svrsishodno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A4C7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E593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18B1" w:rsidRPr="00A40DBB" w:rsidRDefault="00A40DBB" w:rsidP="00AE67E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produžava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produženju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2818B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47DEB" w:rsidRPr="00A40DBB" w:rsidRDefault="00B47DEB" w:rsidP="003159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68B3" w:rsidRPr="00A40DBB" w:rsidRDefault="00A40DBB" w:rsidP="006868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str_16"/>
      <w:bookmarkEnd w:id="0"/>
      <w:r>
        <w:rPr>
          <w:rFonts w:ascii="Times New Roman" w:hAnsi="Times New Roman" w:cs="Times New Roman"/>
          <w:noProof/>
          <w:lang w:val="sr-Latn-CS"/>
        </w:rPr>
        <w:t>Kriterijumi</w:t>
      </w:r>
      <w:r w:rsidR="00D96991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stručnu</w:t>
      </w:r>
      <w:r w:rsidR="007575CB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analizu</w:t>
      </w:r>
      <w:r w:rsidR="00D96991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investicionih</w:t>
      </w:r>
      <w:r w:rsidR="00D96991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projekata</w:t>
      </w:r>
      <w:r w:rsidR="00D96991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bookmarkStart w:id="1" w:name="clan_13"/>
      <w:bookmarkEnd w:id="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:rsidR="00C35797" w:rsidRPr="00A40DBB" w:rsidRDefault="00C35797" w:rsidP="006868B3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</w:p>
    <w:p w:rsidR="00D96991" w:rsidRPr="00A40DBB" w:rsidRDefault="00A40DBB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9335F" w:rsidRPr="00A40DBB">
        <w:rPr>
          <w:rFonts w:ascii="Times New Roman" w:hAnsi="Times New Roman" w:cs="Times New Roman"/>
          <w:b w:val="0"/>
          <w:noProof/>
          <w:lang w:val="sr-Latn-CS"/>
        </w:rPr>
        <w:t>13</w:t>
      </w:r>
      <w:r w:rsidR="00CD5F5C" w:rsidRPr="00A40DBB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A40DBB" w:rsidRDefault="00A40DBB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96991" w:rsidRPr="00A40DBB" w:rsidRDefault="009E31EA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prepoznatljivost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reference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klijenata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uspešnost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visokokvalifikovanih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51F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greenfield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brownfield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klasifikacijom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Evrostata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dobavljačima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prosečna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D96991" w:rsidRPr="00A40DBB" w:rsidRDefault="00D96991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D96991" w:rsidRPr="00A40DBB" w:rsidRDefault="00CD5F5C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tržišna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likvidnost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profitabilnost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održivost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C6F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7C6F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7C6F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6F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C6FF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D96991" w:rsidRPr="00A40DBB" w:rsidRDefault="00A40DBB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954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54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5954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954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C6FF9" w:rsidRPr="00A40DBB" w:rsidRDefault="007C6FF9" w:rsidP="00C35797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68B3" w:rsidRPr="00A40DBB" w:rsidRDefault="00A40DBB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Kriterijumi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stručnu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analizu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investicionih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projekata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odnose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6868B3" w:rsidRPr="00A40DBB" w:rsidRDefault="00A40DBB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68B3" w:rsidRPr="00A40DBB" w:rsidRDefault="00A40DBB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</w:p>
    <w:p w:rsidR="006868B3" w:rsidRPr="00A40DBB" w:rsidRDefault="006868B3" w:rsidP="006868B3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clan"/>
        <w:spacing w:before="0" w:after="0"/>
        <w:rPr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E9335F" w:rsidRPr="00A40DBB">
        <w:rPr>
          <w:rFonts w:ascii="Times New Roman" w:hAnsi="Times New Roman" w:cs="Times New Roman"/>
          <w:b w:val="0"/>
          <w:noProof/>
          <w:lang w:val="sr-Latn-CS"/>
        </w:rPr>
        <w:t xml:space="preserve"> 14.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86519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prilagođena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procenat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visokoobrazovanog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numPr>
          <w:ilvl w:val="0"/>
          <w:numId w:val="10"/>
        </w:num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BB5B1C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uspešnosti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sadašnja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pozitivna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referentne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kamatne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sadašnja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negativna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stopa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planirano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E9335F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racia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3F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733F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33F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733F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33F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9335F" w:rsidRPr="00A40DBB" w:rsidRDefault="008D30AD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racio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868B3" w:rsidRPr="00A40DBB" w:rsidRDefault="006868B3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360" w:rsidRPr="00A40DBB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360" w:rsidRPr="00A40DBB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360" w:rsidRPr="00A40DBB" w:rsidRDefault="00AD3360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31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83DE5" w:rsidRPr="00A40DBB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3D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</w:p>
    <w:p w:rsidR="00E9335F" w:rsidRPr="00A40DBB" w:rsidRDefault="00C11BD0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ostvario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dobitak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6860" w:rsidRPr="00A40DBB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9335F" w:rsidRPr="00A40DBB" w:rsidRDefault="00A40DBB" w:rsidP="00E9335F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B31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9335F" w:rsidRPr="00A40DBB" w:rsidRDefault="00A40DBB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pokazatelja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9335F" w:rsidRPr="00A40DBB" w:rsidRDefault="008120C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manji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9335F" w:rsidRPr="00A40DBB" w:rsidRDefault="008120C5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je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pokazatelj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zaduženosti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ukupnih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dodeljuje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="00E933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A3D08" w:rsidRPr="00A40DBB" w:rsidRDefault="006A3D08" w:rsidP="00E9335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A40DBB" w:rsidRDefault="00D96991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" w:name="str_17"/>
      <w:bookmarkEnd w:id="2"/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  <w:r w:rsidR="00AA51A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330B5" w:rsidRPr="00A40DBB" w:rsidRDefault="00D330B5" w:rsidP="005F4FC2">
      <w:pPr>
        <w:pStyle w:val="wyq060---pododeljak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E6CBB" w:rsidRPr="00A40DBB" w:rsidRDefault="00A40D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3" w:name="str_18"/>
      <w:bookmarkEnd w:id="3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bruto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zarada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nova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mesta</w:t>
      </w:r>
    </w:p>
    <w:p w:rsidR="00D96991" w:rsidRPr="00A40DBB" w:rsidRDefault="00A40D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povezana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sa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investicionim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projektom</w:t>
      </w:r>
    </w:p>
    <w:p w:rsidR="00BE6CBB" w:rsidRPr="00A40DBB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A40DBB" w:rsidRDefault="00A40DBB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4" w:name="clan_14"/>
      <w:bookmarkEnd w:id="4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B3169" w:rsidRPr="00A40DBB">
        <w:rPr>
          <w:rFonts w:ascii="Times New Roman" w:hAnsi="Times New Roman" w:cs="Times New Roman"/>
          <w:b w:val="0"/>
          <w:noProof/>
          <w:lang w:val="sr-Latn-CS"/>
        </w:rPr>
        <w:t>22</w:t>
      </w:r>
      <w:r w:rsidR="00CD5F5C" w:rsidRPr="00A40DBB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15B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F72F1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F72F1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72F1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40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dinarskoj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protivvrednosti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novootvorenom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E6CB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6860" w:rsidRPr="00A40DBB" w:rsidRDefault="00596860" w:rsidP="00C11BD0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96991" w:rsidRPr="00A40DBB" w:rsidRDefault="00A40D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bookmarkStart w:id="5" w:name="str_19"/>
      <w:bookmarkEnd w:id="5"/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opravdane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troškove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ulaganja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u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osnovna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sredstva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</w:p>
    <w:p w:rsidR="00BE6CBB" w:rsidRPr="00A40DBB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A40DBB" w:rsidRDefault="00A40DBB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6" w:name="clan_15"/>
      <w:bookmarkEnd w:id="6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966D10" w:rsidRPr="00A40DBB">
        <w:rPr>
          <w:rFonts w:ascii="Times New Roman" w:hAnsi="Times New Roman" w:cs="Times New Roman"/>
          <w:b w:val="0"/>
          <w:noProof/>
          <w:lang w:val="sr-Latn-CS"/>
        </w:rPr>
        <w:t>23</w:t>
      </w:r>
      <w:r w:rsidR="00CD5F5C" w:rsidRPr="00A40DBB">
        <w:rPr>
          <w:rFonts w:ascii="Times New Roman" w:hAnsi="Times New Roman" w:cs="Times New Roman"/>
          <w:b w:val="0"/>
          <w:noProof/>
          <w:lang w:val="sr-Latn-CS"/>
        </w:rPr>
        <w:t>.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424C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424C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2424C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2424C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2424C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67D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40A2F" w:rsidRPr="00A40DBB" w:rsidRDefault="00A40DBB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65D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B40A2F" w:rsidRPr="00A40DBB" w:rsidRDefault="00A40DBB" w:rsidP="00C11BD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65D4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</w:p>
    <w:p w:rsidR="00BE6692" w:rsidRPr="00A40DBB" w:rsidRDefault="00A40DBB" w:rsidP="00B40A2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izuzev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bookmarkStart w:id="7" w:name="str_20"/>
      <w:bookmarkEnd w:id="7"/>
      <w:r w:rsidR="00C11BD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11BD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1348A" w:rsidRPr="00A40DBB" w:rsidRDefault="00D1348A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A40DBB" w:rsidRDefault="00A40D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Dodatni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podsticaji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radno</w:t>
      </w:r>
      <w:r w:rsidR="00D96991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intenzivne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investicione</w:t>
      </w:r>
      <w:r w:rsidR="00BE6CB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projekte</w:t>
      </w:r>
    </w:p>
    <w:p w:rsidR="00BE6CBB" w:rsidRPr="00A40DBB" w:rsidRDefault="00BE6CBB" w:rsidP="005F4FC2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D96991" w:rsidRPr="00A40DBB" w:rsidRDefault="00A40DBB" w:rsidP="005F4FC2">
      <w:pPr>
        <w:pStyle w:val="clan"/>
        <w:spacing w:before="0" w:after="0"/>
        <w:rPr>
          <w:rFonts w:ascii="Times New Roman" w:hAnsi="Times New Roman" w:cs="Times New Roman"/>
          <w:b w:val="0"/>
          <w:noProof/>
          <w:lang w:val="sr-Latn-CS"/>
        </w:rPr>
      </w:pPr>
      <w:bookmarkStart w:id="8" w:name="clan_16"/>
      <w:bookmarkEnd w:id="8"/>
      <w:r>
        <w:rPr>
          <w:rFonts w:ascii="Times New Roman" w:hAnsi="Times New Roman" w:cs="Times New Roman"/>
          <w:b w:val="0"/>
          <w:noProof/>
          <w:lang w:val="sr-Latn-CS"/>
        </w:rPr>
        <w:t>Član</w:t>
      </w:r>
      <w:r w:rsidR="00D96991" w:rsidRPr="00A40DBB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966D10" w:rsidRPr="00A40DBB">
        <w:rPr>
          <w:rFonts w:ascii="Times New Roman" w:hAnsi="Times New Roman" w:cs="Times New Roman"/>
          <w:b w:val="0"/>
          <w:noProof/>
          <w:lang w:val="sr-Latn-CS"/>
        </w:rPr>
        <w:t>24</w:t>
      </w:r>
      <w:r w:rsidR="00BC2D35" w:rsidRPr="00A40DBB">
        <w:rPr>
          <w:rFonts w:ascii="Times New Roman" w:hAnsi="Times New Roman" w:cs="Times New Roman"/>
          <w:b w:val="0"/>
          <w:noProof/>
          <w:lang w:val="sr-Latn-CS"/>
        </w:rPr>
        <w:t>.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96991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intenzivni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654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153D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A40DBB" w:rsidRDefault="00A40DBB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apsolutnom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D969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66D10" w:rsidRPr="00A40DBB" w:rsidRDefault="00966D10" w:rsidP="00BE6C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D10" w:rsidRPr="00A40DBB" w:rsidRDefault="00A40DBB" w:rsidP="00966D10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966D10" w:rsidRPr="00A40DBB" w:rsidRDefault="00A40DBB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Korisniku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odobravaju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6D10" w:rsidRPr="00A40DBB" w:rsidRDefault="00A40DBB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66D10" w:rsidRPr="00A40DBB" w:rsidRDefault="00A40DBB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66D10" w:rsidRPr="00A40DBB" w:rsidRDefault="00A40DBB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;</w:t>
      </w:r>
    </w:p>
    <w:p w:rsidR="00966D10" w:rsidRPr="00A40DBB" w:rsidRDefault="00A40DBB" w:rsidP="00966D10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EUROSTAT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A7354" w:rsidRPr="00A40DBB" w:rsidRDefault="004A7354" w:rsidP="00491809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val="sr-Latn-CS"/>
        </w:rPr>
      </w:pPr>
    </w:p>
    <w:p w:rsidR="00050150" w:rsidRPr="00A40DBB" w:rsidRDefault="00A40DBB" w:rsidP="00A667DD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A667DD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A667DD" w:rsidRPr="00A40DBB" w:rsidRDefault="00A667DD" w:rsidP="00AD336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Korisniku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stručne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analize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investicionog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kriterijumima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dodeljeno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bodova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sredstava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podsticaja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priznavanja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opravdanih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troškova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23.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10%.</w:t>
      </w:r>
    </w:p>
    <w:p w:rsidR="00AD3360" w:rsidRPr="00A40DBB" w:rsidRDefault="00AD3360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15FC8" w:rsidRPr="00A40DBB" w:rsidRDefault="00915FC8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9847E6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</w:p>
    <w:p w:rsidR="003D25B6" w:rsidRPr="00A40DBB" w:rsidRDefault="003D25B6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7131E" w:rsidRPr="00A40DBB" w:rsidRDefault="00A40DBB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Pojam</w:t>
      </w:r>
      <w:r w:rsidR="00B7131E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ulaganja</w:t>
      </w:r>
      <w:r w:rsidR="00B7131E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B7131E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posebnog</w:t>
      </w:r>
      <w:r w:rsidR="00B7131E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značaja</w:t>
      </w:r>
      <w:r w:rsidR="008E48B0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8E48B0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Republiku</w:t>
      </w:r>
      <w:r w:rsidR="008E48B0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Srbiju</w:t>
      </w:r>
    </w:p>
    <w:p w:rsidR="00B7131E" w:rsidRPr="00A40DBB" w:rsidRDefault="00B7131E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915FC8" w:rsidRPr="00A40DBB" w:rsidRDefault="00A40DBB" w:rsidP="005F4FC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915FC8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66D10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</w:t>
      </w:r>
      <w:r w:rsidR="00677721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</w:t>
      </w:r>
      <w:r w:rsidR="000B2369" w:rsidRPr="00A40DB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15FC8" w:rsidRPr="00A40DBB" w:rsidRDefault="00A40DBB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15FC8" w:rsidRPr="00A40DBB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doprinosi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unapređenju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ravnomeran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teritorijalnu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koncentraciju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59546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F5B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DF5B4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prvu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otvara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razvrstava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četvrtu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devastirano</w:t>
      </w:r>
      <w:r w:rsidR="002F26A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A40DBB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podstiče</w:t>
      </w:r>
      <w:r w:rsidR="00F8218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F8218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prioriteta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povećanja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veće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donose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7E0B2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4F4C8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zajednički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razvojni</w:t>
      </w:r>
      <w:r w:rsidR="009E3B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prioritet</w:t>
      </w:r>
      <w:r w:rsidR="00AC041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C041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5B28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pribavljeno</w:t>
      </w:r>
      <w:r w:rsidR="005B28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="005B28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A40DBB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usvojenih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bilateralnih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915FC8" w:rsidRPr="00A40DBB" w:rsidRDefault="00915FC8" w:rsidP="00B7131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4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360" w:rsidRPr="00A40DBB" w:rsidRDefault="00AD3360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</w:p>
    <w:p w:rsidR="004108DE" w:rsidRPr="00A40DBB" w:rsidRDefault="00A40DBB" w:rsidP="004108DE">
      <w:pPr>
        <w:pStyle w:val="wyq100---naslov-grupe-clanova-kurziv"/>
        <w:spacing w:before="0" w:after="0"/>
        <w:rPr>
          <w:rFonts w:ascii="Times New Roman" w:hAnsi="Times New Roman" w:cs="Times New Roman"/>
          <w:b w:val="0"/>
          <w:i w:val="0"/>
          <w:noProof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lang w:val="sr-Latn-CS"/>
        </w:rPr>
        <w:t>Kriterijumi</w:t>
      </w:r>
      <w:r w:rsidR="002424C6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za</w:t>
      </w:r>
      <w:r w:rsidR="002424C6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analizu</w:t>
      </w:r>
      <w:r w:rsidR="002424C6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</w:t>
      </w:r>
      <w:r w:rsidR="002424C6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iznos</w:t>
      </w:r>
      <w:r w:rsidR="0047291B" w:rsidRPr="00A40DBB">
        <w:rPr>
          <w:rFonts w:ascii="Times New Roman" w:hAnsi="Times New Roman" w:cs="Times New Roman"/>
          <w:b w:val="0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lang w:val="sr-Latn-CS"/>
        </w:rPr>
        <w:t>sredstava</w:t>
      </w:r>
    </w:p>
    <w:p w:rsidR="004108DE" w:rsidRPr="00A40DBB" w:rsidRDefault="004108DE" w:rsidP="00B7131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0B23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A40DBB" w:rsidRDefault="00A40DBB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7575C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1217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BC2D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46F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46F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046F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0596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A40DBB" w:rsidRDefault="00A40DBB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4108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108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kombinacijom</w:t>
      </w:r>
      <w:r w:rsidR="004108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4108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izračunati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108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najpovoljniji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proizilazi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40A2F" w:rsidRPr="00A40DBB" w:rsidRDefault="00A40DBB" w:rsidP="004108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  <w:r w:rsidR="0092712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2712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4)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izračunati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premašiti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opravdanih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B40A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5FC8" w:rsidRPr="00A40DBB" w:rsidRDefault="00A40DBB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4729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premašiti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gornju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dodeliti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30B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915FC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A3D08" w:rsidRPr="00A40DBB" w:rsidRDefault="006A3D08" w:rsidP="00AE50D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5FC8" w:rsidRPr="00A40DBB" w:rsidRDefault="00915FC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684F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C22855" w:rsidRPr="00A40DBB" w:rsidRDefault="00C22855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D10" w:rsidRPr="00A40DBB" w:rsidRDefault="00A40DBB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</w:p>
    <w:p w:rsidR="00966D10" w:rsidRPr="00A40DBB" w:rsidRDefault="00966D10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D10" w:rsidRPr="00A40DBB" w:rsidRDefault="00A40DBB" w:rsidP="00966D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6D10" w:rsidRPr="00A40DBB" w:rsidRDefault="00A40DBB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realizuju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868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66D10" w:rsidRPr="00A40DBB" w:rsidRDefault="00A40DBB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512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12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5120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6D10" w:rsidRPr="00A40DBB" w:rsidRDefault="00A40DBB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66D10" w:rsidRPr="00A40DBB" w:rsidRDefault="00A40DBB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66D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dostavljaju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trajanje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adresu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učestvovanjem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kontakt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66D10" w:rsidRPr="00A40DBB" w:rsidRDefault="00966D10" w:rsidP="00966D1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1F0B" w:rsidRPr="00A40DBB" w:rsidRDefault="00A40DBB" w:rsidP="0049180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4F14" w:rsidRPr="00A40DBB" w:rsidRDefault="00684F1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61B39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93508" w:rsidRPr="00A40DBB" w:rsidRDefault="0089350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CD5F5C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1D98" w:rsidRPr="00A40DBB" w:rsidRDefault="00A40DBB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namerava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F1D9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A40DBB" w:rsidRDefault="00A40DBB" w:rsidP="008935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Pismo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D54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planiranoj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D54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FD54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troškovima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D5F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13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C4C8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A40DBB" w:rsidRDefault="00A40DBB" w:rsidP="00E560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E560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563C" w:rsidRPr="00A40DBB" w:rsidRDefault="00A40DBB" w:rsidP="00F716E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namerama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ostavljajući</w:t>
      </w:r>
      <w:r w:rsidR="00F716E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59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59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4CAB" w:rsidRPr="00A40DBB" w:rsidRDefault="00A40DBB" w:rsidP="009A1F1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B407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 3</w:t>
      </w:r>
      <w:r w:rsidR="00DB407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B407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544E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A1F1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8D693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postojanju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7CDB" w:rsidRPr="00A40DBB" w:rsidRDefault="00A40DBB" w:rsidP="00954D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mogućem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neobavezujuće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954D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5F7C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2D373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E2FC4" w:rsidRPr="00A40DBB" w:rsidRDefault="009E2FC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54D30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8529C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529C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8529C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</w:p>
    <w:p w:rsidR="00954D30" w:rsidRPr="00A40DBB" w:rsidRDefault="00954D3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C563C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EC563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F4515" w:rsidRPr="00A40DBB" w:rsidRDefault="00A40DBB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7625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namerava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038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0389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973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7465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jeziku</w:t>
      </w:r>
      <w:r w:rsidR="00072F5A" w:rsidRPr="00A40DBB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30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22855" w:rsidRPr="00A40DBB" w:rsidRDefault="00A40DBB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E66FC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A386C" w:rsidRPr="00A40DBB" w:rsidRDefault="00A40DBB" w:rsidP="00072F5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630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predložiti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64CA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72F5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77F0" w:rsidRPr="00A40DBB" w:rsidRDefault="00A40DBB" w:rsidP="00C9707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Stručna</w:t>
      </w:r>
      <w:r w:rsidR="001D77F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="001D77F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1D77F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analizu</w:t>
      </w:r>
      <w:r w:rsidR="00BE66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mogućeg</w:t>
      </w:r>
      <w:r w:rsidR="00BE66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BE66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E669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809" w:rsidRPr="00A40DBB" w:rsidRDefault="00491809" w:rsidP="00C970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A40DBB" w:rsidRDefault="00A40DBB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Obrazac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C9707D" w:rsidRPr="00A40DBB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A40DBB" w:rsidRDefault="00A40DBB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A40DBB" w:rsidRDefault="00A40DBB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Obrasce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DA38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A38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A38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A386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4933C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2854AC" w:rsidRPr="00A40DBB" w:rsidRDefault="00A40DBB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455D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5D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854AC" w:rsidRPr="00A40DBB" w:rsidRDefault="002854AC" w:rsidP="004933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45017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45017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5017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45017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A40DBB" w:rsidRDefault="002854AC" w:rsidP="0045017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riginal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registrovanih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nalazom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nalaza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A3D0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fotokopiju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0F1F9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nalaz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predlagača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854AC" w:rsidRPr="00A40DBB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original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fotokopija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sedište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overeni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prevod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izvoda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A40DBB" w:rsidRDefault="002854AC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reorganizacija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="00F970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854AC" w:rsidRPr="00A40DBB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izmirenju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poslovali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potpisanu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poslovao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administracija</w:t>
      </w:r>
      <w:r w:rsidR="00D961D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A40DBB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854AC" w:rsidRPr="00A40DBB" w:rsidRDefault="00BC3FF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investitora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osuđivano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854AC" w:rsidRPr="00A40DBB" w:rsidRDefault="006C7F1F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uverenje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osuđivani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A40DBB" w:rsidRDefault="00A40DB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</w:t>
      </w:r>
      <w:r w:rsidR="00605D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relevantne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podnetoj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3208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celishodnim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854AC" w:rsidRPr="00A40DBB" w:rsidRDefault="00A40DBB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prevedena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prevodioca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96860" w:rsidRPr="00A40DBB" w:rsidRDefault="00A40DBB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uredne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D194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854A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6860" w:rsidRPr="00A40DBB" w:rsidRDefault="00596860" w:rsidP="003D194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A40DBB" w:rsidRDefault="00A40DBB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C9707D" w:rsidRPr="00A40DBB" w:rsidRDefault="00C9707D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07D" w:rsidRPr="00A40DBB" w:rsidRDefault="00A40DBB" w:rsidP="00C9707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2285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A40DBB" w:rsidRDefault="00A40DBB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formalnih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76F8" w:rsidRPr="00A40DBB" w:rsidRDefault="00A40DBB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A40DBB" w:rsidRDefault="00A40DBB" w:rsidP="00706A3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706A3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360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podneta</w:t>
      </w:r>
      <w:r w:rsidR="004360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60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360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3608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nepotpunu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9707D" w:rsidRPr="00A40DBB" w:rsidRDefault="00A40DBB" w:rsidP="0099294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929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5C4C8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C4C8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3D0F0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176F8" w:rsidRPr="00A40DBB" w:rsidRDefault="00A40DBB" w:rsidP="001176F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13735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boda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32C5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9625C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 – 7)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obrazloženje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A40DBB" w:rsidRDefault="00A40DBB" w:rsidP="0058792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879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 2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C965F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9707D" w:rsidRPr="00A40DBB" w:rsidRDefault="00A40DBB" w:rsidP="00DF51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D213C" w:rsidRPr="00A40DBB" w:rsidRDefault="00A40DBB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Prijave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blagovremene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6C7F1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0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DF512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809" w:rsidRPr="00A40DBB" w:rsidRDefault="00491809" w:rsidP="00081F0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5BA6" w:rsidRPr="00A40DBB" w:rsidRDefault="00A40DBB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:rsidR="00935BA6" w:rsidRPr="00A40DBB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A386C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A386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19CE" w:rsidRPr="00A40DBB" w:rsidRDefault="00A40DBB" w:rsidP="00DD1C8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obaveštenje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izjašnjenje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D0F0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5A13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F303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nacrtom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45E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1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819C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A26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00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944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B407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819C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819C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19C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819C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14B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14B7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809" w:rsidRPr="00A40DBB" w:rsidRDefault="00491809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5BA6" w:rsidRPr="00A40DBB" w:rsidRDefault="00A40DBB" w:rsidP="00935BA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935BA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</w:p>
    <w:p w:rsidR="00935BA6" w:rsidRPr="00A40DBB" w:rsidRDefault="00935BA6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53007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5300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860DE" w:rsidRPr="00A40DBB" w:rsidRDefault="00A40DBB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816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816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6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E577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C563C" w:rsidRPr="00A40DBB" w:rsidRDefault="00A40DBB" w:rsidP="0079219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244FB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244FB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4FB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712C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678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678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9251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3049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6860D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712C0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5009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809" w:rsidRPr="00A40DBB" w:rsidRDefault="00491809" w:rsidP="005D068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D068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</w:p>
    <w:p w:rsidR="001B1D5E" w:rsidRPr="00A40DBB" w:rsidRDefault="001B1D5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C066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sazivanje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sednica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0731" w:rsidRPr="00A40DBB" w:rsidRDefault="00A40DBB" w:rsidP="00630EA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D07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6D07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C066C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6D07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630EA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D073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7146" w:rsidRPr="00A40DBB" w:rsidRDefault="00237146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334E4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</w:p>
    <w:p w:rsidR="005334E4" w:rsidRPr="00A40DBB" w:rsidRDefault="005334E4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593E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159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176F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159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334E4" w:rsidRPr="00A40DBB" w:rsidRDefault="00A40DBB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837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8264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64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3837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837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bitnim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investitoru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64C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334E4" w:rsidRPr="00A40DBB" w:rsidRDefault="00A40DBB" w:rsidP="005334E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predlozima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najefikasniji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F743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F743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0F743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srazmerno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priznavanju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dopunu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BF351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5334E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D6A6A" w:rsidRPr="00A40DBB" w:rsidRDefault="00A40DBB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5F1D9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092A" w:rsidRPr="00A40DBB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21615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092A" w:rsidRPr="00A40DBB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0F743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4FBF" w:rsidRPr="00A40DBB" w:rsidRDefault="003A092A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odluci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doneta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F743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244FB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57BB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priznavanja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delimičnog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AF2D8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6350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6350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76350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76350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neisplaćenih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05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5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A05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5013D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013D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013D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="005013D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066F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066F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B206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DB206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40CE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F40CE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="00F40CE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zapisnik</w:t>
      </w:r>
      <w:r w:rsidR="00F40CE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066F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postižu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obrazloženom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113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3113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poravnanje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D2752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E00F4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00F4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615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4F47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F47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F47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036B" w:rsidRPr="00A40DBB" w:rsidRDefault="00A40DBB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momentu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3837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međusobnom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poravnanja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dopune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96036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6860" w:rsidRPr="00A40DBB" w:rsidRDefault="00596860" w:rsidP="0096036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3A092A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</w:t>
      </w:r>
      <w:r w:rsidR="000B236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95E1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59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1593E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195E1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195E12" w:rsidRPr="00A40DBB" w:rsidRDefault="00195E1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95E12" w:rsidRPr="00A40DBB" w:rsidRDefault="00A40DBB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</w:p>
    <w:p w:rsidR="00195E12" w:rsidRPr="00A40DBB" w:rsidRDefault="00195E12" w:rsidP="00195E1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44FBF" w:rsidRPr="00A40DBB" w:rsidRDefault="00A40DBB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1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71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A71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A71B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05C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95211" w:rsidRPr="00A40DBB" w:rsidRDefault="00A40DBB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prethodne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29521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dvogodišnjem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dostizanja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EB373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višoj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sili</w:t>
      </w:r>
      <w:r w:rsidR="00E77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E77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E77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E77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7714" w:rsidRPr="00A40DB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bezbednosti</w:t>
      </w:r>
      <w:r w:rsidR="00E77714" w:rsidRPr="00A40DB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7714" w:rsidRPr="00A40DB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zdravlju</w:t>
      </w:r>
      <w:r w:rsidR="00E77714" w:rsidRPr="00A40DB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77714" w:rsidRPr="00A40DB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69351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projektovane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3113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planirani</w:t>
      </w:r>
      <w:r w:rsidR="003113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osnovnoj</w:t>
      </w:r>
      <w:r w:rsidR="009D680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sirovini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35058" w:rsidRPr="00A40DBB" w:rsidRDefault="00A40DBB" w:rsidP="0043505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raskidu</w:t>
      </w:r>
      <w:r w:rsidR="00D454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sednice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raskine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1279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79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1279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prvoj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F0704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1F0B" w:rsidRPr="00A40DBB" w:rsidRDefault="00081F0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435058" w:rsidRPr="00A40DBB" w:rsidRDefault="00435058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57E1A" w:rsidRPr="00A40DBB" w:rsidRDefault="00A40DB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Isplata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podnetog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24D8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A558A" w:rsidRPr="00A40DBB" w:rsidRDefault="00A40DB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ratama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raspoloživim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budžetskim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procentualnom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A558A" w:rsidRPr="00A40DBB" w:rsidRDefault="00DA558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izvršenog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definisana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A092A" w:rsidRPr="00A40DBB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3A092A" w:rsidRPr="00A40DBB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A092A" w:rsidRPr="00A40DBB" w:rsidRDefault="003A092A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056BE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57E1A" w:rsidRPr="00A40DBB" w:rsidRDefault="00A40DBB" w:rsidP="00957E1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55257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EC31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372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57E1A" w:rsidRPr="00A40DBB" w:rsidRDefault="00A40DBB" w:rsidP="0029521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957E1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57E1A" w:rsidRPr="00A40DBB" w:rsidRDefault="00A40DBB" w:rsidP="006D213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urednost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754B8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EC31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213C" w:rsidRPr="00A40DBB" w:rsidRDefault="006D213C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</w:p>
    <w:p w:rsidR="00157F2F" w:rsidRPr="00A40DBB" w:rsidRDefault="00157F2F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092A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772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40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092A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bezuslovnu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plativu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737860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bankarskom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garancijom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meničnim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092A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12D0D" w:rsidRPr="00A40DBB" w:rsidRDefault="00512D0D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1809" w:rsidRPr="00A40DBB" w:rsidRDefault="00A40DBB" w:rsidP="005F1D9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delimičnog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4253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bankarskih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blanko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menica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3A092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809" w:rsidRPr="00A40DBB" w:rsidRDefault="00491809" w:rsidP="0031597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A40DBB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9" w:name="str_32"/>
      <w:bookmarkEnd w:id="9"/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VII</w:t>
      </w:r>
      <w:r w:rsidR="007207E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</w:p>
    <w:p w:rsidR="00737860" w:rsidRPr="00A40DBB" w:rsidRDefault="00737860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0" w:name="str_33"/>
      <w:bookmarkEnd w:id="10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Izveštaji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koje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podnosi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korisnik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sredstava</w:t>
      </w:r>
    </w:p>
    <w:p w:rsidR="00473241" w:rsidRPr="00A40DBB" w:rsidRDefault="00473241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1" w:name="clan_26"/>
      <w:bookmarkEnd w:id="11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</w:t>
      </w:r>
      <w:r w:rsidR="00B678C4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743CC" w:rsidRPr="00A40DBB" w:rsidRDefault="008743CC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8642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8642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642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642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86425F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743CC" w:rsidRPr="00A40DBB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A40DBB" w:rsidRDefault="00646602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378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646602" w:rsidRPr="00A40DBB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A40DBB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519C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301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A40DBB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A40DBB" w:rsidRDefault="00646602" w:rsidP="0073786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procenitelja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sadašnjoj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unete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upotrebljavane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E4266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743CC" w:rsidRPr="00A40DBB" w:rsidRDefault="00A40DBB" w:rsidP="004E73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nezavisnom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ovlašćenom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struktura</w:t>
      </w:r>
      <w:r w:rsidR="006756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F11D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1D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F11D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F11D0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8E6E8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6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održanja</w:t>
      </w:r>
      <w:r w:rsidR="0067562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DD297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E154B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473241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E777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45C30" w:rsidRPr="00A40DBB" w:rsidRDefault="00A45C30" w:rsidP="00A45C3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pozitivnim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negativnim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mišljenjem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rezervom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uzdržavanja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izražavanja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zaključku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obrazloži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rezerve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uzdržao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mišljenja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4CFB" w:rsidRPr="00A40DBB" w:rsidRDefault="00473241" w:rsidP="005F4F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licencirana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DC40DB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54B0" w:rsidRPr="00A40DBB" w:rsidRDefault="00E154B0" w:rsidP="00E154B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40DBB">
        <w:rPr>
          <w:rFonts w:ascii="Times New Roman" w:hAnsi="Times New Roman"/>
          <w:noProof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iz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izveštaja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nezavisnog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ovlašćenog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revizora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proizilazi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korisnik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nije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izvršio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sve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ugovorne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obaveze</w:t>
      </w:r>
      <w:r w:rsidRPr="00A40DBB">
        <w:rPr>
          <w:noProof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periodu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projekta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odnosno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periodu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garantovanog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zaposlenosti</w:t>
      </w:r>
      <w:r w:rsidR="00182DD8" w:rsidRPr="00A40DBB">
        <w:rPr>
          <w:rFonts w:ascii="Times New Roman" w:hAnsi="Times New Roman"/>
          <w:noProof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sz w:val="24"/>
          <w:lang w:val="sr-Latn-CS"/>
        </w:rPr>
        <w:t>negativno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mišljenje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mišljenje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rezervom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uzdržavanje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od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izražavanja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lastRenderedPageBreak/>
        <w:t>mišljenja</w:t>
      </w:r>
      <w:r w:rsidR="00763509" w:rsidRPr="00A40DBB">
        <w:rPr>
          <w:rFonts w:ascii="Times New Roman" w:hAnsi="Times New Roman"/>
          <w:noProof/>
          <w:sz w:val="24"/>
          <w:lang w:val="sr-Latn-CS"/>
        </w:rPr>
        <w:t>)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Ministarstvo</w:t>
      </w:r>
      <w:r w:rsidR="0029521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će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dostaviti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pisano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obaveštenje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korisniku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obavezi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otklanjanja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utvrđenih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nedostataka</w:t>
      </w:r>
      <w:r w:rsidRPr="00A40DBB">
        <w:rPr>
          <w:rFonts w:ascii="Times New Roman" w:hAnsi="Times New Roman"/>
          <w:noProof/>
          <w:sz w:val="24"/>
          <w:lang w:val="sr-Latn-CS"/>
        </w:rPr>
        <w:t>.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toku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odnosno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nakon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perioda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projekta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slučaju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potpunog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ispunjenja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obaveze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ulaganja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pogledu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Ugovorom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utvrđene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ukupne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visine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investicije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delimičnog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odstupanja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vezi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strukturom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ulaganja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korisnik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dužan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je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da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Ministarstvu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dostavi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usklađeni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biznis</w:t>
      </w:r>
      <w:r w:rsidR="00247781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plan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pre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podnošenja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Zahteva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za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isplatu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odnosno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izveštaja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realizaciji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projekta</w:t>
      </w:r>
      <w:r w:rsidR="007172A6" w:rsidRPr="00A40DBB">
        <w:rPr>
          <w:rFonts w:ascii="Times New Roman" w:hAnsi="Times New Roman"/>
          <w:noProof/>
          <w:sz w:val="24"/>
          <w:lang w:val="sr-Latn-CS"/>
        </w:rPr>
        <w:t>.</w:t>
      </w:r>
    </w:p>
    <w:p w:rsidR="00BE2DA9" w:rsidRPr="00A40DBB" w:rsidRDefault="00A40DBB" w:rsidP="00AF2D8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65664" w:rsidRPr="00A40DBB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295211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Ugovor</w:t>
      </w:r>
      <w:r w:rsidR="00E154B0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24CFB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povraćaj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dodeljenih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isplaćenih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sredstava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uvećan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E154B0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</w:t>
      </w:r>
      <w:r w:rsidR="0076350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76350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zatezne</w:t>
      </w:r>
      <w:r w:rsidR="0076350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kamate</w:t>
      </w:r>
      <w:r w:rsidR="00763509" w:rsidRPr="00A40DB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16158" w:rsidRPr="00A40DBB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677721" w:rsidRPr="00A40DBB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</w:t>
      </w:r>
      <w:r w:rsidR="00F15132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F15132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15132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zaključenje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aneksa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BE2DA9" w:rsidRPr="00A40DB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34E88" w:rsidRPr="00A40DBB" w:rsidRDefault="00E34E88" w:rsidP="00AF2D8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D3360" w:rsidRPr="00A40DBB" w:rsidRDefault="00AD3360" w:rsidP="00AF2D8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46602" w:rsidRPr="00A40DBB" w:rsidRDefault="00A40DBB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12" w:name="str_34"/>
      <w:bookmarkEnd w:id="12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Kontrola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praćenje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izvršenja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ugovornih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obaveza</w:t>
      </w:r>
    </w:p>
    <w:p w:rsidR="0046704A" w:rsidRPr="00A40DBB" w:rsidRDefault="0046704A" w:rsidP="004E7326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A40DBB" w:rsidRDefault="00A40DBB" w:rsidP="004E732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3" w:name="clan_27"/>
      <w:bookmarkEnd w:id="1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B678C4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1677A" w:rsidRPr="00A40DBB" w:rsidRDefault="00A40DBB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A40DBB" w:rsidRDefault="00A40DBB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161EF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garantovanog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zaposlenosti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61677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kraju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tromesečja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1677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3B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B531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B531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3B531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B531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B5313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D3B85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AD3360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126BD" w:rsidRPr="00A40DBB" w:rsidRDefault="00A40DBB" w:rsidP="003126B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512D0D" w:rsidRPr="00A40DBB" w:rsidRDefault="00646602" w:rsidP="006A3D0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rezime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3126B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proveru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A40DBB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DA5A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5A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="00DA5AB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A40DBB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dinamici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A40DBB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blokada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tekućim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računima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46602" w:rsidRPr="00A40DBB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problemima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susreće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0F2A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0F2A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F2A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46602" w:rsidRPr="00A40DBB" w:rsidRDefault="00646602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bilateralno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ugroženi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postupanjem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46602" w:rsidRPr="00A40DBB" w:rsidRDefault="00A40DBB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Prilogom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odštampan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A3D08" w:rsidRPr="00A40DBB" w:rsidRDefault="006A3D08" w:rsidP="003B531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6550E" w:rsidRPr="00A40DBB" w:rsidRDefault="0076550E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4" w:name="str_35"/>
      <w:bookmarkEnd w:id="14"/>
    </w:p>
    <w:p w:rsidR="00646602" w:rsidRPr="00A40DBB" w:rsidRDefault="00646602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5" w:name="str_36"/>
      <w:bookmarkStart w:id="16" w:name="clan_28"/>
      <w:bookmarkStart w:id="17" w:name="str_37"/>
      <w:bookmarkStart w:id="18" w:name="clan_29"/>
      <w:bookmarkStart w:id="19" w:name="str_38"/>
      <w:bookmarkStart w:id="20" w:name="clan_30"/>
      <w:bookmarkEnd w:id="15"/>
      <w:bookmarkEnd w:id="16"/>
      <w:bookmarkEnd w:id="17"/>
      <w:bookmarkEnd w:id="18"/>
      <w:bookmarkEnd w:id="19"/>
      <w:bookmarkEnd w:id="20"/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21" w:name="str_39"/>
      <w:bookmarkEnd w:id="21"/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X</w:t>
      </w:r>
      <w:r w:rsidR="00F70B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40DBB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F70B99" w:rsidRPr="00A40DBB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4660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2" w:name="str_40"/>
      <w:bookmarkEnd w:id="22"/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Prestanak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važenja</w:t>
      </w:r>
      <w:r w:rsidR="00646602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uredbe</w:t>
      </w:r>
    </w:p>
    <w:p w:rsidR="00F70B99" w:rsidRPr="00A40DBB" w:rsidRDefault="00F70B99" w:rsidP="005F4FC2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3" w:name="clan_31"/>
      <w:bookmarkEnd w:id="2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1A50BC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A40DBB" w:rsidRDefault="00A40DBB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F70B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70B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="00F70B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F70B99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odlučivanje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81D14" w:rsidRPr="00A40DBB" w:rsidRDefault="00A40DBB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dodelu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81D14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110/16).</w:t>
      </w:r>
    </w:p>
    <w:p w:rsidR="00604297" w:rsidRPr="00A40DBB" w:rsidRDefault="00A40DBB" w:rsidP="0043253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refundaciju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refundiranju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uloženih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rešavaće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1A50B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A4B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2A4B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A4B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A4B68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65/14).</w:t>
      </w:r>
    </w:p>
    <w:p w:rsidR="005D068E" w:rsidRPr="00A40DBB" w:rsidRDefault="00A40DBB" w:rsidP="00167E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privlačenja</w:t>
      </w:r>
      <w:r w:rsidR="00D4293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direktnih</w:t>
      </w:r>
      <w:r w:rsidR="000F2A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="000F2A47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1A50BC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2EF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2EF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F32EF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2EF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F28FA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110</w:t>
      </w:r>
      <w:r w:rsidR="00F32EF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/16).</w:t>
      </w:r>
    </w:p>
    <w:p w:rsidR="00512D0D" w:rsidRPr="00A40DBB" w:rsidRDefault="00512D0D" w:rsidP="006A3D08">
      <w:pPr>
        <w:spacing w:after="0" w:line="240" w:lineRule="auto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bookmarkStart w:id="24" w:name="str_41"/>
      <w:bookmarkEnd w:id="24"/>
    </w:p>
    <w:p w:rsidR="006A3D08" w:rsidRPr="00A40DBB" w:rsidRDefault="006A3D08" w:rsidP="006A3D08">
      <w:pPr>
        <w:spacing w:after="0" w:line="240" w:lineRule="auto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A3D08" w:rsidRPr="00A40DBB" w:rsidRDefault="006A3D08" w:rsidP="006A3D08">
      <w:pPr>
        <w:spacing w:after="0" w:line="240" w:lineRule="auto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512D0D" w:rsidRPr="00A40DBB" w:rsidRDefault="00512D0D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F70B99" w:rsidRPr="00A40DBB" w:rsidRDefault="00A40DB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Stupanje</w:t>
      </w:r>
      <w:r w:rsidR="00B47DEB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B47DEB" w:rsidRPr="00A40DBB"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  <w:t>snagu</w:t>
      </w:r>
    </w:p>
    <w:p w:rsidR="00B47DEB" w:rsidRPr="00A40DBB" w:rsidRDefault="00B47DEB" w:rsidP="00B47DEB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:rsidR="00646602" w:rsidRPr="00A40DBB" w:rsidRDefault="00A40DBB" w:rsidP="005F4F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5" w:name="clan_32"/>
      <w:bookmarkEnd w:id="25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6714A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53B49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677721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1A50BC" w:rsidRPr="00A40DBB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46602" w:rsidRPr="00A40DBB" w:rsidRDefault="00A40DBB" w:rsidP="00F70B9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6602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D0AFD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4E7326" w:rsidRPr="00A40DB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357A" w:rsidRPr="00A40DBB" w:rsidRDefault="004B357A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5BFC" w:rsidRPr="00A40DBB" w:rsidRDefault="00475BFC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75BFC" w:rsidRPr="00A40DBB" w:rsidRDefault="00475BFC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D0D" w:rsidRPr="00A40DBB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D0D" w:rsidRPr="00A40DBB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D0D" w:rsidRPr="00A40DBB" w:rsidRDefault="00512D0D" w:rsidP="001A652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6522" w:rsidRPr="00A40DBB" w:rsidRDefault="001A6522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/>
          <w:noProof/>
          <w:sz w:val="24"/>
          <w:lang w:val="sr-Latn-CS"/>
        </w:rPr>
        <w:t xml:space="preserve">05 </w:t>
      </w:r>
      <w:r w:rsidR="00A40DBB">
        <w:rPr>
          <w:rFonts w:ascii="Times New Roman" w:hAnsi="Times New Roman"/>
          <w:noProof/>
          <w:sz w:val="24"/>
          <w:lang w:val="sr-Latn-CS"/>
        </w:rPr>
        <w:t>Broj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: </w:t>
      </w:r>
      <w:r w:rsidR="00151049" w:rsidRPr="00A40DBB">
        <w:rPr>
          <w:rFonts w:ascii="Times New Roman" w:hAnsi="Times New Roman"/>
          <w:noProof/>
          <w:sz w:val="24"/>
          <w:lang w:val="sr-Latn-CS"/>
        </w:rPr>
        <w:t>110-1415/2018</w:t>
      </w:r>
      <w:r w:rsidR="0067576A" w:rsidRPr="00A40DBB">
        <w:rPr>
          <w:rFonts w:ascii="Times New Roman" w:hAnsi="Times New Roman"/>
          <w:noProof/>
          <w:sz w:val="24"/>
          <w:lang w:val="sr-Latn-CS"/>
        </w:rPr>
        <w:t>-1</w:t>
      </w:r>
    </w:p>
    <w:p w:rsidR="001A6522" w:rsidRPr="00A40DBB" w:rsidRDefault="00A40DBB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151049" w:rsidRPr="00A40DBB">
        <w:rPr>
          <w:rFonts w:ascii="Times New Roman" w:hAnsi="Times New Roman"/>
          <w:noProof/>
          <w:sz w:val="24"/>
          <w:lang w:val="sr-Latn-CS"/>
        </w:rPr>
        <w:t>8</w:t>
      </w:r>
      <w:r w:rsidR="00466CFE" w:rsidRPr="00A40DBB">
        <w:rPr>
          <w:rFonts w:ascii="Times New Roman" w:hAnsi="Times New Roman"/>
          <w:noProof/>
          <w:sz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lang w:val="sr-Latn-CS"/>
        </w:rPr>
        <w:t>marta</w:t>
      </w:r>
      <w:r w:rsidR="001F28FA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466CFE" w:rsidRPr="00A40DBB">
        <w:rPr>
          <w:rFonts w:ascii="Times New Roman" w:hAnsi="Times New Roman"/>
          <w:noProof/>
          <w:sz w:val="24"/>
          <w:lang w:val="sr-Latn-CS"/>
        </w:rPr>
        <w:t>201</w:t>
      </w:r>
      <w:r w:rsidR="00F31BF4" w:rsidRPr="00A40DBB">
        <w:rPr>
          <w:rFonts w:ascii="Times New Roman" w:hAnsi="Times New Roman"/>
          <w:noProof/>
          <w:sz w:val="24"/>
          <w:lang w:val="sr-Latn-CS"/>
        </w:rPr>
        <w:t>8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godine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 </w:t>
      </w:r>
    </w:p>
    <w:p w:rsidR="00512D0D" w:rsidRPr="00A40DBB" w:rsidRDefault="00512D0D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:rsidR="00D42937" w:rsidRPr="00A40DBB" w:rsidRDefault="00D42937" w:rsidP="001A6522">
      <w:pPr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:rsidR="001A6522" w:rsidRPr="00A40DBB" w:rsidRDefault="00A40DBB" w:rsidP="005D068E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V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L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D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A</w:t>
      </w:r>
    </w:p>
    <w:p w:rsidR="004B357A" w:rsidRPr="00A40DBB" w:rsidRDefault="004B357A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:rsidR="00512D0D" w:rsidRPr="00A40DBB" w:rsidRDefault="00512D0D" w:rsidP="001A6522">
      <w:pPr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:rsidR="001A6522" w:rsidRPr="00A40DBB" w:rsidRDefault="001A6522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Pr="00A40DBB">
        <w:rPr>
          <w:rFonts w:ascii="Times New Roman" w:hAnsi="Times New Roman"/>
          <w:noProof/>
          <w:sz w:val="24"/>
          <w:lang w:val="sr-Latn-CS"/>
        </w:rPr>
        <w:tab/>
      </w:r>
      <w:r w:rsidR="00966318" w:rsidRPr="00A40DBB">
        <w:rPr>
          <w:rFonts w:ascii="Times New Roman" w:hAnsi="Times New Roman"/>
          <w:noProof/>
          <w:sz w:val="24"/>
          <w:lang w:val="sr-Latn-CS"/>
        </w:rPr>
        <w:t xml:space="preserve">                  </w:t>
      </w:r>
      <w:r w:rsidR="00A40DBB">
        <w:rPr>
          <w:rFonts w:ascii="Times New Roman" w:hAnsi="Times New Roman"/>
          <w:noProof/>
          <w:sz w:val="24"/>
          <w:lang w:val="sr-Latn-CS"/>
        </w:rPr>
        <w:t>PREDSEDNIK</w:t>
      </w:r>
    </w:p>
    <w:p w:rsidR="00D42937" w:rsidRPr="00A40DBB" w:rsidRDefault="00D42937" w:rsidP="00B47DE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</w:p>
    <w:p w:rsidR="004A7354" w:rsidRPr="00A40DBB" w:rsidRDefault="00512D0D" w:rsidP="004918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  <w:lang w:val="sr-Latn-CS"/>
        </w:rPr>
      </w:pP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1A6522" w:rsidRPr="00A40DBB">
        <w:rPr>
          <w:rFonts w:ascii="Times New Roman" w:hAnsi="Times New Roman"/>
          <w:noProof/>
          <w:sz w:val="24"/>
          <w:lang w:val="sr-Latn-CS"/>
        </w:rPr>
        <w:tab/>
      </w:r>
      <w:r w:rsidR="001A6522" w:rsidRPr="00A40DBB">
        <w:rPr>
          <w:rFonts w:ascii="Times New Roman" w:hAnsi="Times New Roman"/>
          <w:noProof/>
          <w:sz w:val="24"/>
          <w:lang w:val="sr-Latn-CS"/>
        </w:rPr>
        <w:tab/>
      </w:r>
      <w:r w:rsidR="001A6522" w:rsidRPr="00A40DBB">
        <w:rPr>
          <w:rFonts w:ascii="Times New Roman" w:hAnsi="Times New Roman"/>
          <w:noProof/>
          <w:sz w:val="24"/>
          <w:lang w:val="sr-Latn-CS"/>
        </w:rPr>
        <w:tab/>
        <w:t xml:space="preserve">                                                          </w:t>
      </w:r>
      <w:r w:rsidR="002D2A1A" w:rsidRPr="00A40DBB">
        <w:rPr>
          <w:rFonts w:ascii="Times New Roman" w:hAnsi="Times New Roman"/>
          <w:noProof/>
          <w:sz w:val="24"/>
          <w:lang w:val="sr-Latn-CS"/>
        </w:rPr>
        <w:t xml:space="preserve">   </w:t>
      </w:r>
      <w:r w:rsidR="00966318" w:rsidRPr="00A40DBB">
        <w:rPr>
          <w:rFonts w:ascii="Times New Roman" w:hAnsi="Times New Roman"/>
          <w:noProof/>
          <w:sz w:val="24"/>
          <w:lang w:val="sr-Latn-CS"/>
        </w:rPr>
        <w:t xml:space="preserve">                </w:t>
      </w:r>
      <w:r w:rsidR="00A40DBB">
        <w:rPr>
          <w:rFonts w:ascii="Times New Roman" w:hAnsi="Times New Roman"/>
          <w:noProof/>
          <w:sz w:val="24"/>
          <w:lang w:val="sr-Latn-CS"/>
        </w:rPr>
        <w:t>Ana</w:t>
      </w:r>
      <w:r w:rsidR="00485F48"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Brnab</w:t>
      </w:r>
      <w:bookmarkStart w:id="26" w:name="str_42"/>
      <w:bookmarkEnd w:id="26"/>
      <w:r w:rsidR="00A40DBB">
        <w:rPr>
          <w:rFonts w:ascii="Times New Roman" w:hAnsi="Times New Roman"/>
          <w:noProof/>
          <w:sz w:val="24"/>
          <w:lang w:val="sr-Latn-CS"/>
        </w:rPr>
        <w:t>ić</w:t>
      </w:r>
      <w:r w:rsidR="00151049" w:rsidRPr="00A40DBB">
        <w:rPr>
          <w:rFonts w:ascii="Times New Roman" w:hAnsi="Times New Roman"/>
          <w:noProof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s</w:t>
      </w:r>
      <w:r w:rsidR="00151049" w:rsidRPr="00A40DBB">
        <w:rPr>
          <w:rFonts w:ascii="Times New Roman" w:hAnsi="Times New Roman"/>
          <w:noProof/>
          <w:sz w:val="24"/>
          <w:lang w:val="sr-Latn-CS"/>
        </w:rPr>
        <w:t>.</w:t>
      </w:r>
      <w:r w:rsidR="00A40DBB">
        <w:rPr>
          <w:rFonts w:ascii="Times New Roman" w:hAnsi="Times New Roman"/>
          <w:noProof/>
          <w:sz w:val="24"/>
          <w:lang w:val="sr-Latn-CS"/>
        </w:rPr>
        <w:t>r</w:t>
      </w:r>
      <w:r w:rsidR="00151049" w:rsidRPr="00A40DBB">
        <w:rPr>
          <w:rFonts w:ascii="Times New Roman" w:hAnsi="Times New Roman"/>
          <w:noProof/>
          <w:sz w:val="24"/>
          <w:lang w:val="sr-Latn-CS"/>
        </w:rPr>
        <w:t>.</w:t>
      </w:r>
    </w:p>
    <w:p w:rsidR="009E40FD" w:rsidRPr="00A40DBB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:rsidR="009E40FD" w:rsidRPr="00A40DBB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:rsidR="009E40FD" w:rsidRPr="00A40DBB" w:rsidRDefault="009E40FD" w:rsidP="009E40FD">
      <w:pPr>
        <w:tabs>
          <w:tab w:val="left" w:pos="900"/>
        </w:tabs>
        <w:spacing w:after="0" w:line="240" w:lineRule="auto"/>
        <w:rPr>
          <w:rFonts w:ascii="Times New Roman" w:hAnsi="Times New Roman"/>
          <w:noProof/>
          <w:sz w:val="24"/>
          <w:lang w:val="sr-Latn-CS"/>
        </w:rPr>
      </w:pPr>
    </w:p>
    <w:p w:rsidR="009E40FD" w:rsidRPr="00A40DBB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9E40FD" w:rsidRPr="00A40DBB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9E40FD" w:rsidRPr="00A40DBB" w:rsidRDefault="009E40FD" w:rsidP="009E40FD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>
      <w:pPr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br w:type="page"/>
      </w:r>
    </w:p>
    <w:p w:rsidR="00262987" w:rsidRPr="00A40DBB" w:rsidRDefault="00A40DBB" w:rsidP="00262987">
      <w:pPr>
        <w:tabs>
          <w:tab w:val="left" w:pos="900"/>
        </w:tabs>
        <w:spacing w:after="0" w:line="240" w:lineRule="auto"/>
        <w:jc w:val="right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lastRenderedPageBreak/>
        <w:t>PRILOG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A40DBB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NAČIN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POSTUPAK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KONTROLE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VISINE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 w:rsidP="0026298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1.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PREDVIĐENOG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BIZNIS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PLANU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1.1.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nalaza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kontrole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tačke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2.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priloga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sz w:val="24"/>
          <w:lang w:val="sr-Latn-CS"/>
        </w:rPr>
        <w:t>organ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ili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lice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koji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vrši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kontrolu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sačinjava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predviđenog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biznis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planom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daljem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tekstu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: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).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1.2.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struktura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sadrži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1)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uvodni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deo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: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podaci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kao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aneksu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/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aneksima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postoje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naziv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matični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broj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poreski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identifikacioni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broj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broj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predmet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dinamiku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rok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investicionog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projekta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Prijavu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dodelu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podsticaja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revizorski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/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izveštaj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/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ovlašćenog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procenitelja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korišćeni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postupku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kontrole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može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sadrži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druge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podatke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2)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dostavljenu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kao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eventualno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naknadno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dostavljenu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kontrola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skladu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tačkom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2.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priloga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3)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podatke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dostavljena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zahtev</w:t>
      </w:r>
      <w:r w:rsidRPr="00A40DBB">
        <w:rPr>
          <w:rFonts w:ascii="Times New Roman" w:hAnsi="Times New Roman"/>
          <w:noProof/>
          <w:color w:val="FF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nezavisnog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ovlašćenog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revizora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koji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vrši</w:t>
      </w:r>
      <w:r w:rsidRPr="00A40DBB">
        <w:rPr>
          <w:rFonts w:ascii="Times New Roman" w:hAnsi="Times New Roman"/>
          <w:noProof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kontrolu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bilo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takve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4)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nalaz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analize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predmet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kontrole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skladu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tačkom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2.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priloga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262987" w:rsidRPr="00A40DBB" w:rsidRDefault="00262987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2.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VRŠI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KONTROLA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VISINE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</w:p>
    <w:p w:rsidR="00262987" w:rsidRPr="00A40DBB" w:rsidRDefault="00A40DBB" w:rsidP="0026298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Kontrola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visine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ulaganja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predviđenog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investicionim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projektom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zavisnosti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od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predmeta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investiranja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vrši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osnovu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sledeće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dokumentacije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dokazivanje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imovinu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stečenu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direktnom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investicijom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koristi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isključivo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korisnik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: 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izjava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odgovornog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lica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imovinu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stečenu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direktnom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investicijom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koristi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isključivo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imovina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evidentirana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b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dokazivanje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trajanja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zakupa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: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zakupu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v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materijalna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sredstva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zemljište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sticanje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naknadu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kupoprodaji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plaćanju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izvod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katastra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zemljišnih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sticanje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bez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naknade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pravni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sticanje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bez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naknade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–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  <w:r w:rsidRPr="00A40DBB">
        <w:rPr>
          <w:noProof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zakup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zemljišta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zakupu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B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zgrade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proizvodne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pogone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-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 greenfield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građevinska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predviđena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konkretnu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vrstu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građevinskih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upotrebna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objekte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grupu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izdata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građevinska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upisan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list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nepokretnosti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kao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vlasništvo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lastRenderedPageBreak/>
        <w:t>4)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zapisnik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prijemu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izvršenih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zapisnik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komisije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tehnički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prijem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5)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-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 brownfield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obuhvataju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rekonstrukciju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postojećih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objekata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kupoprodaji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vlasnički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list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ili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upotrebna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zakupu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objekta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podrazumevaju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rekonstrukciju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/</w:t>
      </w:r>
      <w:r>
        <w:rPr>
          <w:rFonts w:ascii="Times New Roman" w:hAnsi="Times New Roman"/>
          <w:noProof/>
          <w:color w:val="000000"/>
          <w:sz w:val="24"/>
          <w:lang w:val="sr-Latn-CS"/>
        </w:rPr>
        <w:t>adaptaciju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postojećih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objekata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rekonstrukciju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/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adaptaciju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upotrebna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uredno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sačinjene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overene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privremene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situacije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okončana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situacija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dokazima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plaćanju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4)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zapisnik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prijemu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izvršenih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zapisnik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komisije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tehnički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prijem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5)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V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Postrojenja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mašine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oprema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-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Nova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oprema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fakture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dobavljača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investitoru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;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carinska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uvezenoj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opremi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postao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-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Upotrebljavana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oprema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fakture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dobavljača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prema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investitoru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;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carinska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dokumentacija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radi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uvezenoj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opremi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plaćanju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dobavljaču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ako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unosi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sopstveno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sredstvo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–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vlasništvu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unosu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opreme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ime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izvršenja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obaveze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procena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sz w:val="24"/>
          <w:lang w:val="sr-Latn-CS"/>
        </w:rPr>
        <w:t>sadašnje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vrednosti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unetih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strane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ovlašćenog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procenitelja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(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sudskog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veštaka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),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4)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postao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5)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evidenciji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G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nematerijalna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sredstva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1)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pravni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osnov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sticanje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2)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fakture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dobavljača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3)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dokaz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je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nematerijalno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sredstvo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evidentirano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poslovnim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knjigama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,</w:t>
      </w:r>
    </w:p>
    <w:p w:rsidR="00262987" w:rsidRPr="00A40DBB" w:rsidRDefault="00262987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4)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ab/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izjava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odgovornog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lica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nematerijalna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koristi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isključivo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korisnik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sredstava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262987" w:rsidRPr="00A40DBB" w:rsidRDefault="00A40DBB" w:rsidP="0026298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D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Usluge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koje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mogu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biti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predmet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međunarodne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trgovine</w:t>
      </w:r>
      <w:r w:rsidR="00262987" w:rsidRPr="00A40DBB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9536F9" w:rsidRPr="00A40DBB" w:rsidRDefault="00262987" w:rsidP="00D35477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lang w:val="sr-Latn-CS"/>
        </w:rPr>
      </w:pP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1)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kupoprodaji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odnosno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vlasnički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list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ili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upotrebna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dozvola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objekat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,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ugovor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A40DBB">
        <w:rPr>
          <w:rFonts w:ascii="Times New Roman" w:hAnsi="Times New Roman"/>
          <w:noProof/>
          <w:color w:val="000000"/>
          <w:sz w:val="24"/>
          <w:lang w:val="sr-Latn-CS"/>
        </w:rPr>
        <w:t>zakupu</w:t>
      </w:r>
      <w:r w:rsidRPr="00A40DBB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sectPr w:rsidR="009536F9" w:rsidRPr="00A40DBB" w:rsidSect="00295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91D" w:rsidRDefault="00E9791D" w:rsidP="00295211">
      <w:pPr>
        <w:spacing w:after="0" w:line="240" w:lineRule="auto"/>
      </w:pPr>
      <w:r>
        <w:separator/>
      </w:r>
    </w:p>
  </w:endnote>
  <w:endnote w:type="continuationSeparator" w:id="0">
    <w:p w:rsidR="00E9791D" w:rsidRDefault="00E9791D" w:rsidP="0029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BB" w:rsidRDefault="00A40D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385186525"/>
      <w:docPartObj>
        <w:docPartGallery w:val="Page Numbers (Bottom of Page)"/>
        <w:docPartUnique/>
      </w:docPartObj>
    </w:sdtPr>
    <w:sdtContent>
      <w:p w:rsidR="00E33726" w:rsidRPr="00A40DBB" w:rsidRDefault="006F30FA">
        <w:pPr>
          <w:pStyle w:val="Footer"/>
          <w:jc w:val="center"/>
          <w:rPr>
            <w:noProof/>
            <w:lang w:val="sr-Latn-CS"/>
          </w:rPr>
        </w:pPr>
        <w:r w:rsidRPr="00A40DBB">
          <w:rPr>
            <w:noProof/>
            <w:lang w:val="sr-Latn-CS"/>
          </w:rPr>
          <w:fldChar w:fldCharType="begin"/>
        </w:r>
        <w:r w:rsidR="00E33726" w:rsidRPr="00A40DBB">
          <w:rPr>
            <w:noProof/>
            <w:lang w:val="sr-Latn-CS"/>
          </w:rPr>
          <w:instrText xml:space="preserve"> PAGE   \* MERGEFORMAT </w:instrText>
        </w:r>
        <w:r w:rsidRPr="00A40DBB">
          <w:rPr>
            <w:noProof/>
            <w:lang w:val="sr-Latn-CS"/>
          </w:rPr>
          <w:fldChar w:fldCharType="separate"/>
        </w:r>
        <w:r w:rsidR="00A40DBB">
          <w:rPr>
            <w:noProof/>
            <w:lang w:val="sr-Latn-CS"/>
          </w:rPr>
          <w:t>25</w:t>
        </w:r>
        <w:r w:rsidRPr="00A40DBB">
          <w:rPr>
            <w:noProof/>
            <w:lang w:val="sr-Latn-CS"/>
          </w:rPr>
          <w:fldChar w:fldCharType="end"/>
        </w:r>
      </w:p>
    </w:sdtContent>
  </w:sdt>
  <w:p w:rsidR="00E33726" w:rsidRPr="00A40DBB" w:rsidRDefault="00E33726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BB" w:rsidRDefault="00A40D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91D" w:rsidRDefault="00E9791D" w:rsidP="00295211">
      <w:pPr>
        <w:spacing w:after="0" w:line="240" w:lineRule="auto"/>
      </w:pPr>
      <w:r>
        <w:separator/>
      </w:r>
    </w:p>
  </w:footnote>
  <w:footnote w:type="continuationSeparator" w:id="0">
    <w:p w:rsidR="00E9791D" w:rsidRDefault="00E9791D" w:rsidP="00295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BB" w:rsidRDefault="00A40D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BB" w:rsidRDefault="00A40D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BB" w:rsidRDefault="00A40D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92256"/>
    <w:multiLevelType w:val="hybridMultilevel"/>
    <w:tmpl w:val="83827BC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9280F"/>
    <w:multiLevelType w:val="hybridMultilevel"/>
    <w:tmpl w:val="116A607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2040A"/>
    <w:multiLevelType w:val="hybridMultilevel"/>
    <w:tmpl w:val="E8161F7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3137"/>
    <w:multiLevelType w:val="hybridMultilevel"/>
    <w:tmpl w:val="29B8C1F0"/>
    <w:lvl w:ilvl="0" w:tplc="D31EDBE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27686"/>
    <w:multiLevelType w:val="hybridMultilevel"/>
    <w:tmpl w:val="5510B18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38046D"/>
    <w:multiLevelType w:val="hybridMultilevel"/>
    <w:tmpl w:val="475268EC"/>
    <w:lvl w:ilvl="0" w:tplc="201C5214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BF26AA"/>
    <w:multiLevelType w:val="hybridMultilevel"/>
    <w:tmpl w:val="221E3FE0"/>
    <w:lvl w:ilvl="0" w:tplc="4E769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7664D"/>
    <w:multiLevelType w:val="hybridMultilevel"/>
    <w:tmpl w:val="5270E1A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224"/>
    <w:rsid w:val="000018AC"/>
    <w:rsid w:val="00003891"/>
    <w:rsid w:val="00013372"/>
    <w:rsid w:val="00021028"/>
    <w:rsid w:val="000233A1"/>
    <w:rsid w:val="00023B45"/>
    <w:rsid w:val="00024D81"/>
    <w:rsid w:val="0003171A"/>
    <w:rsid w:val="00032F67"/>
    <w:rsid w:val="0004042F"/>
    <w:rsid w:val="00040CFB"/>
    <w:rsid w:val="00043A1D"/>
    <w:rsid w:val="000458EB"/>
    <w:rsid w:val="00046F8D"/>
    <w:rsid w:val="00047CA7"/>
    <w:rsid w:val="00047F7E"/>
    <w:rsid w:val="00050150"/>
    <w:rsid w:val="0005125E"/>
    <w:rsid w:val="00053B49"/>
    <w:rsid w:val="00056BE5"/>
    <w:rsid w:val="00056E4F"/>
    <w:rsid w:val="00060B20"/>
    <w:rsid w:val="0006310F"/>
    <w:rsid w:val="00072F5A"/>
    <w:rsid w:val="000746A3"/>
    <w:rsid w:val="0007634D"/>
    <w:rsid w:val="000777BB"/>
    <w:rsid w:val="00081F0B"/>
    <w:rsid w:val="00083C1F"/>
    <w:rsid w:val="000919DA"/>
    <w:rsid w:val="00092297"/>
    <w:rsid w:val="000A189F"/>
    <w:rsid w:val="000A26B6"/>
    <w:rsid w:val="000A46C0"/>
    <w:rsid w:val="000A62F3"/>
    <w:rsid w:val="000B2369"/>
    <w:rsid w:val="000B372F"/>
    <w:rsid w:val="000B6137"/>
    <w:rsid w:val="000B637D"/>
    <w:rsid w:val="000C4515"/>
    <w:rsid w:val="000C669C"/>
    <w:rsid w:val="000C7A4C"/>
    <w:rsid w:val="000D0AFD"/>
    <w:rsid w:val="000D72DE"/>
    <w:rsid w:val="000E1160"/>
    <w:rsid w:val="000E17B0"/>
    <w:rsid w:val="000F1F95"/>
    <w:rsid w:val="000F2A47"/>
    <w:rsid w:val="000F4D06"/>
    <w:rsid w:val="000F743F"/>
    <w:rsid w:val="001006A1"/>
    <w:rsid w:val="001026D1"/>
    <w:rsid w:val="00102B99"/>
    <w:rsid w:val="00103CF9"/>
    <w:rsid w:val="0010670E"/>
    <w:rsid w:val="001076C5"/>
    <w:rsid w:val="00107D10"/>
    <w:rsid w:val="00111491"/>
    <w:rsid w:val="001176F8"/>
    <w:rsid w:val="00121766"/>
    <w:rsid w:val="00124CBF"/>
    <w:rsid w:val="00127999"/>
    <w:rsid w:val="00127D58"/>
    <w:rsid w:val="001315B7"/>
    <w:rsid w:val="00131933"/>
    <w:rsid w:val="00135EB5"/>
    <w:rsid w:val="00137350"/>
    <w:rsid w:val="00137DD7"/>
    <w:rsid w:val="001422C0"/>
    <w:rsid w:val="00144533"/>
    <w:rsid w:val="00145EB8"/>
    <w:rsid w:val="00151049"/>
    <w:rsid w:val="0015382E"/>
    <w:rsid w:val="001550D0"/>
    <w:rsid w:val="001569D9"/>
    <w:rsid w:val="00157C88"/>
    <w:rsid w:val="00157F2F"/>
    <w:rsid w:val="00161EF5"/>
    <w:rsid w:val="0016426C"/>
    <w:rsid w:val="00164CB1"/>
    <w:rsid w:val="00165D48"/>
    <w:rsid w:val="00167EF9"/>
    <w:rsid w:val="00167F06"/>
    <w:rsid w:val="00181D14"/>
    <w:rsid w:val="00182DD8"/>
    <w:rsid w:val="001835C1"/>
    <w:rsid w:val="001847B2"/>
    <w:rsid w:val="00185930"/>
    <w:rsid w:val="00191150"/>
    <w:rsid w:val="00192D86"/>
    <w:rsid w:val="001947AE"/>
    <w:rsid w:val="00195E12"/>
    <w:rsid w:val="001977DE"/>
    <w:rsid w:val="001A2550"/>
    <w:rsid w:val="001A27FB"/>
    <w:rsid w:val="001A2AEF"/>
    <w:rsid w:val="001A50BC"/>
    <w:rsid w:val="001A6522"/>
    <w:rsid w:val="001B1D5E"/>
    <w:rsid w:val="001B1E6D"/>
    <w:rsid w:val="001B553E"/>
    <w:rsid w:val="001B6EF3"/>
    <w:rsid w:val="001B7101"/>
    <w:rsid w:val="001B7208"/>
    <w:rsid w:val="001B780D"/>
    <w:rsid w:val="001C62DF"/>
    <w:rsid w:val="001D4289"/>
    <w:rsid w:val="001D691D"/>
    <w:rsid w:val="001D77F0"/>
    <w:rsid w:val="001E11AC"/>
    <w:rsid w:val="001E34DA"/>
    <w:rsid w:val="001E6AF1"/>
    <w:rsid w:val="001F07A8"/>
    <w:rsid w:val="001F2014"/>
    <w:rsid w:val="001F28FA"/>
    <w:rsid w:val="001F50BF"/>
    <w:rsid w:val="001F50C0"/>
    <w:rsid w:val="001F7656"/>
    <w:rsid w:val="00216158"/>
    <w:rsid w:val="002228C9"/>
    <w:rsid w:val="002256B9"/>
    <w:rsid w:val="00225B64"/>
    <w:rsid w:val="00227969"/>
    <w:rsid w:val="00233EB4"/>
    <w:rsid w:val="00237146"/>
    <w:rsid w:val="00241901"/>
    <w:rsid w:val="00241C47"/>
    <w:rsid w:val="002424C6"/>
    <w:rsid w:val="00244A69"/>
    <w:rsid w:val="00244FBF"/>
    <w:rsid w:val="00247781"/>
    <w:rsid w:val="0025258C"/>
    <w:rsid w:val="00260A32"/>
    <w:rsid w:val="00261F86"/>
    <w:rsid w:val="00262987"/>
    <w:rsid w:val="00263E52"/>
    <w:rsid w:val="002671DD"/>
    <w:rsid w:val="00270744"/>
    <w:rsid w:val="002714C3"/>
    <w:rsid w:val="00272163"/>
    <w:rsid w:val="0027465C"/>
    <w:rsid w:val="00274E37"/>
    <w:rsid w:val="002804BE"/>
    <w:rsid w:val="002818B1"/>
    <w:rsid w:val="002819B4"/>
    <w:rsid w:val="00283408"/>
    <w:rsid w:val="002854AC"/>
    <w:rsid w:val="00295211"/>
    <w:rsid w:val="00295880"/>
    <w:rsid w:val="002958A1"/>
    <w:rsid w:val="002A0EE5"/>
    <w:rsid w:val="002A4B68"/>
    <w:rsid w:val="002A6306"/>
    <w:rsid w:val="002B4A4F"/>
    <w:rsid w:val="002C65A2"/>
    <w:rsid w:val="002D08BC"/>
    <w:rsid w:val="002D2A1A"/>
    <w:rsid w:val="002D3738"/>
    <w:rsid w:val="002D4F80"/>
    <w:rsid w:val="002E0A14"/>
    <w:rsid w:val="002E4D1E"/>
    <w:rsid w:val="002E7269"/>
    <w:rsid w:val="002F0EFD"/>
    <w:rsid w:val="002F26AA"/>
    <w:rsid w:val="002F6AAB"/>
    <w:rsid w:val="00301714"/>
    <w:rsid w:val="003066F2"/>
    <w:rsid w:val="003103A7"/>
    <w:rsid w:val="00311341"/>
    <w:rsid w:val="003126BD"/>
    <w:rsid w:val="0031597E"/>
    <w:rsid w:val="00320C99"/>
    <w:rsid w:val="00321CBA"/>
    <w:rsid w:val="003220E9"/>
    <w:rsid w:val="003247B4"/>
    <w:rsid w:val="00325DFF"/>
    <w:rsid w:val="00332277"/>
    <w:rsid w:val="003322EC"/>
    <w:rsid w:val="00336BAA"/>
    <w:rsid w:val="0033749D"/>
    <w:rsid w:val="00337FAE"/>
    <w:rsid w:val="00340530"/>
    <w:rsid w:val="00341311"/>
    <w:rsid w:val="003430B4"/>
    <w:rsid w:val="003434C0"/>
    <w:rsid w:val="00344DA6"/>
    <w:rsid w:val="003517FB"/>
    <w:rsid w:val="00351C8F"/>
    <w:rsid w:val="0036645B"/>
    <w:rsid w:val="00370AD7"/>
    <w:rsid w:val="00383799"/>
    <w:rsid w:val="00386540"/>
    <w:rsid w:val="00386842"/>
    <w:rsid w:val="0038715E"/>
    <w:rsid w:val="0039038F"/>
    <w:rsid w:val="00394AE3"/>
    <w:rsid w:val="00394B37"/>
    <w:rsid w:val="00397C8F"/>
    <w:rsid w:val="003A092A"/>
    <w:rsid w:val="003A10EA"/>
    <w:rsid w:val="003A2133"/>
    <w:rsid w:val="003A27F4"/>
    <w:rsid w:val="003A62C3"/>
    <w:rsid w:val="003A65F7"/>
    <w:rsid w:val="003B3FD1"/>
    <w:rsid w:val="003B5313"/>
    <w:rsid w:val="003B592A"/>
    <w:rsid w:val="003B5F9A"/>
    <w:rsid w:val="003C2B56"/>
    <w:rsid w:val="003C7810"/>
    <w:rsid w:val="003D0F01"/>
    <w:rsid w:val="003D1944"/>
    <w:rsid w:val="003D196D"/>
    <w:rsid w:val="003D25B6"/>
    <w:rsid w:val="003D6162"/>
    <w:rsid w:val="003D68D0"/>
    <w:rsid w:val="003E020F"/>
    <w:rsid w:val="003E4210"/>
    <w:rsid w:val="003F10D6"/>
    <w:rsid w:val="003F70F6"/>
    <w:rsid w:val="00404A86"/>
    <w:rsid w:val="004108DE"/>
    <w:rsid w:val="0041772A"/>
    <w:rsid w:val="004206E0"/>
    <w:rsid w:val="004208D8"/>
    <w:rsid w:val="00420B1D"/>
    <w:rsid w:val="004212A7"/>
    <w:rsid w:val="00424CFB"/>
    <w:rsid w:val="00426452"/>
    <w:rsid w:val="00426802"/>
    <w:rsid w:val="0042689F"/>
    <w:rsid w:val="0043253A"/>
    <w:rsid w:val="00432C59"/>
    <w:rsid w:val="00435058"/>
    <w:rsid w:val="0043608D"/>
    <w:rsid w:val="0044150F"/>
    <w:rsid w:val="0044313E"/>
    <w:rsid w:val="004458FE"/>
    <w:rsid w:val="0045017C"/>
    <w:rsid w:val="0045136E"/>
    <w:rsid w:val="004515B3"/>
    <w:rsid w:val="00453007"/>
    <w:rsid w:val="00455D55"/>
    <w:rsid w:val="00466CFE"/>
    <w:rsid w:val="0046704A"/>
    <w:rsid w:val="00467867"/>
    <w:rsid w:val="004704CD"/>
    <w:rsid w:val="00471BE9"/>
    <w:rsid w:val="0047291B"/>
    <w:rsid w:val="00473241"/>
    <w:rsid w:val="00475BFC"/>
    <w:rsid w:val="00476857"/>
    <w:rsid w:val="00477521"/>
    <w:rsid w:val="00483D16"/>
    <w:rsid w:val="00483DE5"/>
    <w:rsid w:val="00485F48"/>
    <w:rsid w:val="004867AD"/>
    <w:rsid w:val="004875DE"/>
    <w:rsid w:val="00491809"/>
    <w:rsid w:val="004933C9"/>
    <w:rsid w:val="004A28BD"/>
    <w:rsid w:val="004A5094"/>
    <w:rsid w:val="004A5B9D"/>
    <w:rsid w:val="004A6491"/>
    <w:rsid w:val="004A7354"/>
    <w:rsid w:val="004B0FF4"/>
    <w:rsid w:val="004B357A"/>
    <w:rsid w:val="004C0877"/>
    <w:rsid w:val="004C5F29"/>
    <w:rsid w:val="004D3EC8"/>
    <w:rsid w:val="004D69A1"/>
    <w:rsid w:val="004E049E"/>
    <w:rsid w:val="004E2692"/>
    <w:rsid w:val="004E636A"/>
    <w:rsid w:val="004E7326"/>
    <w:rsid w:val="004F4610"/>
    <w:rsid w:val="004F4781"/>
    <w:rsid w:val="004F4C89"/>
    <w:rsid w:val="00500947"/>
    <w:rsid w:val="005013D3"/>
    <w:rsid w:val="00501B01"/>
    <w:rsid w:val="0051001A"/>
    <w:rsid w:val="00512967"/>
    <w:rsid w:val="00512D0D"/>
    <w:rsid w:val="005178BF"/>
    <w:rsid w:val="00532086"/>
    <w:rsid w:val="005324E7"/>
    <w:rsid w:val="005334E4"/>
    <w:rsid w:val="005341FF"/>
    <w:rsid w:val="00536E64"/>
    <w:rsid w:val="00537555"/>
    <w:rsid w:val="00545EEB"/>
    <w:rsid w:val="00546ACE"/>
    <w:rsid w:val="00550B6D"/>
    <w:rsid w:val="00551E72"/>
    <w:rsid w:val="00552572"/>
    <w:rsid w:val="00552609"/>
    <w:rsid w:val="005544E1"/>
    <w:rsid w:val="0056112E"/>
    <w:rsid w:val="005621F5"/>
    <w:rsid w:val="005650DF"/>
    <w:rsid w:val="00565F65"/>
    <w:rsid w:val="0057036C"/>
    <w:rsid w:val="00570ED9"/>
    <w:rsid w:val="00576F3C"/>
    <w:rsid w:val="0058067D"/>
    <w:rsid w:val="00581397"/>
    <w:rsid w:val="00585360"/>
    <w:rsid w:val="00587927"/>
    <w:rsid w:val="00595464"/>
    <w:rsid w:val="0059651E"/>
    <w:rsid w:val="00596860"/>
    <w:rsid w:val="00597386"/>
    <w:rsid w:val="005A11EC"/>
    <w:rsid w:val="005A13E4"/>
    <w:rsid w:val="005A163D"/>
    <w:rsid w:val="005A4248"/>
    <w:rsid w:val="005A65B7"/>
    <w:rsid w:val="005A7A3B"/>
    <w:rsid w:val="005B28F8"/>
    <w:rsid w:val="005B4D23"/>
    <w:rsid w:val="005C114B"/>
    <w:rsid w:val="005C18B4"/>
    <w:rsid w:val="005C258E"/>
    <w:rsid w:val="005C475B"/>
    <w:rsid w:val="005C4C88"/>
    <w:rsid w:val="005C5C09"/>
    <w:rsid w:val="005D068E"/>
    <w:rsid w:val="005D0A95"/>
    <w:rsid w:val="005D209C"/>
    <w:rsid w:val="005D246E"/>
    <w:rsid w:val="005D370A"/>
    <w:rsid w:val="005D3B85"/>
    <w:rsid w:val="005E593B"/>
    <w:rsid w:val="005E64AE"/>
    <w:rsid w:val="005F1D98"/>
    <w:rsid w:val="005F1F14"/>
    <w:rsid w:val="005F311A"/>
    <w:rsid w:val="005F37B0"/>
    <w:rsid w:val="005F459E"/>
    <w:rsid w:val="005F4FC2"/>
    <w:rsid w:val="005F5279"/>
    <w:rsid w:val="005F7CDB"/>
    <w:rsid w:val="005F7E39"/>
    <w:rsid w:val="00604297"/>
    <w:rsid w:val="00605D68"/>
    <w:rsid w:val="006153D6"/>
    <w:rsid w:val="00615553"/>
    <w:rsid w:val="0061593E"/>
    <w:rsid w:val="0061677A"/>
    <w:rsid w:val="00616D00"/>
    <w:rsid w:val="00620AF3"/>
    <w:rsid w:val="00626EB9"/>
    <w:rsid w:val="00630860"/>
    <w:rsid w:val="00630EA1"/>
    <w:rsid w:val="00636A30"/>
    <w:rsid w:val="00645D13"/>
    <w:rsid w:val="00646602"/>
    <w:rsid w:val="00651388"/>
    <w:rsid w:val="0065625E"/>
    <w:rsid w:val="00660191"/>
    <w:rsid w:val="00665C3F"/>
    <w:rsid w:val="00667DEA"/>
    <w:rsid w:val="00667F0A"/>
    <w:rsid w:val="006702CD"/>
    <w:rsid w:val="00675627"/>
    <w:rsid w:val="0067576A"/>
    <w:rsid w:val="00677721"/>
    <w:rsid w:val="00680CE2"/>
    <w:rsid w:val="00680DEF"/>
    <w:rsid w:val="006819CE"/>
    <w:rsid w:val="0068270A"/>
    <w:rsid w:val="0068383F"/>
    <w:rsid w:val="00684F14"/>
    <w:rsid w:val="006860DE"/>
    <w:rsid w:val="006868B3"/>
    <w:rsid w:val="0069351F"/>
    <w:rsid w:val="006964FF"/>
    <w:rsid w:val="006A0F10"/>
    <w:rsid w:val="006A2CE4"/>
    <w:rsid w:val="006A3D08"/>
    <w:rsid w:val="006A3E5A"/>
    <w:rsid w:val="006B1708"/>
    <w:rsid w:val="006B2FFE"/>
    <w:rsid w:val="006B745A"/>
    <w:rsid w:val="006C5CC7"/>
    <w:rsid w:val="006C7F1F"/>
    <w:rsid w:val="006D0731"/>
    <w:rsid w:val="006D16AE"/>
    <w:rsid w:val="006D213C"/>
    <w:rsid w:val="006D2551"/>
    <w:rsid w:val="006D26F8"/>
    <w:rsid w:val="006D409F"/>
    <w:rsid w:val="006D63D9"/>
    <w:rsid w:val="006E0F09"/>
    <w:rsid w:val="006F2CB7"/>
    <w:rsid w:val="006F30AE"/>
    <w:rsid w:val="006F30FA"/>
    <w:rsid w:val="006F5949"/>
    <w:rsid w:val="00706A30"/>
    <w:rsid w:val="00710CFE"/>
    <w:rsid w:val="007128C5"/>
    <w:rsid w:val="00712C04"/>
    <w:rsid w:val="007172A6"/>
    <w:rsid w:val="007207EB"/>
    <w:rsid w:val="0073094A"/>
    <w:rsid w:val="00733FAC"/>
    <w:rsid w:val="00736CFC"/>
    <w:rsid w:val="00737860"/>
    <w:rsid w:val="007405A1"/>
    <w:rsid w:val="0074277F"/>
    <w:rsid w:val="00747D12"/>
    <w:rsid w:val="007543EB"/>
    <w:rsid w:val="00754B84"/>
    <w:rsid w:val="007575CB"/>
    <w:rsid w:val="00763509"/>
    <w:rsid w:val="0076550E"/>
    <w:rsid w:val="00765664"/>
    <w:rsid w:val="00775038"/>
    <w:rsid w:val="00775B67"/>
    <w:rsid w:val="00776AB2"/>
    <w:rsid w:val="00782A58"/>
    <w:rsid w:val="00784365"/>
    <w:rsid w:val="00786385"/>
    <w:rsid w:val="00791958"/>
    <w:rsid w:val="00792192"/>
    <w:rsid w:val="00794410"/>
    <w:rsid w:val="007A386C"/>
    <w:rsid w:val="007A4EA6"/>
    <w:rsid w:val="007B036E"/>
    <w:rsid w:val="007B3169"/>
    <w:rsid w:val="007B4FE7"/>
    <w:rsid w:val="007C6FF9"/>
    <w:rsid w:val="007C7B01"/>
    <w:rsid w:val="007C7F46"/>
    <w:rsid w:val="007D1063"/>
    <w:rsid w:val="007D44A0"/>
    <w:rsid w:val="007D462C"/>
    <w:rsid w:val="007D4F44"/>
    <w:rsid w:val="007D6A6A"/>
    <w:rsid w:val="007E0B24"/>
    <w:rsid w:val="007E1F35"/>
    <w:rsid w:val="007E2B7D"/>
    <w:rsid w:val="007F185F"/>
    <w:rsid w:val="007F6A32"/>
    <w:rsid w:val="00803C9F"/>
    <w:rsid w:val="00805F45"/>
    <w:rsid w:val="0080748B"/>
    <w:rsid w:val="008120C5"/>
    <w:rsid w:val="00812EEA"/>
    <w:rsid w:val="00816241"/>
    <w:rsid w:val="00820DCB"/>
    <w:rsid w:val="0082543E"/>
    <w:rsid w:val="008258A0"/>
    <w:rsid w:val="008264C5"/>
    <w:rsid w:val="00826BA4"/>
    <w:rsid w:val="00843E89"/>
    <w:rsid w:val="0085120F"/>
    <w:rsid w:val="008523FD"/>
    <w:rsid w:val="008529CF"/>
    <w:rsid w:val="008624EA"/>
    <w:rsid w:val="008633E5"/>
    <w:rsid w:val="0086425F"/>
    <w:rsid w:val="0086519A"/>
    <w:rsid w:val="0086714A"/>
    <w:rsid w:val="00867F01"/>
    <w:rsid w:val="00873111"/>
    <w:rsid w:val="008743CC"/>
    <w:rsid w:val="00874A27"/>
    <w:rsid w:val="00874A2C"/>
    <w:rsid w:val="008809D8"/>
    <w:rsid w:val="008913F9"/>
    <w:rsid w:val="00893508"/>
    <w:rsid w:val="008948CC"/>
    <w:rsid w:val="008A10E5"/>
    <w:rsid w:val="008A199F"/>
    <w:rsid w:val="008A2F3A"/>
    <w:rsid w:val="008A53E2"/>
    <w:rsid w:val="008B1ECD"/>
    <w:rsid w:val="008B72CE"/>
    <w:rsid w:val="008C1437"/>
    <w:rsid w:val="008C25F0"/>
    <w:rsid w:val="008C2719"/>
    <w:rsid w:val="008C5664"/>
    <w:rsid w:val="008D1292"/>
    <w:rsid w:val="008D2C8A"/>
    <w:rsid w:val="008D30AD"/>
    <w:rsid w:val="008D3257"/>
    <w:rsid w:val="008D6935"/>
    <w:rsid w:val="008D6E47"/>
    <w:rsid w:val="008E0B32"/>
    <w:rsid w:val="008E48B0"/>
    <w:rsid w:val="008E6E82"/>
    <w:rsid w:val="008F193E"/>
    <w:rsid w:val="008F4B7E"/>
    <w:rsid w:val="0090175A"/>
    <w:rsid w:val="009037B3"/>
    <w:rsid w:val="00905966"/>
    <w:rsid w:val="00906EBC"/>
    <w:rsid w:val="00911D89"/>
    <w:rsid w:val="009133DC"/>
    <w:rsid w:val="00913849"/>
    <w:rsid w:val="00915FC8"/>
    <w:rsid w:val="00926A00"/>
    <w:rsid w:val="00926CCA"/>
    <w:rsid w:val="00927122"/>
    <w:rsid w:val="00935BA6"/>
    <w:rsid w:val="00935C85"/>
    <w:rsid w:val="00937AC3"/>
    <w:rsid w:val="00943F9F"/>
    <w:rsid w:val="009536F9"/>
    <w:rsid w:val="00954D30"/>
    <w:rsid w:val="00957E1A"/>
    <w:rsid w:val="0096036B"/>
    <w:rsid w:val="00961C37"/>
    <w:rsid w:val="009625CC"/>
    <w:rsid w:val="00963AAC"/>
    <w:rsid w:val="00964CAB"/>
    <w:rsid w:val="00966318"/>
    <w:rsid w:val="00966322"/>
    <w:rsid w:val="00966C7B"/>
    <w:rsid w:val="00966D10"/>
    <w:rsid w:val="00967531"/>
    <w:rsid w:val="0097021A"/>
    <w:rsid w:val="00971A76"/>
    <w:rsid w:val="00980B2E"/>
    <w:rsid w:val="009847E6"/>
    <w:rsid w:val="00992510"/>
    <w:rsid w:val="00992949"/>
    <w:rsid w:val="0099341A"/>
    <w:rsid w:val="009A1F16"/>
    <w:rsid w:val="009A24A8"/>
    <w:rsid w:val="009A5613"/>
    <w:rsid w:val="009A71B8"/>
    <w:rsid w:val="009B0571"/>
    <w:rsid w:val="009B1D81"/>
    <w:rsid w:val="009B65E2"/>
    <w:rsid w:val="009C17E4"/>
    <w:rsid w:val="009D05E7"/>
    <w:rsid w:val="009D2221"/>
    <w:rsid w:val="009D3F94"/>
    <w:rsid w:val="009D5551"/>
    <w:rsid w:val="009D680D"/>
    <w:rsid w:val="009D75DA"/>
    <w:rsid w:val="009E0F16"/>
    <w:rsid w:val="009E2C51"/>
    <w:rsid w:val="009E2FC4"/>
    <w:rsid w:val="009E31EA"/>
    <w:rsid w:val="009E3B6D"/>
    <w:rsid w:val="009E40FD"/>
    <w:rsid w:val="009F277D"/>
    <w:rsid w:val="009F7871"/>
    <w:rsid w:val="00A01062"/>
    <w:rsid w:val="00A05C81"/>
    <w:rsid w:val="00A1289B"/>
    <w:rsid w:val="00A15557"/>
    <w:rsid w:val="00A169EB"/>
    <w:rsid w:val="00A23AC8"/>
    <w:rsid w:val="00A27EE1"/>
    <w:rsid w:val="00A34B11"/>
    <w:rsid w:val="00A3678E"/>
    <w:rsid w:val="00A40DBB"/>
    <w:rsid w:val="00A42E9C"/>
    <w:rsid w:val="00A45C30"/>
    <w:rsid w:val="00A46B77"/>
    <w:rsid w:val="00A53E96"/>
    <w:rsid w:val="00A54B1E"/>
    <w:rsid w:val="00A6506F"/>
    <w:rsid w:val="00A667DD"/>
    <w:rsid w:val="00A77D93"/>
    <w:rsid w:val="00A818E0"/>
    <w:rsid w:val="00A8204B"/>
    <w:rsid w:val="00A85DD0"/>
    <w:rsid w:val="00A905B9"/>
    <w:rsid w:val="00A94DFB"/>
    <w:rsid w:val="00A95178"/>
    <w:rsid w:val="00A95EFC"/>
    <w:rsid w:val="00AA04A3"/>
    <w:rsid w:val="00AA260D"/>
    <w:rsid w:val="00AA51A7"/>
    <w:rsid w:val="00AA5B33"/>
    <w:rsid w:val="00AB07F7"/>
    <w:rsid w:val="00AB0887"/>
    <w:rsid w:val="00AB57D5"/>
    <w:rsid w:val="00AB6506"/>
    <w:rsid w:val="00AC0412"/>
    <w:rsid w:val="00AC0DCE"/>
    <w:rsid w:val="00AC5450"/>
    <w:rsid w:val="00AC68F0"/>
    <w:rsid w:val="00AD0842"/>
    <w:rsid w:val="00AD3360"/>
    <w:rsid w:val="00AD3D4D"/>
    <w:rsid w:val="00AD600F"/>
    <w:rsid w:val="00AD629A"/>
    <w:rsid w:val="00AE50D2"/>
    <w:rsid w:val="00AE67EA"/>
    <w:rsid w:val="00AF2D8C"/>
    <w:rsid w:val="00AF4239"/>
    <w:rsid w:val="00AF4515"/>
    <w:rsid w:val="00B01BD6"/>
    <w:rsid w:val="00B10168"/>
    <w:rsid w:val="00B10A4E"/>
    <w:rsid w:val="00B13746"/>
    <w:rsid w:val="00B14B79"/>
    <w:rsid w:val="00B14E21"/>
    <w:rsid w:val="00B21362"/>
    <w:rsid w:val="00B3049E"/>
    <w:rsid w:val="00B40A2F"/>
    <w:rsid w:val="00B423E2"/>
    <w:rsid w:val="00B4253D"/>
    <w:rsid w:val="00B43E47"/>
    <w:rsid w:val="00B43F71"/>
    <w:rsid w:val="00B442AC"/>
    <w:rsid w:val="00B46B0A"/>
    <w:rsid w:val="00B47DEB"/>
    <w:rsid w:val="00B50189"/>
    <w:rsid w:val="00B5027C"/>
    <w:rsid w:val="00B51540"/>
    <w:rsid w:val="00B519C4"/>
    <w:rsid w:val="00B52966"/>
    <w:rsid w:val="00B5326F"/>
    <w:rsid w:val="00B56AD7"/>
    <w:rsid w:val="00B617BF"/>
    <w:rsid w:val="00B62171"/>
    <w:rsid w:val="00B66E88"/>
    <w:rsid w:val="00B678C4"/>
    <w:rsid w:val="00B7131E"/>
    <w:rsid w:val="00B7283A"/>
    <w:rsid w:val="00B73EED"/>
    <w:rsid w:val="00B76257"/>
    <w:rsid w:val="00B7700F"/>
    <w:rsid w:val="00B87084"/>
    <w:rsid w:val="00B9087E"/>
    <w:rsid w:val="00B91F18"/>
    <w:rsid w:val="00B930E4"/>
    <w:rsid w:val="00B9471D"/>
    <w:rsid w:val="00BA2DBB"/>
    <w:rsid w:val="00BA3C85"/>
    <w:rsid w:val="00BA568A"/>
    <w:rsid w:val="00BA71FF"/>
    <w:rsid w:val="00BB2B97"/>
    <w:rsid w:val="00BB4006"/>
    <w:rsid w:val="00BB5B1C"/>
    <w:rsid w:val="00BB6D71"/>
    <w:rsid w:val="00BC0D93"/>
    <w:rsid w:val="00BC2D35"/>
    <w:rsid w:val="00BC3FFB"/>
    <w:rsid w:val="00BC59B2"/>
    <w:rsid w:val="00BC5F80"/>
    <w:rsid w:val="00BD4BC6"/>
    <w:rsid w:val="00BD7193"/>
    <w:rsid w:val="00BD7379"/>
    <w:rsid w:val="00BE1C5C"/>
    <w:rsid w:val="00BE2DA9"/>
    <w:rsid w:val="00BE383A"/>
    <w:rsid w:val="00BE4E02"/>
    <w:rsid w:val="00BE5584"/>
    <w:rsid w:val="00BE6692"/>
    <w:rsid w:val="00BE6CBB"/>
    <w:rsid w:val="00BF351B"/>
    <w:rsid w:val="00BF675F"/>
    <w:rsid w:val="00C04EC8"/>
    <w:rsid w:val="00C05533"/>
    <w:rsid w:val="00C066C1"/>
    <w:rsid w:val="00C11BD0"/>
    <w:rsid w:val="00C15B4F"/>
    <w:rsid w:val="00C167F5"/>
    <w:rsid w:val="00C210FA"/>
    <w:rsid w:val="00C22855"/>
    <w:rsid w:val="00C30F0D"/>
    <w:rsid w:val="00C329E1"/>
    <w:rsid w:val="00C34945"/>
    <w:rsid w:val="00C35797"/>
    <w:rsid w:val="00C35BB2"/>
    <w:rsid w:val="00C3773C"/>
    <w:rsid w:val="00C426B3"/>
    <w:rsid w:val="00C43AC4"/>
    <w:rsid w:val="00C51A8A"/>
    <w:rsid w:val="00C51FF3"/>
    <w:rsid w:val="00C53E85"/>
    <w:rsid w:val="00C53F5B"/>
    <w:rsid w:val="00C55F66"/>
    <w:rsid w:val="00C61B39"/>
    <w:rsid w:val="00C6347E"/>
    <w:rsid w:val="00C63AA0"/>
    <w:rsid w:val="00C644E7"/>
    <w:rsid w:val="00C6744A"/>
    <w:rsid w:val="00C723CE"/>
    <w:rsid w:val="00C81D14"/>
    <w:rsid w:val="00C82311"/>
    <w:rsid w:val="00C830DC"/>
    <w:rsid w:val="00C965F3"/>
    <w:rsid w:val="00C9707D"/>
    <w:rsid w:val="00CA1A16"/>
    <w:rsid w:val="00CA27C1"/>
    <w:rsid w:val="00CA27E4"/>
    <w:rsid w:val="00CA4C7F"/>
    <w:rsid w:val="00CA4DE5"/>
    <w:rsid w:val="00CB7D23"/>
    <w:rsid w:val="00CD2C17"/>
    <w:rsid w:val="00CD5F5C"/>
    <w:rsid w:val="00CD7E4C"/>
    <w:rsid w:val="00CE3954"/>
    <w:rsid w:val="00CE6450"/>
    <w:rsid w:val="00CF2CA2"/>
    <w:rsid w:val="00CF4BD5"/>
    <w:rsid w:val="00CF59F9"/>
    <w:rsid w:val="00D07631"/>
    <w:rsid w:val="00D07686"/>
    <w:rsid w:val="00D1348A"/>
    <w:rsid w:val="00D2752B"/>
    <w:rsid w:val="00D31D9F"/>
    <w:rsid w:val="00D325DC"/>
    <w:rsid w:val="00D3306A"/>
    <w:rsid w:val="00D330B5"/>
    <w:rsid w:val="00D3514E"/>
    <w:rsid w:val="00D35477"/>
    <w:rsid w:val="00D42937"/>
    <w:rsid w:val="00D43788"/>
    <w:rsid w:val="00D454B9"/>
    <w:rsid w:val="00D45931"/>
    <w:rsid w:val="00D55947"/>
    <w:rsid w:val="00D63C81"/>
    <w:rsid w:val="00D67DEF"/>
    <w:rsid w:val="00D71B06"/>
    <w:rsid w:val="00D75220"/>
    <w:rsid w:val="00D76530"/>
    <w:rsid w:val="00D7682F"/>
    <w:rsid w:val="00D80004"/>
    <w:rsid w:val="00D8566B"/>
    <w:rsid w:val="00D95674"/>
    <w:rsid w:val="00D95BAE"/>
    <w:rsid w:val="00D961D2"/>
    <w:rsid w:val="00D96967"/>
    <w:rsid w:val="00D96991"/>
    <w:rsid w:val="00D96C28"/>
    <w:rsid w:val="00DA1216"/>
    <w:rsid w:val="00DA386D"/>
    <w:rsid w:val="00DA558A"/>
    <w:rsid w:val="00DA5AB9"/>
    <w:rsid w:val="00DB206A"/>
    <w:rsid w:val="00DB4072"/>
    <w:rsid w:val="00DB419B"/>
    <w:rsid w:val="00DB46C1"/>
    <w:rsid w:val="00DC2271"/>
    <w:rsid w:val="00DC40DB"/>
    <w:rsid w:val="00DD1ABE"/>
    <w:rsid w:val="00DD1C81"/>
    <w:rsid w:val="00DD297D"/>
    <w:rsid w:val="00DE3B90"/>
    <w:rsid w:val="00DE669C"/>
    <w:rsid w:val="00DE78C0"/>
    <w:rsid w:val="00DF216B"/>
    <w:rsid w:val="00DF5129"/>
    <w:rsid w:val="00DF5B4B"/>
    <w:rsid w:val="00DF6750"/>
    <w:rsid w:val="00E00214"/>
    <w:rsid w:val="00E00F45"/>
    <w:rsid w:val="00E035B3"/>
    <w:rsid w:val="00E10E57"/>
    <w:rsid w:val="00E154B0"/>
    <w:rsid w:val="00E156A2"/>
    <w:rsid w:val="00E16796"/>
    <w:rsid w:val="00E25D97"/>
    <w:rsid w:val="00E32259"/>
    <w:rsid w:val="00E33726"/>
    <w:rsid w:val="00E34E88"/>
    <w:rsid w:val="00E42661"/>
    <w:rsid w:val="00E4293A"/>
    <w:rsid w:val="00E45534"/>
    <w:rsid w:val="00E5162E"/>
    <w:rsid w:val="00E5607A"/>
    <w:rsid w:val="00E57BB3"/>
    <w:rsid w:val="00E64C4B"/>
    <w:rsid w:val="00E66224"/>
    <w:rsid w:val="00E669CB"/>
    <w:rsid w:val="00E66FCA"/>
    <w:rsid w:val="00E67814"/>
    <w:rsid w:val="00E70939"/>
    <w:rsid w:val="00E720BE"/>
    <w:rsid w:val="00E7391A"/>
    <w:rsid w:val="00E7451F"/>
    <w:rsid w:val="00E74724"/>
    <w:rsid w:val="00E77714"/>
    <w:rsid w:val="00E92E40"/>
    <w:rsid w:val="00E9335F"/>
    <w:rsid w:val="00E9769A"/>
    <w:rsid w:val="00E9791D"/>
    <w:rsid w:val="00EA0817"/>
    <w:rsid w:val="00EA0F7E"/>
    <w:rsid w:val="00EA0FA7"/>
    <w:rsid w:val="00EA1B16"/>
    <w:rsid w:val="00EA58FA"/>
    <w:rsid w:val="00EA617B"/>
    <w:rsid w:val="00EB3732"/>
    <w:rsid w:val="00EB3A49"/>
    <w:rsid w:val="00EB407A"/>
    <w:rsid w:val="00EB583C"/>
    <w:rsid w:val="00EC3126"/>
    <w:rsid w:val="00EC563C"/>
    <w:rsid w:val="00EC5DE7"/>
    <w:rsid w:val="00ED04AC"/>
    <w:rsid w:val="00ED38E9"/>
    <w:rsid w:val="00EE2A24"/>
    <w:rsid w:val="00EE5773"/>
    <w:rsid w:val="00EF4600"/>
    <w:rsid w:val="00EF5D94"/>
    <w:rsid w:val="00F00095"/>
    <w:rsid w:val="00F0557C"/>
    <w:rsid w:val="00F07046"/>
    <w:rsid w:val="00F0796A"/>
    <w:rsid w:val="00F11D06"/>
    <w:rsid w:val="00F14761"/>
    <w:rsid w:val="00F15132"/>
    <w:rsid w:val="00F16E36"/>
    <w:rsid w:val="00F23954"/>
    <w:rsid w:val="00F303B0"/>
    <w:rsid w:val="00F31BF4"/>
    <w:rsid w:val="00F32EF6"/>
    <w:rsid w:val="00F40CE3"/>
    <w:rsid w:val="00F4171E"/>
    <w:rsid w:val="00F4570A"/>
    <w:rsid w:val="00F56D12"/>
    <w:rsid w:val="00F578F7"/>
    <w:rsid w:val="00F60C4F"/>
    <w:rsid w:val="00F70B99"/>
    <w:rsid w:val="00F716EE"/>
    <w:rsid w:val="00F72F17"/>
    <w:rsid w:val="00F77764"/>
    <w:rsid w:val="00F77EED"/>
    <w:rsid w:val="00F8218B"/>
    <w:rsid w:val="00F836E6"/>
    <w:rsid w:val="00F849DB"/>
    <w:rsid w:val="00F909AA"/>
    <w:rsid w:val="00F90C81"/>
    <w:rsid w:val="00F94BC1"/>
    <w:rsid w:val="00F950F0"/>
    <w:rsid w:val="00F97010"/>
    <w:rsid w:val="00F97BE9"/>
    <w:rsid w:val="00FA3096"/>
    <w:rsid w:val="00FA57B1"/>
    <w:rsid w:val="00FB1971"/>
    <w:rsid w:val="00FB2B86"/>
    <w:rsid w:val="00FB604B"/>
    <w:rsid w:val="00FC4E08"/>
    <w:rsid w:val="00FD2F17"/>
    <w:rsid w:val="00FD547A"/>
    <w:rsid w:val="00FD624B"/>
    <w:rsid w:val="00FE1676"/>
    <w:rsid w:val="00FE4244"/>
    <w:rsid w:val="00FE4EFA"/>
    <w:rsid w:val="00FE53B3"/>
    <w:rsid w:val="00FE61CC"/>
    <w:rsid w:val="00FF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D86"/>
    <w:rPr>
      <w:b/>
      <w:bCs/>
      <w:sz w:val="20"/>
      <w:szCs w:val="20"/>
    </w:rPr>
  </w:style>
  <w:style w:type="paragraph" w:customStyle="1" w:styleId="clan">
    <w:name w:val="clan"/>
    <w:basedOn w:val="Normal"/>
    <w:rsid w:val="00D969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D9699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D96991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D9699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Normal2">
    <w:name w:val="Normal2"/>
    <w:basedOn w:val="Normal"/>
    <w:rsid w:val="0033227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7F6A32"/>
    <w:pPr>
      <w:ind w:left="720"/>
      <w:contextualSpacing/>
    </w:pPr>
  </w:style>
  <w:style w:type="paragraph" w:customStyle="1" w:styleId="wyq110---naslov-clana">
    <w:name w:val="wyq110---naslov-clana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3">
    <w:name w:val="Normal3"/>
    <w:basedOn w:val="Normal"/>
    <w:rsid w:val="00D3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211"/>
  </w:style>
  <w:style w:type="paragraph" w:styleId="Footer">
    <w:name w:val="footer"/>
    <w:basedOn w:val="Normal"/>
    <w:link w:val="FooterChar"/>
    <w:uiPriority w:val="99"/>
    <w:unhideWhenUsed/>
    <w:rsid w:val="00295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211"/>
  </w:style>
  <w:style w:type="paragraph" w:styleId="PlainText">
    <w:name w:val="Plain Text"/>
    <w:basedOn w:val="Normal"/>
    <w:link w:val="PlainTextChar"/>
    <w:unhideWhenUsed/>
    <w:rsid w:val="00C3773C"/>
    <w:pPr>
      <w:spacing w:after="0" w:line="240" w:lineRule="auto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773C"/>
    <w:rPr>
      <w:rFonts w:ascii="Courier New" w:eastAsia="Times New Roman" w:hAnsi="Courier New" w:cs="Courier New"/>
      <w:kern w:val="2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416E7-1805-4583-955E-3EE0A7A8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10043</Words>
  <Characters>57246</Characters>
  <Application>Microsoft Office Word</Application>
  <DocSecurity>0</DocSecurity>
  <Lines>477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67155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jovan</cp:lastModifiedBy>
  <cp:revision>2</cp:revision>
  <cp:lastPrinted>2018-03-08T14:27:00Z</cp:lastPrinted>
  <dcterms:created xsi:type="dcterms:W3CDTF">2018-03-09T11:06:00Z</dcterms:created>
  <dcterms:modified xsi:type="dcterms:W3CDTF">2018-03-09T11:06:00Z</dcterms:modified>
</cp:coreProperties>
</file>