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CB2" w:rsidRPr="00E41271" w:rsidRDefault="00E41271" w:rsidP="00EE6CB2">
      <w:pPr>
        <w:shd w:val="clear" w:color="auto" w:fill="FFFFFF"/>
        <w:jc w:val="center"/>
        <w:rPr>
          <w:b/>
          <w:noProof/>
          <w:lang w:val="sr-Latn-CS"/>
        </w:rPr>
      </w:pPr>
      <w:bookmarkStart w:id="0" w:name="_GoBack"/>
      <w:bookmarkEnd w:id="0"/>
      <w:r>
        <w:rPr>
          <w:b/>
          <w:noProof/>
          <w:lang w:val="sr-Latn-CS"/>
        </w:rPr>
        <w:t>OBRAZAC</w:t>
      </w:r>
      <w:r w:rsidR="00EE6CB2" w:rsidRPr="00E4127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IZJAVE</w:t>
      </w:r>
      <w:r w:rsidR="00EE6CB2" w:rsidRPr="00E4127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EE6CB2" w:rsidRPr="00E4127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="00EE6CB2" w:rsidRPr="00E4127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  <w:r w:rsidR="00EE6CB2" w:rsidRPr="00E4127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EE6CB2" w:rsidRPr="00E4127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PROPISIMA</w:t>
      </w:r>
      <w:r w:rsidR="00EE6CB2" w:rsidRPr="00E4127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EE6CB2" w:rsidRPr="00E4127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UNIJE</w:t>
      </w:r>
    </w:p>
    <w:p w:rsidR="00EE6CB2" w:rsidRPr="00E41271" w:rsidRDefault="00EE6CB2" w:rsidP="00EE6CB2">
      <w:pPr>
        <w:shd w:val="clear" w:color="auto" w:fill="FFFFFF"/>
        <w:jc w:val="center"/>
        <w:rPr>
          <w:b/>
          <w:noProof/>
          <w:lang w:val="sr-Latn-CS"/>
        </w:rPr>
      </w:pPr>
    </w:p>
    <w:p w:rsidR="00EE6CB2" w:rsidRPr="00E41271" w:rsidRDefault="00EE6CB2" w:rsidP="00EE6CB2">
      <w:pPr>
        <w:shd w:val="clear" w:color="auto" w:fill="FFFFFF"/>
        <w:rPr>
          <w:noProof/>
          <w:lang w:val="sr-Latn-CS"/>
        </w:rPr>
      </w:pPr>
    </w:p>
    <w:p w:rsidR="00EE6CB2" w:rsidRPr="00E41271" w:rsidRDefault="00E41271" w:rsidP="00EE6CB2">
      <w:pPr>
        <w:numPr>
          <w:ilvl w:val="0"/>
          <w:numId w:val="1"/>
        </w:numPr>
        <w:ind w:left="630" w:hanging="630"/>
        <w:jc w:val="both"/>
        <w:rPr>
          <w:noProof/>
          <w:lang w:val="sr-Latn-CS"/>
        </w:rPr>
      </w:pPr>
      <w:r>
        <w:rPr>
          <w:noProof/>
          <w:lang w:val="sr-Latn-CS"/>
        </w:rPr>
        <w:t>Organ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EE6CB2" w:rsidRPr="00E4127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EE6CB2" w:rsidRPr="00E41271">
        <w:rPr>
          <w:noProof/>
          <w:lang w:val="sr-Latn-CS"/>
        </w:rPr>
        <w:t xml:space="preserve"> </w:t>
      </w:r>
    </w:p>
    <w:p w:rsidR="00EE6CB2" w:rsidRPr="00E41271" w:rsidRDefault="00EE6CB2" w:rsidP="00EE6CB2">
      <w:pPr>
        <w:ind w:left="630"/>
        <w:jc w:val="both"/>
        <w:rPr>
          <w:noProof/>
          <w:lang w:val="sr-Latn-CS"/>
        </w:rPr>
      </w:pPr>
    </w:p>
    <w:p w:rsidR="00EE6CB2" w:rsidRPr="00E41271" w:rsidRDefault="00E41271" w:rsidP="00EE6CB2">
      <w:p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Ovlašćeni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</w:t>
      </w:r>
      <w:r w:rsidR="00EE6CB2" w:rsidRPr="00E41271">
        <w:rPr>
          <w:noProof/>
          <w:lang w:val="sr-Latn-CS"/>
        </w:rPr>
        <w:t xml:space="preserve"> – </w:t>
      </w:r>
      <w:r>
        <w:rPr>
          <w:noProof/>
          <w:lang w:val="sr-Latn-CS"/>
        </w:rPr>
        <w:t>Vlada</w:t>
      </w:r>
      <w:r w:rsidR="00EE6CB2" w:rsidRPr="00E41271">
        <w:rPr>
          <w:noProof/>
          <w:lang w:val="sr-Latn-CS"/>
        </w:rPr>
        <w:t xml:space="preserve"> </w:t>
      </w:r>
    </w:p>
    <w:p w:rsidR="00EE6CB2" w:rsidRPr="00E41271" w:rsidRDefault="00E41271" w:rsidP="00EE6CB2">
      <w:p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Obrađivač</w:t>
      </w:r>
      <w:r w:rsidR="00EE6CB2" w:rsidRPr="00E41271">
        <w:rPr>
          <w:noProof/>
          <w:lang w:val="sr-Latn-CS"/>
        </w:rPr>
        <w:t xml:space="preserve"> - </w:t>
      </w:r>
      <w:r>
        <w:rPr>
          <w:noProof/>
          <w:lang w:val="sr-Latn-CS"/>
        </w:rPr>
        <w:t>Ministarstvo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EE6CB2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 xml:space="preserve">2. </w:t>
      </w:r>
      <w:r w:rsidR="00E41271">
        <w:rPr>
          <w:noProof/>
          <w:lang w:val="sr-Latn-CS"/>
        </w:rPr>
        <w:t>Naziv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propisa</w:t>
      </w:r>
    </w:p>
    <w:p w:rsidR="00EE6CB2" w:rsidRPr="00E41271" w:rsidRDefault="00EE6CB2" w:rsidP="00EE6CB2">
      <w:pPr>
        <w:jc w:val="both"/>
        <w:rPr>
          <w:noProof/>
          <w:lang w:val="sr-Latn-CS" w:eastAsia="sr-Latn-CS"/>
        </w:rPr>
      </w:pPr>
      <w:r w:rsidRPr="00E41271">
        <w:rPr>
          <w:noProof/>
          <w:lang w:val="sr-Latn-CS"/>
        </w:rPr>
        <w:t xml:space="preserve">     </w:t>
      </w:r>
    </w:p>
    <w:p w:rsidR="00EE6CB2" w:rsidRPr="00E41271" w:rsidRDefault="00E41271" w:rsidP="00EE6CB2">
      <w:pPr>
        <w:widowControl w:val="0"/>
        <w:autoSpaceDE w:val="0"/>
        <w:autoSpaceDN w:val="0"/>
        <w:adjustRightInd w:val="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PREDLOG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ZAKONA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IZMENAMA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DOPUNAMA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ZAKONA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IGRAMA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SREĆU</w:t>
      </w:r>
    </w:p>
    <w:p w:rsidR="00EE6CB2" w:rsidRPr="00E41271" w:rsidRDefault="00EE6CB2" w:rsidP="00EE6CB2">
      <w:pPr>
        <w:widowControl w:val="0"/>
        <w:autoSpaceDE w:val="0"/>
        <w:autoSpaceDN w:val="0"/>
        <w:adjustRightInd w:val="0"/>
        <w:outlineLvl w:val="0"/>
        <w:rPr>
          <w:noProof/>
          <w:lang w:val="sr-Latn-CS" w:eastAsia="sr-Latn-CS"/>
        </w:rPr>
      </w:pP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EE6CB2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 xml:space="preserve">3. </w:t>
      </w:r>
      <w:r w:rsidR="00E41271">
        <w:rPr>
          <w:noProof/>
          <w:lang w:val="sr-Latn-CS"/>
        </w:rPr>
        <w:t>Usklađenost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propisa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odredbama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Sporazuma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o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stabilizaciji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pridruživanju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između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Evropskih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zajednica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njihovih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država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članica</w:t>
      </w:r>
      <w:r w:rsidRPr="00E41271">
        <w:rPr>
          <w:noProof/>
          <w:lang w:val="sr-Latn-CS"/>
        </w:rPr>
        <w:t xml:space="preserve">, </w:t>
      </w:r>
      <w:r w:rsidR="00E41271">
        <w:rPr>
          <w:noProof/>
          <w:lang w:val="sr-Latn-CS"/>
        </w:rPr>
        <w:t>sa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jedne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strane</w:t>
      </w:r>
      <w:r w:rsidRPr="00E41271">
        <w:rPr>
          <w:noProof/>
          <w:lang w:val="sr-Latn-CS"/>
        </w:rPr>
        <w:t xml:space="preserve">, </w:t>
      </w:r>
      <w:r w:rsidR="00E41271">
        <w:rPr>
          <w:noProof/>
          <w:lang w:val="sr-Latn-CS"/>
        </w:rPr>
        <w:t>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Republike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Srbije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druge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strane</w:t>
      </w:r>
      <w:r w:rsidRPr="00E41271">
        <w:rPr>
          <w:noProof/>
          <w:lang w:val="sr-Latn-CS"/>
        </w:rPr>
        <w:t xml:space="preserve"> („</w:t>
      </w:r>
      <w:r w:rsidR="00E41271">
        <w:rPr>
          <w:noProof/>
          <w:lang w:val="sr-Latn-CS"/>
        </w:rPr>
        <w:t>Službeni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glasnik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RS</w:t>
      </w:r>
      <w:r w:rsidRPr="00E41271">
        <w:rPr>
          <w:noProof/>
          <w:lang w:val="sr-Latn-CS"/>
        </w:rPr>
        <w:t xml:space="preserve">”, </w:t>
      </w:r>
      <w:r w:rsidR="00E41271">
        <w:rPr>
          <w:noProof/>
          <w:lang w:val="sr-Latn-CS"/>
        </w:rPr>
        <w:t>broj</w:t>
      </w:r>
      <w:r w:rsidRPr="00E41271">
        <w:rPr>
          <w:noProof/>
          <w:lang w:val="sr-Latn-CS"/>
        </w:rPr>
        <w:t xml:space="preserve"> 83/08) (</w:t>
      </w:r>
      <w:r w:rsidR="00E41271">
        <w:rPr>
          <w:noProof/>
          <w:lang w:val="sr-Latn-CS"/>
        </w:rPr>
        <w:t>u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daljem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tekstu</w:t>
      </w:r>
      <w:r w:rsidRPr="00E41271">
        <w:rPr>
          <w:noProof/>
          <w:lang w:val="sr-Latn-CS"/>
        </w:rPr>
        <w:t xml:space="preserve">: </w:t>
      </w:r>
      <w:r w:rsidR="00E41271">
        <w:rPr>
          <w:noProof/>
          <w:lang w:val="sr-Latn-CS"/>
        </w:rPr>
        <w:t>Sporazum</w:t>
      </w:r>
      <w:r w:rsidRPr="00E41271">
        <w:rPr>
          <w:noProof/>
          <w:lang w:val="sr-Latn-CS"/>
        </w:rPr>
        <w:t xml:space="preserve">), </w:t>
      </w:r>
      <w:r w:rsidR="00E41271">
        <w:rPr>
          <w:noProof/>
          <w:lang w:val="sr-Latn-CS"/>
        </w:rPr>
        <w:t>odnosno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odredbama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Prelaznog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sporazuma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o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trgovini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trgovinskim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pitanjima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između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Evropske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zajednice</w:t>
      </w:r>
      <w:r w:rsidRPr="00E41271">
        <w:rPr>
          <w:noProof/>
          <w:lang w:val="sr-Latn-CS"/>
        </w:rPr>
        <w:t xml:space="preserve">, </w:t>
      </w:r>
      <w:r w:rsidR="00E41271">
        <w:rPr>
          <w:noProof/>
          <w:lang w:val="sr-Latn-CS"/>
        </w:rPr>
        <w:t>sa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jedne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strane</w:t>
      </w:r>
      <w:r w:rsidRPr="00E41271">
        <w:rPr>
          <w:noProof/>
          <w:lang w:val="sr-Latn-CS"/>
        </w:rPr>
        <w:t xml:space="preserve">, </w:t>
      </w:r>
      <w:r w:rsidR="00E41271">
        <w:rPr>
          <w:noProof/>
          <w:lang w:val="sr-Latn-CS"/>
        </w:rPr>
        <w:t>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Republike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Srbije</w:t>
      </w:r>
      <w:r w:rsidRPr="00E41271">
        <w:rPr>
          <w:noProof/>
          <w:lang w:val="sr-Latn-CS"/>
        </w:rPr>
        <w:t xml:space="preserve">, </w:t>
      </w:r>
      <w:r w:rsidR="00E41271">
        <w:rPr>
          <w:noProof/>
          <w:lang w:val="sr-Latn-CS"/>
        </w:rPr>
        <w:t>sa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druge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strane</w:t>
      </w:r>
      <w:r w:rsidRPr="00E41271">
        <w:rPr>
          <w:noProof/>
          <w:lang w:val="sr-Latn-CS"/>
        </w:rPr>
        <w:t xml:space="preserve"> („</w:t>
      </w:r>
      <w:r w:rsidR="00E41271">
        <w:rPr>
          <w:noProof/>
          <w:lang w:val="sr-Latn-CS"/>
        </w:rPr>
        <w:t>Službeni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glasnik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RS</w:t>
      </w:r>
      <w:r w:rsidRPr="00E41271">
        <w:rPr>
          <w:noProof/>
          <w:lang w:val="sr-Latn-CS"/>
        </w:rPr>
        <w:t xml:space="preserve">”, </w:t>
      </w:r>
      <w:r w:rsidR="00E41271">
        <w:rPr>
          <w:noProof/>
          <w:lang w:val="sr-Latn-CS"/>
        </w:rPr>
        <w:t>broj</w:t>
      </w:r>
      <w:r w:rsidRPr="00E41271">
        <w:rPr>
          <w:noProof/>
          <w:lang w:val="sr-Latn-CS"/>
        </w:rPr>
        <w:t xml:space="preserve"> 83/08) (</w:t>
      </w:r>
      <w:r w:rsidR="00E41271">
        <w:rPr>
          <w:noProof/>
          <w:lang w:val="sr-Latn-CS"/>
        </w:rPr>
        <w:t>u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daljem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tekstu</w:t>
      </w:r>
      <w:r w:rsidRPr="00E41271">
        <w:rPr>
          <w:noProof/>
          <w:lang w:val="sr-Latn-CS"/>
        </w:rPr>
        <w:t xml:space="preserve">: </w:t>
      </w:r>
      <w:r w:rsidR="00E41271">
        <w:rPr>
          <w:noProof/>
          <w:lang w:val="sr-Latn-CS"/>
        </w:rPr>
        <w:t>Prelazni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sporazum</w:t>
      </w:r>
      <w:r w:rsidRPr="00E41271">
        <w:rPr>
          <w:noProof/>
          <w:lang w:val="sr-Latn-CS"/>
        </w:rPr>
        <w:t>)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E41271" w:rsidP="00EE6CB2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EE6CB2" w:rsidRPr="00E41271">
        <w:rPr>
          <w:noProof/>
          <w:lang w:val="sr-Latn-CS"/>
        </w:rPr>
        <w:t xml:space="preserve">) </w:t>
      </w:r>
      <w:r>
        <w:rPr>
          <w:noProof/>
          <w:lang w:val="sr-Latn-CS"/>
        </w:rPr>
        <w:t>Odredba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sadržinu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9E174B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41271" w:rsidP="00EE6CB2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EE6CB2" w:rsidRPr="00E41271">
        <w:rPr>
          <w:noProof/>
          <w:lang w:val="sr-Latn-CS"/>
        </w:rPr>
        <w:t xml:space="preserve">) </w:t>
      </w:r>
      <w:r>
        <w:rPr>
          <w:noProof/>
          <w:lang w:val="sr-Latn-CS"/>
        </w:rPr>
        <w:t>Prelazni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E6CB2" w:rsidRPr="00E41271">
        <w:rPr>
          <w:noProof/>
          <w:lang w:val="sr-Latn-CS"/>
        </w:rPr>
        <w:t>,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9E174B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41271" w:rsidP="00EE6CB2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EE6CB2" w:rsidRPr="00E41271">
        <w:rPr>
          <w:noProof/>
          <w:lang w:val="sr-Latn-CS"/>
        </w:rPr>
        <w:t xml:space="preserve">) </w:t>
      </w:r>
      <w:r>
        <w:rPr>
          <w:noProof/>
          <w:lang w:val="sr-Latn-CS"/>
        </w:rPr>
        <w:t>Ocena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9E174B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41271" w:rsidP="00EE6CB2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EE6CB2" w:rsidRPr="00E41271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EE6CB2" w:rsidRPr="00E4127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Prelaznog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</w:p>
    <w:p w:rsidR="00EE6CB2" w:rsidRPr="00E41271" w:rsidRDefault="00EE6CB2" w:rsidP="00EE6CB2">
      <w:pPr>
        <w:jc w:val="center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41271" w:rsidP="00EE6CB2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EE6CB2" w:rsidRPr="00E41271">
        <w:rPr>
          <w:noProof/>
          <w:lang w:val="sr-Latn-CS"/>
        </w:rPr>
        <w:t xml:space="preserve">) </w:t>
      </w:r>
      <w:r>
        <w:rPr>
          <w:noProof/>
          <w:lang w:val="sr-Latn-CS"/>
        </w:rPr>
        <w:t>Veza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9E174B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 xml:space="preserve">4. </w:t>
      </w:r>
      <w:r w:rsidR="00E41271">
        <w:rPr>
          <w:noProof/>
          <w:lang w:val="sr-Latn-CS"/>
        </w:rPr>
        <w:t>Usklađenost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propisa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propisima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Evropske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unije</w:t>
      </w:r>
      <w:r w:rsidRPr="00E41271">
        <w:rPr>
          <w:noProof/>
          <w:lang w:val="sr-Latn-CS"/>
        </w:rPr>
        <w:t>: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E41271" w:rsidP="00EE6CB2">
      <w:pPr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EE6CB2" w:rsidRPr="00E41271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EE6CB2" w:rsidRPr="00E41271">
        <w:rPr>
          <w:noProof/>
          <w:lang w:val="sr-Latn-CS"/>
        </w:rPr>
        <w:t>,</w:t>
      </w:r>
    </w:p>
    <w:p w:rsidR="00EE6CB2" w:rsidRPr="00E41271" w:rsidRDefault="00EE6CB2" w:rsidP="00EE6CB2">
      <w:pPr>
        <w:widowControl w:val="0"/>
        <w:autoSpaceDE w:val="0"/>
        <w:autoSpaceDN w:val="0"/>
        <w:adjustRightInd w:val="0"/>
        <w:jc w:val="both"/>
        <w:rPr>
          <w:noProof/>
          <w:lang w:val="sr-Latn-CS" w:eastAsia="sr-Latn-CS"/>
        </w:rPr>
      </w:pPr>
    </w:p>
    <w:p w:rsidR="00EE6CB2" w:rsidRPr="00E41271" w:rsidRDefault="00EE6CB2" w:rsidP="00EE6CB2">
      <w:pPr>
        <w:widowControl w:val="0"/>
        <w:autoSpaceDE w:val="0"/>
        <w:autoSpaceDN w:val="0"/>
        <w:adjustRightInd w:val="0"/>
        <w:jc w:val="both"/>
        <w:rPr>
          <w:noProof/>
          <w:lang w:val="sr-Latn-CS" w:eastAsia="sr-Latn-CS"/>
        </w:rPr>
      </w:pPr>
      <w:r w:rsidRPr="00E41271">
        <w:rPr>
          <w:noProof/>
          <w:lang w:val="sr-Latn-CS" w:eastAsia="sr-Latn-CS"/>
        </w:rPr>
        <w:t xml:space="preserve"> </w:t>
      </w:r>
      <w:r w:rsidR="009E174B" w:rsidRPr="00E41271">
        <w:rPr>
          <w:noProof/>
          <w:lang w:val="sr-Latn-CS" w:eastAsia="sr-Latn-CS"/>
        </w:rPr>
        <w:t>/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E41271" w:rsidP="00EE6CB2">
      <w:pPr>
        <w:jc w:val="both"/>
        <w:rPr>
          <w:noProof/>
          <w:lang w:val="sr-Latn-CS"/>
        </w:rPr>
      </w:pPr>
      <w:r>
        <w:rPr>
          <w:noProof/>
          <w:lang w:val="sr-Latn-CS"/>
        </w:rPr>
        <w:t>b</w:t>
      </w:r>
      <w:r w:rsidR="00EE6CB2" w:rsidRPr="00E41271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9E174B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E41271" w:rsidP="00EE6CB2">
      <w:pPr>
        <w:jc w:val="both"/>
        <w:rPr>
          <w:noProof/>
          <w:lang w:val="sr-Latn-CS"/>
        </w:rPr>
      </w:pPr>
      <w:r>
        <w:rPr>
          <w:noProof/>
          <w:lang w:val="sr-Latn-CS"/>
        </w:rPr>
        <w:t>v</w:t>
      </w:r>
      <w:r w:rsidR="00EE6CB2" w:rsidRPr="00E41271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usklađenst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</w:p>
    <w:p w:rsidR="00EE6CB2" w:rsidRPr="00E41271" w:rsidRDefault="00EE6CB2" w:rsidP="00EE6CB2">
      <w:pPr>
        <w:jc w:val="center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41271" w:rsidP="00EE6CB2">
      <w:pPr>
        <w:jc w:val="both"/>
        <w:rPr>
          <w:noProof/>
          <w:lang w:val="sr-Latn-CS"/>
        </w:rPr>
      </w:pPr>
      <w:r>
        <w:rPr>
          <w:noProof/>
          <w:lang w:val="sr-Latn-CS"/>
        </w:rPr>
        <w:t>g</w:t>
      </w:r>
      <w:r w:rsidR="00EE6CB2" w:rsidRPr="00E41271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EE6CB2" w:rsidRPr="00E41271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</w:p>
    <w:p w:rsidR="00EE6CB2" w:rsidRPr="00E41271" w:rsidRDefault="00EE6CB2" w:rsidP="00EE6CB2">
      <w:pPr>
        <w:jc w:val="both"/>
        <w:rPr>
          <w:noProof/>
          <w:color w:val="000000"/>
          <w:sz w:val="20"/>
          <w:szCs w:val="20"/>
          <w:lang w:val="sr-Latn-CS"/>
        </w:rPr>
      </w:pPr>
    </w:p>
    <w:p w:rsidR="00EE6CB2" w:rsidRPr="00E41271" w:rsidRDefault="009E174B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41271" w:rsidP="00EE6CB2">
      <w:pPr>
        <w:jc w:val="both"/>
        <w:rPr>
          <w:noProof/>
          <w:lang w:val="sr-Latn-CS"/>
        </w:rPr>
      </w:pPr>
      <w:r>
        <w:rPr>
          <w:noProof/>
          <w:lang w:val="sr-Latn-CS"/>
        </w:rPr>
        <w:t>d</w:t>
      </w:r>
      <w:r w:rsidR="00EE6CB2" w:rsidRPr="00E41271">
        <w:rPr>
          <w:noProof/>
          <w:lang w:val="sr-Latn-CS"/>
        </w:rPr>
        <w:t xml:space="preserve">) </w:t>
      </w:r>
      <w:r>
        <w:rPr>
          <w:noProof/>
          <w:lang w:val="sr-Latn-CS"/>
        </w:rPr>
        <w:t>Rok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E6CB2" w:rsidRPr="00E41271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</w:p>
    <w:p w:rsidR="00EE6CB2" w:rsidRPr="00E41271" w:rsidRDefault="00EE6CB2" w:rsidP="00EE6CB2">
      <w:pPr>
        <w:jc w:val="both"/>
        <w:rPr>
          <w:i/>
          <w:noProof/>
          <w:lang w:val="sr-Latn-CS"/>
        </w:rPr>
      </w:pPr>
    </w:p>
    <w:p w:rsidR="00EE6CB2" w:rsidRPr="00E41271" w:rsidRDefault="009E174B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E6CB2" w:rsidP="00EE6CB2">
      <w:pPr>
        <w:jc w:val="both"/>
        <w:rPr>
          <w:noProof/>
          <w:color w:val="000000"/>
          <w:lang w:val="sr-Latn-CS"/>
        </w:rPr>
      </w:pPr>
      <w:r w:rsidRPr="00E41271">
        <w:rPr>
          <w:noProof/>
          <w:lang w:val="sr-Latn-CS"/>
        </w:rPr>
        <w:t xml:space="preserve">5. </w:t>
      </w:r>
      <w:r w:rsidR="00E41271">
        <w:rPr>
          <w:noProof/>
          <w:lang w:val="sr-Latn-CS"/>
        </w:rPr>
        <w:t>Ukoliko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ne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postoje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odgovarajuće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nadležnosti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Evropske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unije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u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materiji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koju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reguliše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propis</w:t>
      </w:r>
      <w:r w:rsidRPr="00E41271">
        <w:rPr>
          <w:noProof/>
          <w:lang w:val="sr-Latn-CS"/>
        </w:rPr>
        <w:t xml:space="preserve">, </w:t>
      </w:r>
      <w:r w:rsidR="00E41271">
        <w:rPr>
          <w:noProof/>
          <w:lang w:val="sr-Latn-CS"/>
        </w:rPr>
        <w:t>i</w:t>
      </w:r>
      <w:r w:rsidRPr="00E41271">
        <w:rPr>
          <w:noProof/>
          <w:lang w:val="sr-Latn-CS"/>
        </w:rPr>
        <w:t>/</w:t>
      </w:r>
      <w:r w:rsidR="00E41271">
        <w:rPr>
          <w:noProof/>
          <w:lang w:val="sr-Latn-CS"/>
        </w:rPr>
        <w:t>ili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ne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postoje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odgovarajući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sekundarni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izvori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prava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Evropske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unije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sa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kojima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je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potrebno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obezbediti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usklađenost</w:t>
      </w:r>
      <w:r w:rsidRPr="00E41271">
        <w:rPr>
          <w:noProof/>
          <w:color w:val="000000"/>
          <w:lang w:val="sr-Latn-CS"/>
        </w:rPr>
        <w:t xml:space="preserve">, </w:t>
      </w:r>
      <w:r w:rsidR="00E41271">
        <w:rPr>
          <w:noProof/>
          <w:color w:val="000000"/>
          <w:lang w:val="sr-Latn-CS"/>
        </w:rPr>
        <w:t>potrebno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je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obrazložiti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tu</w:t>
      </w:r>
      <w:r w:rsidRPr="00E41271">
        <w:rPr>
          <w:noProof/>
          <w:color w:val="000000"/>
          <w:lang w:val="sr-Latn-CS"/>
        </w:rPr>
        <w:t xml:space="preserve"> </w:t>
      </w:r>
      <w:r w:rsidR="00E41271">
        <w:rPr>
          <w:noProof/>
          <w:color w:val="000000"/>
          <w:lang w:val="sr-Latn-CS"/>
        </w:rPr>
        <w:t>činjenicu</w:t>
      </w:r>
      <w:r w:rsidRPr="00E41271">
        <w:rPr>
          <w:noProof/>
          <w:color w:val="000000"/>
          <w:lang w:val="sr-Latn-CS"/>
        </w:rPr>
        <w:t xml:space="preserve">. </w:t>
      </w:r>
    </w:p>
    <w:p w:rsidR="00EE6CB2" w:rsidRPr="00E41271" w:rsidRDefault="00EE6CB2" w:rsidP="00EE6CB2">
      <w:pPr>
        <w:jc w:val="both"/>
        <w:rPr>
          <w:noProof/>
          <w:color w:val="000000"/>
          <w:lang w:val="sr-Latn-CS"/>
        </w:rPr>
      </w:pPr>
    </w:p>
    <w:p w:rsidR="00EE6CB2" w:rsidRPr="00E41271" w:rsidRDefault="00E41271" w:rsidP="00EE6CB2">
      <w:pPr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Predlog</w:t>
      </w:r>
      <w:r w:rsidR="00C13874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zakona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nije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predmet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usaglašavanja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sa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propisima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Evropske</w:t>
      </w:r>
      <w:r w:rsidR="00EE6CB2" w:rsidRPr="00E41271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unije</w:t>
      </w:r>
      <w:r w:rsidR="00EE6CB2" w:rsidRPr="00E41271">
        <w:rPr>
          <w:noProof/>
          <w:lang w:val="sr-Latn-CS" w:eastAsia="sr-Latn-CS"/>
        </w:rPr>
        <w:t>.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</w:p>
    <w:p w:rsidR="00EE6CB2" w:rsidRPr="00E41271" w:rsidRDefault="00EE6CB2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 xml:space="preserve">6. </w:t>
      </w:r>
      <w:r w:rsidR="00E41271">
        <w:rPr>
          <w:noProof/>
          <w:lang w:val="sr-Latn-CS"/>
        </w:rPr>
        <w:t>Da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li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su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prethodno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navedeni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izvori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prava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Evropske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unije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prevedeni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na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srpski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jezik</w:t>
      </w:r>
      <w:r w:rsidRPr="00E41271">
        <w:rPr>
          <w:noProof/>
          <w:lang w:val="sr-Latn-CS"/>
        </w:rPr>
        <w:t>?</w:t>
      </w:r>
    </w:p>
    <w:p w:rsidR="00EE6CB2" w:rsidRPr="00E41271" w:rsidRDefault="009E174B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 xml:space="preserve">7. </w:t>
      </w:r>
      <w:r w:rsidR="00E41271">
        <w:rPr>
          <w:noProof/>
          <w:lang w:val="sr-Latn-CS"/>
        </w:rPr>
        <w:t>Da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li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je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propis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preveden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na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neki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službeni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jezik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Evropske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unije</w:t>
      </w:r>
      <w:r w:rsidRPr="00E41271">
        <w:rPr>
          <w:noProof/>
          <w:lang w:val="sr-Latn-CS"/>
        </w:rPr>
        <w:t>?</w:t>
      </w:r>
    </w:p>
    <w:p w:rsidR="00EE6CB2" w:rsidRPr="00E41271" w:rsidRDefault="009E174B" w:rsidP="00EE6CB2">
      <w:pPr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EE6CB2" w:rsidRPr="00E41271" w:rsidRDefault="00EE6CB2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 xml:space="preserve">8. </w:t>
      </w:r>
      <w:r w:rsidR="00E41271">
        <w:rPr>
          <w:noProof/>
          <w:lang w:val="sr-Latn-CS"/>
        </w:rPr>
        <w:t>Učešće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konsultanata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u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izradi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propisa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i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njihovo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mišljenje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o</w:t>
      </w:r>
      <w:r w:rsidRPr="00E41271">
        <w:rPr>
          <w:noProof/>
          <w:lang w:val="sr-Latn-CS"/>
        </w:rPr>
        <w:t xml:space="preserve"> </w:t>
      </w:r>
      <w:r w:rsidR="00E41271">
        <w:rPr>
          <w:noProof/>
          <w:lang w:val="sr-Latn-CS"/>
        </w:rPr>
        <w:t>usklađenosti</w:t>
      </w:r>
    </w:p>
    <w:p w:rsidR="00EE6CB2" w:rsidRPr="00E41271" w:rsidRDefault="009E174B" w:rsidP="00EE6CB2">
      <w:pPr>
        <w:jc w:val="both"/>
        <w:rPr>
          <w:noProof/>
          <w:lang w:val="sr-Latn-CS"/>
        </w:rPr>
      </w:pPr>
      <w:r w:rsidRPr="00E41271">
        <w:rPr>
          <w:noProof/>
          <w:lang w:val="sr-Latn-CS"/>
        </w:rPr>
        <w:t>/</w:t>
      </w:r>
    </w:p>
    <w:p w:rsidR="00C13874" w:rsidRPr="00E41271" w:rsidRDefault="00C13874" w:rsidP="00EE6CB2">
      <w:pPr>
        <w:jc w:val="both"/>
        <w:rPr>
          <w:noProof/>
          <w:lang w:val="sr-Latn-CS"/>
        </w:rPr>
      </w:pPr>
    </w:p>
    <w:p w:rsidR="00C13874" w:rsidRPr="00E41271" w:rsidRDefault="00C13874" w:rsidP="00EE6CB2">
      <w:pPr>
        <w:jc w:val="both"/>
        <w:rPr>
          <w:noProof/>
          <w:lang w:val="sr-Latn-CS"/>
        </w:rPr>
      </w:pPr>
    </w:p>
    <w:sectPr w:rsidR="00C13874" w:rsidRPr="00E41271" w:rsidSect="00C138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5A2" w:rsidRDefault="00FB25A2" w:rsidP="00C13874">
      <w:r>
        <w:separator/>
      </w:r>
    </w:p>
  </w:endnote>
  <w:endnote w:type="continuationSeparator" w:id="0">
    <w:p w:rsidR="00FB25A2" w:rsidRDefault="00FB25A2" w:rsidP="00C13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271" w:rsidRDefault="00E412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961424114"/>
      <w:docPartObj>
        <w:docPartGallery w:val="Page Numbers (Bottom of Page)"/>
        <w:docPartUnique/>
      </w:docPartObj>
    </w:sdtPr>
    <w:sdtEndPr/>
    <w:sdtContent>
      <w:p w:rsidR="00C13874" w:rsidRPr="00E41271" w:rsidRDefault="00C13874">
        <w:pPr>
          <w:pStyle w:val="Footer"/>
          <w:jc w:val="right"/>
          <w:rPr>
            <w:noProof/>
            <w:lang w:val="sr-Latn-CS"/>
          </w:rPr>
        </w:pPr>
        <w:r w:rsidRPr="00E41271">
          <w:rPr>
            <w:noProof/>
            <w:lang w:val="sr-Latn-CS"/>
          </w:rPr>
          <w:fldChar w:fldCharType="begin"/>
        </w:r>
        <w:r w:rsidRPr="00E41271">
          <w:rPr>
            <w:noProof/>
            <w:lang w:val="sr-Latn-CS"/>
          </w:rPr>
          <w:instrText xml:space="preserve"> PAGE   \* MERGEFORMAT </w:instrText>
        </w:r>
        <w:r w:rsidRPr="00E41271">
          <w:rPr>
            <w:noProof/>
            <w:lang w:val="sr-Latn-CS"/>
          </w:rPr>
          <w:fldChar w:fldCharType="separate"/>
        </w:r>
        <w:r w:rsidR="00E41271">
          <w:rPr>
            <w:noProof/>
            <w:lang w:val="sr-Latn-CS"/>
          </w:rPr>
          <w:t>2</w:t>
        </w:r>
        <w:r w:rsidRPr="00E41271">
          <w:rPr>
            <w:noProof/>
            <w:lang w:val="sr-Latn-CS"/>
          </w:rPr>
          <w:fldChar w:fldCharType="end"/>
        </w:r>
      </w:p>
    </w:sdtContent>
  </w:sdt>
  <w:p w:rsidR="00C13874" w:rsidRPr="00E41271" w:rsidRDefault="00C13874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271" w:rsidRDefault="00E412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5A2" w:rsidRDefault="00FB25A2" w:rsidP="00C13874">
      <w:r>
        <w:separator/>
      </w:r>
    </w:p>
  </w:footnote>
  <w:footnote w:type="continuationSeparator" w:id="0">
    <w:p w:rsidR="00FB25A2" w:rsidRDefault="00FB25A2" w:rsidP="00C13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271" w:rsidRDefault="00E412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271" w:rsidRDefault="00E412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271" w:rsidRDefault="00E412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C88"/>
    <w:multiLevelType w:val="hybridMultilevel"/>
    <w:tmpl w:val="BB9CD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B2"/>
    <w:rsid w:val="00307CD8"/>
    <w:rsid w:val="004B7605"/>
    <w:rsid w:val="00592624"/>
    <w:rsid w:val="00640373"/>
    <w:rsid w:val="006C4580"/>
    <w:rsid w:val="0087648C"/>
    <w:rsid w:val="009E174B"/>
    <w:rsid w:val="00BF0C58"/>
    <w:rsid w:val="00C120A1"/>
    <w:rsid w:val="00C13874"/>
    <w:rsid w:val="00E41271"/>
    <w:rsid w:val="00EE6CB2"/>
    <w:rsid w:val="00FB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7A4076-E0A5-4861-96C2-D660ADA3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C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38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87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C138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874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9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Miric</dc:creator>
  <cp:lastModifiedBy>Windows User</cp:lastModifiedBy>
  <cp:revision>8</cp:revision>
  <cp:lastPrinted>2018-04-05T08:44:00Z</cp:lastPrinted>
  <dcterms:created xsi:type="dcterms:W3CDTF">2018-04-05T08:26:00Z</dcterms:created>
  <dcterms:modified xsi:type="dcterms:W3CDTF">2018-04-10T10:50:00Z</dcterms:modified>
</cp:coreProperties>
</file>