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9A1A8" w14:textId="21C1110C" w:rsidR="00B63B4F" w:rsidRPr="004B082A" w:rsidRDefault="00B63B4F">
      <w:pPr>
        <w:jc w:val="right"/>
        <w:rPr>
          <w:lang w:val="sr-Cyrl-CS"/>
        </w:rPr>
      </w:pPr>
    </w:p>
    <w:p w14:paraId="07F83AD4" w14:textId="77777777" w:rsidR="00B63B4F" w:rsidRPr="004B082A" w:rsidRDefault="00B63B4F">
      <w:pPr>
        <w:jc w:val="right"/>
        <w:rPr>
          <w:lang w:val="sr-Cyrl-CS"/>
        </w:rPr>
      </w:pPr>
    </w:p>
    <w:p w14:paraId="4107DECD" w14:textId="3B206B92" w:rsidR="005E0B9D" w:rsidRPr="004B082A" w:rsidRDefault="005E0B9D">
      <w:pPr>
        <w:jc w:val="right"/>
        <w:rPr>
          <w:lang w:val="sr-Cyrl-CS"/>
        </w:rPr>
      </w:pPr>
      <w:r w:rsidRPr="004B082A">
        <w:rPr>
          <w:lang w:val="sr-Cyrl-CS"/>
        </w:rPr>
        <w:t>(</w:t>
      </w:r>
      <w:r w:rsidR="00F5600D" w:rsidRPr="004B082A">
        <w:rPr>
          <w:lang w:val="sr-Cyrl-CS"/>
        </w:rPr>
        <w:t>Оперативни број</w:t>
      </w:r>
      <w:r w:rsidRPr="004B082A">
        <w:rPr>
          <w:lang w:val="sr-Cyrl-CS"/>
        </w:rPr>
        <w:t xml:space="preserve"> </w:t>
      </w:r>
      <w:r w:rsidR="00A07599" w:rsidRPr="004B082A">
        <w:rPr>
          <w:lang w:val="sr-Cyrl-CS"/>
        </w:rPr>
        <w:t>53021</w:t>
      </w:r>
      <w:r w:rsidRPr="004B082A">
        <w:rPr>
          <w:lang w:val="sr-Cyrl-CS"/>
        </w:rPr>
        <w:t>)</w:t>
      </w:r>
    </w:p>
    <w:p w14:paraId="65FB4100" w14:textId="77777777" w:rsidR="005E0B9D" w:rsidRPr="004B082A" w:rsidRDefault="005E0B9D">
      <w:pPr>
        <w:rPr>
          <w:lang w:val="sr-Cyrl-CS"/>
        </w:rPr>
      </w:pPr>
    </w:p>
    <w:p w14:paraId="72F997BB" w14:textId="77777777" w:rsidR="005E0B9D" w:rsidRPr="004B082A" w:rsidRDefault="005E0B9D">
      <w:pPr>
        <w:rPr>
          <w:lang w:val="sr-Cyrl-CS"/>
        </w:rPr>
      </w:pPr>
    </w:p>
    <w:p w14:paraId="6C3ECF00" w14:textId="77777777" w:rsidR="005E0B9D" w:rsidRPr="004B082A" w:rsidRDefault="005E0B9D">
      <w:pPr>
        <w:rPr>
          <w:lang w:val="sr-Cyrl-CS"/>
        </w:rPr>
      </w:pPr>
    </w:p>
    <w:p w14:paraId="40982CC2" w14:textId="77777777" w:rsidR="005E0B9D" w:rsidRPr="004B082A" w:rsidRDefault="005E0B9D">
      <w:pPr>
        <w:jc w:val="center"/>
        <w:rPr>
          <w:b/>
          <w:lang w:val="sr-Cyrl-CS"/>
        </w:rPr>
      </w:pPr>
    </w:p>
    <w:p w14:paraId="28F9EEC3" w14:textId="77777777" w:rsidR="005E0B9D" w:rsidRPr="004B082A" w:rsidRDefault="005E0B9D">
      <w:pPr>
        <w:jc w:val="center"/>
        <w:rPr>
          <w:b/>
          <w:lang w:val="sr-Cyrl-CS"/>
        </w:rPr>
      </w:pPr>
    </w:p>
    <w:p w14:paraId="174971FA" w14:textId="77777777" w:rsidR="005E0B9D" w:rsidRPr="004B082A" w:rsidRDefault="005E0B9D">
      <w:pPr>
        <w:jc w:val="center"/>
        <w:rPr>
          <w:b/>
          <w:lang w:val="sr-Cyrl-CS"/>
        </w:rPr>
      </w:pPr>
    </w:p>
    <w:p w14:paraId="77A65411" w14:textId="77777777" w:rsidR="005E0B9D" w:rsidRPr="004B082A" w:rsidRDefault="005E0B9D">
      <w:pPr>
        <w:jc w:val="center"/>
        <w:rPr>
          <w:b/>
          <w:lang w:val="sr-Cyrl-CS"/>
        </w:rPr>
      </w:pPr>
    </w:p>
    <w:p w14:paraId="42F3FE9F" w14:textId="77777777" w:rsidR="005E0B9D" w:rsidRPr="004B082A" w:rsidRDefault="005E0B9D">
      <w:pPr>
        <w:jc w:val="center"/>
        <w:rPr>
          <w:b/>
          <w:lang w:val="sr-Cyrl-CS"/>
        </w:rPr>
      </w:pPr>
    </w:p>
    <w:p w14:paraId="257BE9B6" w14:textId="77777777" w:rsidR="005E0B9D" w:rsidRPr="004B082A" w:rsidRDefault="005E0B9D">
      <w:pPr>
        <w:jc w:val="center"/>
        <w:rPr>
          <w:b/>
          <w:lang w:val="sr-Cyrl-CS"/>
        </w:rPr>
      </w:pPr>
    </w:p>
    <w:p w14:paraId="1DC1BDB1" w14:textId="41A62B16" w:rsidR="005E0B9D" w:rsidRPr="004B082A" w:rsidRDefault="00B63B4F">
      <w:pPr>
        <w:jc w:val="center"/>
        <w:rPr>
          <w:b/>
          <w:lang w:val="sr-Cyrl-CS"/>
        </w:rPr>
      </w:pPr>
      <w:r w:rsidRPr="004B082A">
        <w:rPr>
          <w:b/>
          <w:lang w:val="sr-Cyrl-CS"/>
        </w:rPr>
        <w:t>УГОВОР О ЗАЈМУ</w:t>
      </w:r>
    </w:p>
    <w:p w14:paraId="2C96E939" w14:textId="77777777" w:rsidR="005E0B9D" w:rsidRPr="004B082A" w:rsidRDefault="005E0B9D">
      <w:pPr>
        <w:jc w:val="center"/>
        <w:rPr>
          <w:b/>
          <w:lang w:val="sr-Cyrl-CS"/>
        </w:rPr>
      </w:pPr>
    </w:p>
    <w:p w14:paraId="347DF2D8" w14:textId="3E6EA513" w:rsidR="005E0B9D" w:rsidRPr="004B082A" w:rsidRDefault="007861FB">
      <w:pPr>
        <w:jc w:val="center"/>
        <w:rPr>
          <w:b/>
          <w:lang w:val="sr-Cyrl-CS"/>
        </w:rPr>
      </w:pPr>
      <w:r w:rsidRPr="004B082A">
        <w:rPr>
          <w:b/>
          <w:lang w:val="sr-Cyrl-CS"/>
        </w:rPr>
        <w:t xml:space="preserve">ОБНОВЉИВИ ИЗВОРИ </w:t>
      </w:r>
      <w:r w:rsidR="00E87C3E" w:rsidRPr="004B082A">
        <w:rPr>
          <w:b/>
          <w:lang w:val="sr-Cyrl-CS"/>
        </w:rPr>
        <w:t xml:space="preserve">ЕНЕРГИЈЕ </w:t>
      </w:r>
      <w:r w:rsidRPr="004B082A">
        <w:rPr>
          <w:b/>
          <w:lang w:val="sr-Cyrl-CS"/>
        </w:rPr>
        <w:t>У СИСТЕМИМА</w:t>
      </w:r>
    </w:p>
    <w:p w14:paraId="41F71A8E" w14:textId="0CD9C387" w:rsidR="007861FB" w:rsidRPr="004B082A" w:rsidRDefault="007861FB">
      <w:pPr>
        <w:jc w:val="center"/>
        <w:rPr>
          <w:b/>
          <w:lang w:val="sr-Cyrl-CS"/>
        </w:rPr>
      </w:pPr>
      <w:r w:rsidRPr="004B082A">
        <w:rPr>
          <w:b/>
          <w:lang w:val="sr-Cyrl-CS"/>
        </w:rPr>
        <w:t>ДАЉИНСКОГ ГРЕЈАЊА У СРБИЈИ</w:t>
      </w:r>
    </w:p>
    <w:p w14:paraId="5EDA18B7" w14:textId="77777777" w:rsidR="005E0B9D" w:rsidRPr="004B082A" w:rsidRDefault="005E0B9D">
      <w:pPr>
        <w:rPr>
          <w:b/>
          <w:lang w:val="sr-Cyrl-CS"/>
        </w:rPr>
      </w:pPr>
    </w:p>
    <w:p w14:paraId="6FF312EC" w14:textId="77777777" w:rsidR="005E0B9D" w:rsidRPr="004B082A" w:rsidRDefault="005E0B9D">
      <w:pPr>
        <w:rPr>
          <w:b/>
          <w:lang w:val="sr-Cyrl-CS"/>
        </w:rPr>
      </w:pPr>
    </w:p>
    <w:p w14:paraId="5B29DDE5" w14:textId="0B5462AC" w:rsidR="005E0B9D" w:rsidRPr="004B082A" w:rsidRDefault="00B63B4F">
      <w:pPr>
        <w:jc w:val="center"/>
        <w:rPr>
          <w:lang w:val="sr-Cyrl-CS"/>
        </w:rPr>
      </w:pPr>
      <w:r w:rsidRPr="004B082A">
        <w:rPr>
          <w:lang w:val="sr-Cyrl-CS"/>
        </w:rPr>
        <w:t>између</w:t>
      </w:r>
    </w:p>
    <w:p w14:paraId="70328543" w14:textId="77777777" w:rsidR="005E0B9D" w:rsidRPr="004B082A" w:rsidRDefault="005E0B9D">
      <w:pPr>
        <w:rPr>
          <w:b/>
          <w:lang w:val="sr-Cyrl-CS"/>
        </w:rPr>
      </w:pPr>
    </w:p>
    <w:p w14:paraId="5D2F4AD5" w14:textId="77777777" w:rsidR="005E0B9D" w:rsidRPr="004B082A" w:rsidRDefault="005E0B9D">
      <w:pPr>
        <w:rPr>
          <w:b/>
          <w:lang w:val="sr-Cyrl-CS"/>
        </w:rPr>
      </w:pPr>
    </w:p>
    <w:p w14:paraId="7A56B201" w14:textId="383E9131" w:rsidR="005E0B9D" w:rsidRPr="004B082A" w:rsidRDefault="00B63B4F">
      <w:pPr>
        <w:jc w:val="center"/>
        <w:rPr>
          <w:b/>
          <w:lang w:val="sr-Cyrl-CS"/>
        </w:rPr>
      </w:pPr>
      <w:r w:rsidRPr="004B082A">
        <w:rPr>
          <w:b/>
          <w:lang w:val="sr-Cyrl-CS"/>
        </w:rPr>
        <w:t>РЕПУБЛИКЕ СРБИЈЕ</w:t>
      </w:r>
    </w:p>
    <w:p w14:paraId="6AF7CE64" w14:textId="77777777" w:rsidR="005E0B9D" w:rsidRPr="004B082A" w:rsidRDefault="005E0B9D">
      <w:pPr>
        <w:jc w:val="center"/>
        <w:rPr>
          <w:b/>
          <w:lang w:val="sr-Cyrl-CS"/>
        </w:rPr>
      </w:pPr>
    </w:p>
    <w:p w14:paraId="3FB5C040" w14:textId="77777777" w:rsidR="005E0B9D" w:rsidRPr="004B082A" w:rsidRDefault="005E0B9D">
      <w:pPr>
        <w:jc w:val="center"/>
        <w:rPr>
          <w:b/>
          <w:lang w:val="sr-Cyrl-CS"/>
        </w:rPr>
      </w:pPr>
    </w:p>
    <w:p w14:paraId="3A9D1CB6" w14:textId="2BD65AA3" w:rsidR="005E0B9D" w:rsidRPr="004B082A" w:rsidRDefault="00B63B4F">
      <w:pPr>
        <w:jc w:val="center"/>
        <w:rPr>
          <w:lang w:val="sr-Cyrl-CS"/>
        </w:rPr>
      </w:pPr>
      <w:r w:rsidRPr="004B082A">
        <w:rPr>
          <w:lang w:val="sr-Cyrl-CS"/>
        </w:rPr>
        <w:t>и</w:t>
      </w:r>
    </w:p>
    <w:p w14:paraId="38633434" w14:textId="77777777" w:rsidR="005E0B9D" w:rsidRPr="004B082A" w:rsidRDefault="005E0B9D">
      <w:pPr>
        <w:jc w:val="center"/>
        <w:rPr>
          <w:b/>
          <w:lang w:val="sr-Cyrl-CS"/>
        </w:rPr>
      </w:pPr>
    </w:p>
    <w:p w14:paraId="50D690AC" w14:textId="77777777" w:rsidR="005E0B9D" w:rsidRPr="004B082A" w:rsidRDefault="005E0B9D">
      <w:pPr>
        <w:jc w:val="center"/>
        <w:rPr>
          <w:b/>
          <w:lang w:val="sr-Cyrl-CS"/>
        </w:rPr>
      </w:pPr>
    </w:p>
    <w:p w14:paraId="58EA34BF" w14:textId="75894C4C" w:rsidR="005E0B9D" w:rsidRPr="004B082A" w:rsidRDefault="00B63B4F">
      <w:pPr>
        <w:jc w:val="center"/>
        <w:rPr>
          <w:b/>
          <w:lang w:val="sr-Cyrl-CS"/>
        </w:rPr>
      </w:pPr>
      <w:r w:rsidRPr="004B082A">
        <w:rPr>
          <w:b/>
          <w:lang w:val="sr-Cyrl-CS"/>
        </w:rPr>
        <w:t xml:space="preserve">ЕВРОПСКЕ БАНКЕ </w:t>
      </w:r>
    </w:p>
    <w:p w14:paraId="2F40EBE2" w14:textId="6B6C334B" w:rsidR="00B63B4F" w:rsidRPr="004B082A" w:rsidRDefault="00B63B4F">
      <w:pPr>
        <w:jc w:val="center"/>
        <w:rPr>
          <w:b/>
          <w:lang w:val="sr-Cyrl-CS"/>
        </w:rPr>
      </w:pPr>
      <w:r w:rsidRPr="004B082A">
        <w:rPr>
          <w:b/>
          <w:lang w:val="sr-Cyrl-CS"/>
        </w:rPr>
        <w:t>ЗА ОБНОВУ И РАЗВОЈ</w:t>
      </w:r>
    </w:p>
    <w:p w14:paraId="2BF6597B" w14:textId="77777777" w:rsidR="005E0B9D" w:rsidRPr="004B082A" w:rsidRDefault="005E0B9D">
      <w:pPr>
        <w:jc w:val="center"/>
        <w:rPr>
          <w:b/>
          <w:lang w:val="sr-Cyrl-CS"/>
        </w:rPr>
      </w:pPr>
    </w:p>
    <w:p w14:paraId="24D39236" w14:textId="77777777" w:rsidR="005E0B9D" w:rsidRPr="004B082A" w:rsidRDefault="005E0B9D">
      <w:pPr>
        <w:jc w:val="center"/>
        <w:rPr>
          <w:b/>
          <w:lang w:val="sr-Cyrl-CS"/>
        </w:rPr>
      </w:pPr>
    </w:p>
    <w:p w14:paraId="639CE2E1" w14:textId="77777777" w:rsidR="005E0B9D" w:rsidRPr="004B082A" w:rsidRDefault="005E0B9D">
      <w:pPr>
        <w:jc w:val="center"/>
        <w:rPr>
          <w:b/>
          <w:lang w:val="sr-Cyrl-CS"/>
        </w:rPr>
      </w:pPr>
    </w:p>
    <w:p w14:paraId="14B8B399" w14:textId="77777777" w:rsidR="005E0B9D" w:rsidRPr="004B082A" w:rsidRDefault="005E0B9D">
      <w:pPr>
        <w:jc w:val="center"/>
        <w:rPr>
          <w:b/>
          <w:lang w:val="sr-Cyrl-CS"/>
        </w:rPr>
      </w:pPr>
    </w:p>
    <w:p w14:paraId="39DAF316" w14:textId="513AD223" w:rsidR="005E0B9D" w:rsidRPr="004B082A" w:rsidRDefault="005E0B9D">
      <w:pPr>
        <w:jc w:val="center"/>
        <w:rPr>
          <w:lang w:val="sr-Cyrl-CS"/>
        </w:rPr>
      </w:pPr>
    </w:p>
    <w:p w14:paraId="589C7BCE" w14:textId="3383722D" w:rsidR="00CB7685" w:rsidRPr="004B082A" w:rsidRDefault="00CB7685">
      <w:pPr>
        <w:jc w:val="center"/>
        <w:rPr>
          <w:lang w:val="sr-Cyrl-CS"/>
        </w:rPr>
      </w:pPr>
    </w:p>
    <w:p w14:paraId="54C00A21" w14:textId="5E22E91F" w:rsidR="00CB7685" w:rsidRPr="004B082A" w:rsidRDefault="00CB7685">
      <w:pPr>
        <w:jc w:val="center"/>
        <w:rPr>
          <w:lang w:val="sr-Cyrl-CS"/>
        </w:rPr>
      </w:pPr>
    </w:p>
    <w:p w14:paraId="7C5640DF" w14:textId="7A3C7422" w:rsidR="00CB7685" w:rsidRPr="004B082A" w:rsidRDefault="00CB7685">
      <w:pPr>
        <w:jc w:val="center"/>
        <w:rPr>
          <w:lang w:val="sr-Cyrl-CS"/>
        </w:rPr>
      </w:pPr>
    </w:p>
    <w:p w14:paraId="7C403EB9" w14:textId="77777777" w:rsidR="00E626B9" w:rsidRPr="004B082A" w:rsidRDefault="00E626B9">
      <w:pPr>
        <w:jc w:val="center"/>
        <w:rPr>
          <w:lang w:val="sr-Cyrl-CS"/>
        </w:rPr>
      </w:pPr>
    </w:p>
    <w:p w14:paraId="1FAC53E2" w14:textId="77777777" w:rsidR="005E0B9D" w:rsidRPr="004B082A" w:rsidRDefault="005E0B9D">
      <w:pPr>
        <w:jc w:val="center"/>
        <w:rPr>
          <w:lang w:val="sr-Cyrl-CS"/>
        </w:rPr>
      </w:pPr>
    </w:p>
    <w:p w14:paraId="311AC41E" w14:textId="77777777" w:rsidR="005E0B9D" w:rsidRPr="004B082A" w:rsidRDefault="005E0B9D">
      <w:pPr>
        <w:jc w:val="center"/>
        <w:rPr>
          <w:lang w:val="sr-Cyrl-CS"/>
        </w:rPr>
      </w:pPr>
    </w:p>
    <w:p w14:paraId="6AE28385" w14:textId="77777777" w:rsidR="005E0B9D" w:rsidRPr="004B082A" w:rsidRDefault="005E0B9D">
      <w:pPr>
        <w:jc w:val="center"/>
        <w:rPr>
          <w:lang w:val="sr-Cyrl-CS"/>
        </w:rPr>
      </w:pPr>
    </w:p>
    <w:p w14:paraId="0EDC703E" w14:textId="77777777" w:rsidR="005E0B9D" w:rsidRPr="004B082A" w:rsidRDefault="005E0B9D">
      <w:pPr>
        <w:jc w:val="center"/>
        <w:rPr>
          <w:lang w:val="sr-Cyrl-CS"/>
        </w:rPr>
      </w:pPr>
    </w:p>
    <w:p w14:paraId="39CAB5CB" w14:textId="77777777" w:rsidR="005E0B9D" w:rsidRPr="004B082A" w:rsidRDefault="005E0B9D">
      <w:pPr>
        <w:jc w:val="center"/>
        <w:rPr>
          <w:lang w:val="sr-Cyrl-CS"/>
        </w:rPr>
      </w:pPr>
    </w:p>
    <w:p w14:paraId="30ACFA39" w14:textId="77777777" w:rsidR="005E0B9D" w:rsidRPr="004B082A" w:rsidRDefault="005E0B9D">
      <w:pPr>
        <w:jc w:val="center"/>
        <w:rPr>
          <w:lang w:val="sr-Cyrl-CS"/>
        </w:rPr>
      </w:pPr>
    </w:p>
    <w:p w14:paraId="2D0F8D66" w14:textId="343CCAB5" w:rsidR="005E0B9D" w:rsidRPr="004B082A" w:rsidRDefault="00DC04BD" w:rsidP="00EE34FE">
      <w:pPr>
        <w:jc w:val="center"/>
        <w:rPr>
          <w:lang w:val="sr-Cyrl-CS"/>
        </w:rPr>
        <w:sectPr w:rsidR="005E0B9D" w:rsidRPr="004B082A" w:rsidSect="00E472D9">
          <w:headerReference w:type="default" r:id="rId12"/>
          <w:footerReference w:type="default" r:id="rId13"/>
          <w:endnotePr>
            <w:numFmt w:val="decimal"/>
          </w:endnotePr>
          <w:pgSz w:w="11906" w:h="16838"/>
          <w:pgMar w:top="1440" w:right="1701" w:bottom="1440" w:left="1701" w:header="720" w:footer="720" w:gutter="0"/>
          <w:pgNumType w:start="12"/>
          <w:cols w:space="720"/>
        </w:sectPr>
      </w:pPr>
      <w:r w:rsidRPr="004B082A">
        <w:rPr>
          <w:lang w:val="sr-Cyrl-CS"/>
        </w:rPr>
        <w:t>Датум</w:t>
      </w:r>
      <w:r w:rsidR="00D2067D" w:rsidRPr="004B082A">
        <w:rPr>
          <w:lang w:val="sr-Cyrl-CS"/>
        </w:rPr>
        <w:t xml:space="preserve"> 9. јул</w:t>
      </w:r>
      <w:r w:rsidR="00EE34FE" w:rsidRPr="004B082A">
        <w:rPr>
          <w:lang w:val="sr-Cyrl-CS"/>
        </w:rPr>
        <w:t xml:space="preserve"> 2024</w:t>
      </w:r>
      <w:r w:rsidR="00895BAD" w:rsidRPr="004B082A">
        <w:rPr>
          <w:lang w:val="sr-Cyrl-CS"/>
        </w:rPr>
        <w:t xml:space="preserve">. </w:t>
      </w:r>
      <w:r w:rsidR="00F5600D" w:rsidRPr="004B082A">
        <w:rPr>
          <w:lang w:val="sr-Cyrl-CS"/>
        </w:rPr>
        <w:t>године</w:t>
      </w:r>
    </w:p>
    <w:p w14:paraId="48B05C1E" w14:textId="47D775A2" w:rsidR="005E0B9D" w:rsidRPr="004B082A" w:rsidRDefault="002F48D6">
      <w:pPr>
        <w:pStyle w:val="Title"/>
        <w:rPr>
          <w:lang w:val="sr-Cyrl-CS"/>
        </w:rPr>
      </w:pPr>
      <w:bookmarkStart w:id="0" w:name="TABLEOFCONTENTS"/>
      <w:r w:rsidRPr="004B082A">
        <w:rPr>
          <w:lang w:val="sr-Cyrl-CS"/>
        </w:rPr>
        <w:lastRenderedPageBreak/>
        <w:t>САДРЖАЈ</w:t>
      </w:r>
    </w:p>
    <w:p w14:paraId="609576E5" w14:textId="393D7A3D" w:rsidR="00CB7685" w:rsidRPr="004B082A" w:rsidRDefault="005E0B9D" w:rsidP="00CB7685">
      <w:pPr>
        <w:pStyle w:val="TOC1"/>
        <w:rPr>
          <w:rFonts w:asciiTheme="minorHAnsi" w:eastAsiaTheme="minorEastAsia" w:hAnsiTheme="minorHAnsi" w:cstheme="minorBidi"/>
          <w:sz w:val="22"/>
          <w:szCs w:val="22"/>
          <w:lang w:val="sr-Cyrl-CS"/>
        </w:rPr>
      </w:pPr>
      <w:r w:rsidRPr="004B082A">
        <w:rPr>
          <w:lang w:val="sr-Cyrl-CS"/>
        </w:rPr>
        <w:fldChar w:fldCharType="begin"/>
      </w:r>
      <w:r w:rsidRPr="004B082A">
        <w:rPr>
          <w:lang w:val="sr-Cyrl-CS"/>
        </w:rPr>
        <w:instrText xml:space="preserve"> TOC \o "1-2" \t "Schedule Heading,1" </w:instrText>
      </w:r>
      <w:r w:rsidRPr="004B082A">
        <w:rPr>
          <w:lang w:val="sr-Cyrl-CS"/>
        </w:rPr>
        <w:fldChar w:fldCharType="separate"/>
      </w:r>
      <w:r w:rsidR="002F48D6" w:rsidRPr="004B082A">
        <w:rPr>
          <w:lang w:val="sr-Cyrl-CS"/>
        </w:rPr>
        <w:t>ЧЛАН</w:t>
      </w:r>
      <w:r w:rsidR="00CB7685" w:rsidRPr="004B082A">
        <w:rPr>
          <w:lang w:val="sr-Cyrl-CS"/>
        </w:rPr>
        <w:t xml:space="preserve"> I</w:t>
      </w:r>
      <w:r w:rsidR="00BD5C13" w:rsidRPr="004B082A">
        <w:rPr>
          <w:lang w:val="sr-Cyrl-CS"/>
        </w:rPr>
        <w:t xml:space="preserve"> - СТАНДАРДНИ УСЛОВИ ПОСЛОВАЊА; ДЕФИНИЦИЈЕ</w:t>
      </w:r>
      <w:r w:rsidR="00CB7685" w:rsidRPr="004B082A">
        <w:rPr>
          <w:lang w:val="sr-Cyrl-CS"/>
        </w:rPr>
        <w:tab/>
      </w:r>
    </w:p>
    <w:p w14:paraId="60FF16F7" w14:textId="0CBA1CAE"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1.01.</w:t>
      </w:r>
      <w:r w:rsidR="00CB7685" w:rsidRPr="004B082A">
        <w:rPr>
          <w:rFonts w:asciiTheme="minorHAnsi" w:eastAsiaTheme="minorEastAsia" w:hAnsiTheme="minorHAnsi" w:cstheme="minorBidi"/>
          <w:sz w:val="22"/>
          <w:szCs w:val="22"/>
          <w:lang w:val="sr-Cyrl-CS"/>
        </w:rPr>
        <w:tab/>
      </w:r>
      <w:r w:rsidR="00F5600D" w:rsidRPr="004B082A">
        <w:rPr>
          <w:lang w:val="sr-Cyrl-CS"/>
        </w:rPr>
        <w:t>Укључивање С</w:t>
      </w:r>
      <w:r w:rsidRPr="004B082A">
        <w:rPr>
          <w:lang w:val="sr-Cyrl-CS"/>
        </w:rPr>
        <w:t>тандардних услова пословања</w:t>
      </w:r>
      <w:r w:rsidR="00CB7685" w:rsidRPr="004B082A">
        <w:rPr>
          <w:lang w:val="sr-Cyrl-CS"/>
        </w:rPr>
        <w:tab/>
      </w:r>
    </w:p>
    <w:p w14:paraId="3520F186" w14:textId="122A6EBA"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1.02.</w:t>
      </w:r>
      <w:r w:rsidR="00CB7685" w:rsidRPr="004B082A">
        <w:rPr>
          <w:rFonts w:asciiTheme="minorHAnsi" w:eastAsiaTheme="minorEastAsia" w:hAnsiTheme="minorHAnsi" w:cstheme="minorBidi"/>
          <w:sz w:val="22"/>
          <w:szCs w:val="22"/>
          <w:lang w:val="sr-Cyrl-CS"/>
        </w:rPr>
        <w:tab/>
      </w:r>
      <w:r w:rsidRPr="004B082A">
        <w:rPr>
          <w:lang w:val="sr-Cyrl-CS"/>
        </w:rPr>
        <w:t>Дефиниције</w:t>
      </w:r>
      <w:r w:rsidR="00CB7685" w:rsidRPr="004B082A">
        <w:rPr>
          <w:lang w:val="sr-Cyrl-CS"/>
        </w:rPr>
        <w:tab/>
      </w:r>
    </w:p>
    <w:p w14:paraId="4BDE7BD1" w14:textId="46B86561"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1.03.</w:t>
      </w:r>
      <w:r w:rsidR="00CB7685" w:rsidRPr="004B082A">
        <w:rPr>
          <w:rFonts w:asciiTheme="minorHAnsi" w:eastAsiaTheme="minorEastAsia" w:hAnsiTheme="minorHAnsi" w:cstheme="minorBidi"/>
          <w:sz w:val="22"/>
          <w:szCs w:val="22"/>
          <w:lang w:val="sr-Cyrl-CS"/>
        </w:rPr>
        <w:tab/>
      </w:r>
      <w:r w:rsidRPr="004B082A">
        <w:rPr>
          <w:lang w:val="sr-Cyrl-CS"/>
        </w:rPr>
        <w:t>Тумачење</w:t>
      </w:r>
      <w:r w:rsidR="00CB7685" w:rsidRPr="004B082A">
        <w:rPr>
          <w:lang w:val="sr-Cyrl-CS"/>
        </w:rPr>
        <w:tab/>
      </w:r>
    </w:p>
    <w:p w14:paraId="3140EE79" w14:textId="37BBD9F8" w:rsidR="00CB7685" w:rsidRPr="004B082A" w:rsidRDefault="002F48D6" w:rsidP="00CB7685">
      <w:pPr>
        <w:pStyle w:val="TOC1"/>
        <w:rPr>
          <w:rFonts w:asciiTheme="minorHAnsi" w:eastAsiaTheme="minorEastAsia" w:hAnsiTheme="minorHAnsi" w:cstheme="minorBidi"/>
          <w:sz w:val="22"/>
          <w:szCs w:val="22"/>
          <w:lang w:val="sr-Cyrl-CS"/>
        </w:rPr>
      </w:pPr>
      <w:r w:rsidRPr="004B082A">
        <w:rPr>
          <w:lang w:val="sr-Cyrl-CS"/>
        </w:rPr>
        <w:t>ЧЛАН</w:t>
      </w:r>
      <w:r w:rsidR="00CB7685" w:rsidRPr="004B082A">
        <w:rPr>
          <w:lang w:val="sr-Cyrl-CS"/>
        </w:rPr>
        <w:t xml:space="preserve"> </w:t>
      </w:r>
      <w:r w:rsidR="00CF17A9" w:rsidRPr="004B082A">
        <w:rPr>
          <w:lang w:val="sr-Cyrl-CS"/>
        </w:rPr>
        <w:t>II - ГЛАВНИ УСЛОВИ ЗАЈМА</w:t>
      </w:r>
      <w:r w:rsidR="00CB7685" w:rsidRPr="004B082A">
        <w:rPr>
          <w:lang w:val="sr-Cyrl-CS"/>
        </w:rPr>
        <w:tab/>
      </w:r>
    </w:p>
    <w:p w14:paraId="230960DD" w14:textId="721E5A3B"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2.01.</w:t>
      </w:r>
      <w:r w:rsidR="00CB7685" w:rsidRPr="004B082A">
        <w:rPr>
          <w:rFonts w:asciiTheme="minorHAnsi" w:eastAsiaTheme="minorEastAsia" w:hAnsiTheme="minorHAnsi" w:cstheme="minorBidi"/>
          <w:sz w:val="22"/>
          <w:szCs w:val="22"/>
          <w:lang w:val="sr-Cyrl-CS"/>
        </w:rPr>
        <w:tab/>
      </w:r>
      <w:r w:rsidR="00794121" w:rsidRPr="004B082A">
        <w:rPr>
          <w:lang w:val="sr-Cyrl-CS"/>
        </w:rPr>
        <w:t>Износ и валута</w:t>
      </w:r>
      <w:r w:rsidR="00CB7685" w:rsidRPr="004B082A">
        <w:rPr>
          <w:lang w:val="sr-Cyrl-CS"/>
        </w:rPr>
        <w:tab/>
      </w:r>
    </w:p>
    <w:p w14:paraId="39D5CE02" w14:textId="2249C0E3"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2.02.</w:t>
      </w:r>
      <w:r w:rsidR="00CB7685" w:rsidRPr="004B082A">
        <w:rPr>
          <w:rFonts w:asciiTheme="minorHAnsi" w:eastAsiaTheme="minorEastAsia" w:hAnsiTheme="minorHAnsi" w:cstheme="minorBidi"/>
          <w:sz w:val="22"/>
          <w:szCs w:val="22"/>
          <w:lang w:val="sr-Cyrl-CS"/>
        </w:rPr>
        <w:tab/>
      </w:r>
      <w:r w:rsidR="00794121" w:rsidRPr="004B082A">
        <w:rPr>
          <w:lang w:val="sr-Cyrl-CS"/>
        </w:rPr>
        <w:t>Остали финансијски услови Зајма</w:t>
      </w:r>
      <w:r w:rsidR="00CB7685" w:rsidRPr="004B082A">
        <w:rPr>
          <w:lang w:val="sr-Cyrl-CS"/>
        </w:rPr>
        <w:tab/>
      </w:r>
    </w:p>
    <w:p w14:paraId="5A4D06C1" w14:textId="566B28F3"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2.03.</w:t>
      </w:r>
      <w:r w:rsidR="00CB7685" w:rsidRPr="004B082A">
        <w:rPr>
          <w:rFonts w:asciiTheme="minorHAnsi" w:eastAsiaTheme="minorEastAsia" w:hAnsiTheme="minorHAnsi" w:cstheme="minorBidi"/>
          <w:sz w:val="22"/>
          <w:szCs w:val="22"/>
          <w:lang w:val="sr-Cyrl-CS"/>
        </w:rPr>
        <w:tab/>
      </w:r>
      <w:r w:rsidR="00794121" w:rsidRPr="004B082A">
        <w:rPr>
          <w:lang w:val="sr-Cyrl-CS"/>
        </w:rPr>
        <w:t>Повлачење средстава</w:t>
      </w:r>
      <w:r w:rsidR="00CB7685" w:rsidRPr="004B082A">
        <w:rPr>
          <w:lang w:val="sr-Cyrl-CS"/>
        </w:rPr>
        <w:tab/>
      </w:r>
    </w:p>
    <w:p w14:paraId="580906C2" w14:textId="44B7D72A" w:rsidR="00CB7685" w:rsidRPr="004B082A" w:rsidRDefault="002F48D6" w:rsidP="00CB7685">
      <w:pPr>
        <w:pStyle w:val="TOC1"/>
        <w:rPr>
          <w:rFonts w:asciiTheme="minorHAnsi" w:eastAsiaTheme="minorEastAsia" w:hAnsiTheme="minorHAnsi" w:cstheme="minorBidi"/>
          <w:sz w:val="22"/>
          <w:szCs w:val="22"/>
          <w:lang w:val="sr-Cyrl-CS"/>
        </w:rPr>
      </w:pPr>
      <w:r w:rsidRPr="004B082A">
        <w:rPr>
          <w:lang w:val="sr-Cyrl-CS"/>
        </w:rPr>
        <w:t>ЧЛАН</w:t>
      </w:r>
      <w:r w:rsidR="00794121" w:rsidRPr="004B082A">
        <w:rPr>
          <w:lang w:val="sr-Cyrl-CS"/>
        </w:rPr>
        <w:t xml:space="preserve"> III - ИЗВОЂЕЊЕ ПРОЈЕКТА</w:t>
      </w:r>
      <w:r w:rsidR="00CB7685" w:rsidRPr="004B082A">
        <w:rPr>
          <w:lang w:val="sr-Cyrl-CS"/>
        </w:rPr>
        <w:tab/>
      </w:r>
    </w:p>
    <w:p w14:paraId="6D5528D9" w14:textId="2D2970DB"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3.01.</w:t>
      </w:r>
      <w:r w:rsidR="00CB7685" w:rsidRPr="004B082A">
        <w:rPr>
          <w:rFonts w:asciiTheme="minorHAnsi" w:eastAsiaTheme="minorEastAsia" w:hAnsiTheme="minorHAnsi" w:cstheme="minorBidi"/>
          <w:sz w:val="22"/>
          <w:szCs w:val="22"/>
          <w:lang w:val="sr-Cyrl-CS"/>
        </w:rPr>
        <w:tab/>
      </w:r>
      <w:r w:rsidR="00794121" w:rsidRPr="004B082A">
        <w:rPr>
          <w:lang w:val="sr-Cyrl-CS"/>
        </w:rPr>
        <w:t>Остале афирмативне одредбе Пројекта</w:t>
      </w:r>
      <w:r w:rsidR="00CB7685" w:rsidRPr="004B082A">
        <w:rPr>
          <w:lang w:val="sr-Cyrl-CS"/>
        </w:rPr>
        <w:tab/>
      </w:r>
    </w:p>
    <w:p w14:paraId="770D0E01" w14:textId="6E13D13E"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3.02.</w:t>
      </w:r>
      <w:r w:rsidR="00CB7685" w:rsidRPr="004B082A">
        <w:rPr>
          <w:rFonts w:asciiTheme="minorHAnsi" w:eastAsiaTheme="minorEastAsia" w:hAnsiTheme="minorHAnsi" w:cstheme="minorBidi"/>
          <w:sz w:val="22"/>
          <w:szCs w:val="22"/>
          <w:lang w:val="sr-Cyrl-CS"/>
        </w:rPr>
        <w:tab/>
      </w:r>
      <w:r w:rsidR="00794121" w:rsidRPr="004B082A">
        <w:rPr>
          <w:lang w:val="sr-Cyrl-CS"/>
        </w:rPr>
        <w:t xml:space="preserve">Централна јединица за </w:t>
      </w:r>
      <w:r w:rsidR="00F5600D" w:rsidRPr="004B082A">
        <w:rPr>
          <w:lang w:val="sr-Cyrl-CS"/>
        </w:rPr>
        <w:t>имплементацију П</w:t>
      </w:r>
      <w:r w:rsidR="00794121" w:rsidRPr="004B082A">
        <w:rPr>
          <w:lang w:val="sr-Cyrl-CS"/>
        </w:rPr>
        <w:t>ројекта</w:t>
      </w:r>
      <w:r w:rsidR="00CB7685" w:rsidRPr="004B082A">
        <w:rPr>
          <w:lang w:val="sr-Cyrl-CS"/>
        </w:rPr>
        <w:tab/>
      </w:r>
    </w:p>
    <w:p w14:paraId="4ADF4243" w14:textId="44E06935"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3.03.</w:t>
      </w:r>
      <w:r w:rsidR="00CB7685" w:rsidRPr="004B082A">
        <w:rPr>
          <w:rFonts w:asciiTheme="minorHAnsi" w:eastAsiaTheme="minorEastAsia" w:hAnsiTheme="minorHAnsi" w:cstheme="minorBidi"/>
          <w:sz w:val="22"/>
          <w:szCs w:val="22"/>
          <w:lang w:val="sr-Cyrl-CS"/>
        </w:rPr>
        <w:tab/>
      </w:r>
      <w:r w:rsidR="00794121" w:rsidRPr="004B082A">
        <w:rPr>
          <w:lang w:val="sr-Cyrl-CS"/>
        </w:rPr>
        <w:t>Консултанти</w:t>
      </w:r>
      <w:r w:rsidR="00CB7685" w:rsidRPr="004B082A">
        <w:rPr>
          <w:lang w:val="sr-Cyrl-CS"/>
        </w:rPr>
        <w:tab/>
      </w:r>
    </w:p>
    <w:p w14:paraId="71FDCE97" w14:textId="69BDDD97" w:rsidR="00CB7685" w:rsidRPr="004B082A" w:rsidRDefault="002F48D6" w:rsidP="00CB7685">
      <w:pPr>
        <w:pStyle w:val="TOC1"/>
        <w:rPr>
          <w:rFonts w:asciiTheme="minorHAnsi" w:eastAsiaTheme="minorEastAsia" w:hAnsiTheme="minorHAnsi" w:cstheme="minorBidi"/>
          <w:sz w:val="22"/>
          <w:szCs w:val="22"/>
          <w:lang w:val="sr-Cyrl-CS"/>
        </w:rPr>
      </w:pPr>
      <w:r w:rsidRPr="004B082A">
        <w:rPr>
          <w:lang w:val="sr-Cyrl-CS"/>
        </w:rPr>
        <w:t>ЧЛАН</w:t>
      </w:r>
      <w:r w:rsidR="004D1B77" w:rsidRPr="004B082A">
        <w:rPr>
          <w:lang w:val="sr-Cyrl-CS"/>
        </w:rPr>
        <w:t xml:space="preserve"> IV - ОБУСТАВА; УБРЗАЊЕ; ОТКАЗИВАЊЕ</w:t>
      </w:r>
      <w:r w:rsidR="00CB7685" w:rsidRPr="004B082A">
        <w:rPr>
          <w:lang w:val="sr-Cyrl-CS"/>
        </w:rPr>
        <w:tab/>
      </w:r>
    </w:p>
    <w:p w14:paraId="30EB7749" w14:textId="279299E8"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4.01.</w:t>
      </w:r>
      <w:r w:rsidR="00CB7685" w:rsidRPr="004B082A">
        <w:rPr>
          <w:rFonts w:asciiTheme="minorHAnsi" w:eastAsiaTheme="minorEastAsia" w:hAnsiTheme="minorHAnsi" w:cstheme="minorBidi"/>
          <w:sz w:val="22"/>
          <w:szCs w:val="22"/>
          <w:lang w:val="sr-Cyrl-CS"/>
        </w:rPr>
        <w:tab/>
      </w:r>
      <w:r w:rsidR="004D1B77" w:rsidRPr="004B082A">
        <w:rPr>
          <w:lang w:val="sr-Cyrl-CS"/>
        </w:rPr>
        <w:t>Обустава</w:t>
      </w:r>
      <w:r w:rsidR="00CB7685" w:rsidRPr="004B082A">
        <w:rPr>
          <w:lang w:val="sr-Cyrl-CS"/>
        </w:rPr>
        <w:tab/>
      </w:r>
    </w:p>
    <w:p w14:paraId="544BEBE2" w14:textId="76454E49" w:rsidR="00CB7685" w:rsidRPr="004B082A" w:rsidRDefault="002F48D6" w:rsidP="00CB7685">
      <w:pPr>
        <w:pStyle w:val="TOC1"/>
        <w:rPr>
          <w:rFonts w:asciiTheme="minorHAnsi" w:eastAsiaTheme="minorEastAsia" w:hAnsiTheme="minorHAnsi" w:cstheme="minorBidi"/>
          <w:sz w:val="22"/>
          <w:szCs w:val="22"/>
          <w:lang w:val="sr-Cyrl-CS"/>
        </w:rPr>
      </w:pPr>
      <w:r w:rsidRPr="004B082A">
        <w:rPr>
          <w:lang w:val="sr-Cyrl-CS"/>
        </w:rPr>
        <w:t>ЧЛАН</w:t>
      </w:r>
      <w:r w:rsidR="003621D0" w:rsidRPr="004B082A">
        <w:rPr>
          <w:lang w:val="sr-Cyrl-CS"/>
        </w:rPr>
        <w:t xml:space="preserve"> V - СТУПАЊЕ НА СНАГУ</w:t>
      </w:r>
      <w:r w:rsidR="00CB7685" w:rsidRPr="004B082A">
        <w:rPr>
          <w:lang w:val="sr-Cyrl-CS"/>
        </w:rPr>
        <w:tab/>
      </w:r>
    </w:p>
    <w:p w14:paraId="7FA51810" w14:textId="4BD17B1F"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5.01.</w:t>
      </w:r>
      <w:r w:rsidR="00CB7685" w:rsidRPr="004B082A">
        <w:rPr>
          <w:rFonts w:asciiTheme="minorHAnsi" w:eastAsiaTheme="minorEastAsia" w:hAnsiTheme="minorHAnsi" w:cstheme="minorBidi"/>
          <w:sz w:val="22"/>
          <w:szCs w:val="22"/>
          <w:lang w:val="sr-Cyrl-CS"/>
        </w:rPr>
        <w:tab/>
      </w:r>
      <w:r w:rsidR="003621D0" w:rsidRPr="004B082A">
        <w:rPr>
          <w:lang w:val="sr-Cyrl-CS"/>
        </w:rPr>
        <w:t>Претходни услови за ступање на снагу</w:t>
      </w:r>
      <w:r w:rsidR="00CB7685" w:rsidRPr="004B082A">
        <w:rPr>
          <w:lang w:val="sr-Cyrl-CS"/>
        </w:rPr>
        <w:tab/>
      </w:r>
    </w:p>
    <w:p w14:paraId="7B990B48" w14:textId="1ED178A8"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5.02.</w:t>
      </w:r>
      <w:r w:rsidR="00CB7685" w:rsidRPr="004B082A">
        <w:rPr>
          <w:rFonts w:asciiTheme="minorHAnsi" w:eastAsiaTheme="minorEastAsia" w:hAnsiTheme="minorHAnsi" w:cstheme="minorBidi"/>
          <w:sz w:val="22"/>
          <w:szCs w:val="22"/>
          <w:lang w:val="sr-Cyrl-CS"/>
        </w:rPr>
        <w:tab/>
      </w:r>
      <w:r w:rsidR="003621D0" w:rsidRPr="004B082A">
        <w:rPr>
          <w:lang w:val="sr-Cyrl-CS"/>
        </w:rPr>
        <w:t>Претходни услови за прво повлачење</w:t>
      </w:r>
      <w:r w:rsidR="00CB7685" w:rsidRPr="004B082A">
        <w:rPr>
          <w:lang w:val="sr-Cyrl-CS"/>
        </w:rPr>
        <w:tab/>
      </w:r>
    </w:p>
    <w:p w14:paraId="3952B188" w14:textId="4ABA3518"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5.03.</w:t>
      </w:r>
      <w:r w:rsidR="00CB7685" w:rsidRPr="004B082A">
        <w:rPr>
          <w:rFonts w:asciiTheme="minorHAnsi" w:eastAsiaTheme="minorEastAsia" w:hAnsiTheme="minorHAnsi" w:cstheme="minorBidi"/>
          <w:sz w:val="22"/>
          <w:szCs w:val="22"/>
          <w:lang w:val="sr-Cyrl-CS"/>
        </w:rPr>
        <w:tab/>
      </w:r>
      <w:r w:rsidR="003621D0" w:rsidRPr="004B082A">
        <w:rPr>
          <w:lang w:val="sr-Cyrl-CS"/>
        </w:rPr>
        <w:t>Правна мишљења</w:t>
      </w:r>
      <w:r w:rsidR="00CB7685" w:rsidRPr="004B082A">
        <w:rPr>
          <w:lang w:val="sr-Cyrl-CS"/>
        </w:rPr>
        <w:tab/>
      </w:r>
    </w:p>
    <w:p w14:paraId="3471894C" w14:textId="09880CC4"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5.04.</w:t>
      </w:r>
      <w:r w:rsidR="00CB7685" w:rsidRPr="004B082A">
        <w:rPr>
          <w:rFonts w:asciiTheme="minorHAnsi" w:eastAsiaTheme="minorEastAsia" w:hAnsiTheme="minorHAnsi" w:cstheme="minorBidi"/>
          <w:sz w:val="22"/>
          <w:szCs w:val="22"/>
          <w:lang w:val="sr-Cyrl-CS"/>
        </w:rPr>
        <w:tab/>
      </w:r>
      <w:r w:rsidR="003621D0" w:rsidRPr="004B082A">
        <w:rPr>
          <w:lang w:val="sr-Cyrl-CS"/>
        </w:rPr>
        <w:t>Раскид због неступања на снагу</w:t>
      </w:r>
      <w:r w:rsidR="00CB7685" w:rsidRPr="004B082A">
        <w:rPr>
          <w:lang w:val="sr-Cyrl-CS"/>
        </w:rPr>
        <w:tab/>
      </w:r>
    </w:p>
    <w:p w14:paraId="02ACE8C1" w14:textId="1015CDC6" w:rsidR="00CB7685" w:rsidRPr="004B082A" w:rsidRDefault="002F48D6" w:rsidP="00CB7685">
      <w:pPr>
        <w:pStyle w:val="TOC1"/>
        <w:rPr>
          <w:rFonts w:asciiTheme="minorHAnsi" w:eastAsiaTheme="minorEastAsia" w:hAnsiTheme="minorHAnsi" w:cstheme="minorBidi"/>
          <w:sz w:val="22"/>
          <w:szCs w:val="22"/>
          <w:lang w:val="sr-Cyrl-CS"/>
        </w:rPr>
      </w:pPr>
      <w:r w:rsidRPr="004B082A">
        <w:rPr>
          <w:lang w:val="sr-Cyrl-CS"/>
        </w:rPr>
        <w:t>ЧЛАН</w:t>
      </w:r>
      <w:r w:rsidR="003C55E9" w:rsidRPr="004B082A">
        <w:rPr>
          <w:lang w:val="sr-Cyrl-CS"/>
        </w:rPr>
        <w:t xml:space="preserve"> VI - РАЗНО</w:t>
      </w:r>
      <w:r w:rsidR="00CB7685" w:rsidRPr="004B082A">
        <w:rPr>
          <w:lang w:val="sr-Cyrl-CS"/>
        </w:rPr>
        <w:tab/>
      </w:r>
    </w:p>
    <w:p w14:paraId="3E69D3CF" w14:textId="21E89C3A" w:rsidR="00CB7685" w:rsidRPr="004B082A" w:rsidRDefault="00BD5C13">
      <w:pPr>
        <w:pStyle w:val="TOC2"/>
        <w:rPr>
          <w:rFonts w:asciiTheme="minorHAnsi" w:eastAsiaTheme="minorEastAsia" w:hAnsiTheme="minorHAnsi" w:cstheme="minorBidi"/>
          <w:sz w:val="22"/>
          <w:szCs w:val="22"/>
          <w:lang w:val="sr-Cyrl-CS"/>
        </w:rPr>
      </w:pPr>
      <w:r w:rsidRPr="004B082A">
        <w:rPr>
          <w:lang w:val="sr-Cyrl-CS"/>
        </w:rPr>
        <w:t>Одељак</w:t>
      </w:r>
      <w:r w:rsidR="00CB7685" w:rsidRPr="004B082A">
        <w:rPr>
          <w:lang w:val="sr-Cyrl-CS"/>
        </w:rPr>
        <w:t xml:space="preserve"> 6.01.</w:t>
      </w:r>
      <w:r w:rsidR="00CB7685" w:rsidRPr="004B082A">
        <w:rPr>
          <w:rFonts w:asciiTheme="minorHAnsi" w:eastAsiaTheme="minorEastAsia" w:hAnsiTheme="minorHAnsi" w:cstheme="minorBidi"/>
          <w:sz w:val="22"/>
          <w:szCs w:val="22"/>
          <w:lang w:val="sr-Cyrl-CS"/>
        </w:rPr>
        <w:tab/>
      </w:r>
      <w:r w:rsidR="003C55E9" w:rsidRPr="004B082A">
        <w:rPr>
          <w:lang w:val="sr-Cyrl-CS"/>
        </w:rPr>
        <w:t>Обавештења</w:t>
      </w:r>
      <w:r w:rsidR="00CB7685" w:rsidRPr="004B082A">
        <w:rPr>
          <w:lang w:val="sr-Cyrl-CS"/>
        </w:rPr>
        <w:tab/>
      </w:r>
    </w:p>
    <w:p w14:paraId="7CEF7FAB" w14:textId="05F8FBDA" w:rsidR="00CB7685" w:rsidRPr="004B082A" w:rsidRDefault="002F48D6" w:rsidP="00CB7685">
      <w:pPr>
        <w:pStyle w:val="TOC1"/>
        <w:rPr>
          <w:rFonts w:asciiTheme="minorHAnsi" w:eastAsiaTheme="minorEastAsia" w:hAnsiTheme="minorHAnsi" w:cstheme="minorBidi"/>
          <w:sz w:val="22"/>
          <w:szCs w:val="22"/>
          <w:lang w:val="sr-Cyrl-CS"/>
        </w:rPr>
      </w:pPr>
      <w:r w:rsidRPr="004B082A">
        <w:rPr>
          <w:lang w:val="sr-Cyrl-CS"/>
        </w:rPr>
        <w:t>ПРИЛОГ</w:t>
      </w:r>
      <w:r w:rsidR="00CB7685" w:rsidRPr="004B082A">
        <w:rPr>
          <w:lang w:val="sr-Cyrl-CS"/>
        </w:rPr>
        <w:t xml:space="preserve"> 1 </w:t>
      </w:r>
      <w:r w:rsidR="003C55E9" w:rsidRPr="004B082A">
        <w:rPr>
          <w:lang w:val="sr-Cyrl-CS"/>
        </w:rPr>
        <w:t>- ОПИС ПРОЈЕКТА</w:t>
      </w:r>
      <w:r w:rsidR="00FE3E51" w:rsidRPr="004B082A">
        <w:rPr>
          <w:lang w:val="sr-Cyrl-CS"/>
        </w:rPr>
        <w:tab/>
      </w:r>
    </w:p>
    <w:p w14:paraId="0B01C14E" w14:textId="564D3378" w:rsidR="00CB7685" w:rsidRPr="004B082A" w:rsidRDefault="002F48D6" w:rsidP="00CB7685">
      <w:pPr>
        <w:pStyle w:val="TOC1"/>
        <w:rPr>
          <w:rFonts w:asciiTheme="minorHAnsi" w:eastAsiaTheme="minorEastAsia" w:hAnsiTheme="minorHAnsi" w:cstheme="minorBidi"/>
          <w:sz w:val="22"/>
          <w:szCs w:val="22"/>
          <w:lang w:val="sr-Cyrl-CS"/>
        </w:rPr>
      </w:pPr>
      <w:r w:rsidRPr="004B082A">
        <w:rPr>
          <w:lang w:val="sr-Cyrl-CS"/>
        </w:rPr>
        <w:t>ПРИЛОГ</w:t>
      </w:r>
      <w:r w:rsidR="00CB7685" w:rsidRPr="004B082A">
        <w:rPr>
          <w:lang w:val="sr-Cyrl-CS"/>
        </w:rPr>
        <w:t xml:space="preserve"> </w:t>
      </w:r>
      <w:r w:rsidR="003C55E9" w:rsidRPr="004B082A">
        <w:rPr>
          <w:lang w:val="sr-Cyrl-CS"/>
        </w:rPr>
        <w:t>2 - КАТЕГОРИЈЕ И ПОВЛАЧЕЊЕ СРЕДСТАВА</w:t>
      </w:r>
      <w:r w:rsidR="00FE3E51" w:rsidRPr="004B082A">
        <w:rPr>
          <w:lang w:val="sr-Cyrl-CS"/>
        </w:rPr>
        <w:tab/>
      </w:r>
    </w:p>
    <w:p w14:paraId="1A221850" w14:textId="25FF07AD" w:rsidR="005E0B9D" w:rsidRPr="004B082A" w:rsidRDefault="005E0B9D">
      <w:pPr>
        <w:rPr>
          <w:lang w:val="sr-Cyrl-CS"/>
        </w:rPr>
      </w:pPr>
      <w:r w:rsidRPr="004B082A">
        <w:rPr>
          <w:noProof/>
          <w:lang w:val="sr-Cyrl-CS"/>
        </w:rPr>
        <w:fldChar w:fldCharType="end"/>
      </w:r>
    </w:p>
    <w:bookmarkEnd w:id="0"/>
    <w:p w14:paraId="55BA1542" w14:textId="77777777" w:rsidR="005E0B9D" w:rsidRPr="004B082A" w:rsidRDefault="005E0B9D">
      <w:pPr>
        <w:pStyle w:val="Heading1"/>
        <w:rPr>
          <w:lang w:val="sr-Cyrl-CS"/>
        </w:rPr>
        <w:sectPr w:rsidR="005E0B9D" w:rsidRPr="004B082A" w:rsidSect="00F51787">
          <w:footerReference w:type="default" r:id="rId14"/>
          <w:endnotePr>
            <w:numFmt w:val="decimal"/>
          </w:endnotePr>
          <w:pgSz w:w="11906" w:h="16838"/>
          <w:pgMar w:top="1440" w:right="1701" w:bottom="1440" w:left="1701" w:header="720" w:footer="720" w:gutter="0"/>
          <w:cols w:space="720"/>
        </w:sectPr>
      </w:pPr>
    </w:p>
    <w:p w14:paraId="1DC9D681" w14:textId="77777777" w:rsidR="00986702" w:rsidRPr="004B082A" w:rsidRDefault="00986702" w:rsidP="00986702">
      <w:pPr>
        <w:pStyle w:val="Title"/>
        <w:rPr>
          <w:lang w:val="sr-Cyrl-CS"/>
        </w:rPr>
      </w:pPr>
      <w:r w:rsidRPr="004B082A">
        <w:rPr>
          <w:lang w:val="sr-Cyrl-CS"/>
        </w:rPr>
        <w:lastRenderedPageBreak/>
        <w:t>УГОВОР О ЗАЈМУ</w:t>
      </w:r>
    </w:p>
    <w:p w14:paraId="6336CEF4" w14:textId="5C843CDC" w:rsidR="00986702" w:rsidRPr="004B082A" w:rsidRDefault="00986702" w:rsidP="00986702">
      <w:pPr>
        <w:rPr>
          <w:lang w:val="sr-Cyrl-CS"/>
        </w:rPr>
      </w:pPr>
      <w:r w:rsidRPr="004B082A">
        <w:rPr>
          <w:b/>
          <w:lang w:val="sr-Cyrl-CS"/>
        </w:rPr>
        <w:t xml:space="preserve">УГОВОР </w:t>
      </w:r>
      <w:r w:rsidRPr="004B082A">
        <w:rPr>
          <w:lang w:val="sr-Cyrl-CS"/>
        </w:rPr>
        <w:t xml:space="preserve">од </w:t>
      </w:r>
      <w:r w:rsidR="00D2067D" w:rsidRPr="004B082A">
        <w:rPr>
          <w:lang w:val="sr-Cyrl-CS"/>
        </w:rPr>
        <w:t xml:space="preserve">9. јула </w:t>
      </w:r>
      <w:r w:rsidR="00EE34FE" w:rsidRPr="004B082A">
        <w:rPr>
          <w:lang w:val="sr-Cyrl-CS"/>
        </w:rPr>
        <w:t>2024</w:t>
      </w:r>
      <w:r w:rsidR="00F5600D" w:rsidRPr="004B082A">
        <w:rPr>
          <w:lang w:val="sr-Cyrl-CS"/>
        </w:rPr>
        <w:t>. године</w:t>
      </w:r>
      <w:r w:rsidRPr="004B082A">
        <w:rPr>
          <w:lang w:val="sr-Cyrl-CS"/>
        </w:rPr>
        <w:t xml:space="preserve">, између </w:t>
      </w:r>
      <w:r w:rsidRPr="004B082A">
        <w:rPr>
          <w:b/>
          <w:lang w:val="sr-Cyrl-CS"/>
        </w:rPr>
        <w:t xml:space="preserve">РЕПУБЛИКЕ СРБИЈЕ </w:t>
      </w:r>
      <w:r w:rsidRPr="004B082A">
        <w:rPr>
          <w:lang w:val="sr-Cyrl-CS"/>
        </w:rPr>
        <w:t>коју заступа господин Синиша Мали, министар финансија Републике Србије („</w:t>
      </w:r>
      <w:r w:rsidRPr="004B082A">
        <w:rPr>
          <w:b/>
          <w:lang w:val="sr-Cyrl-CS"/>
        </w:rPr>
        <w:t>Зајмопримац</w:t>
      </w:r>
      <w:r w:rsidRPr="004B082A">
        <w:rPr>
          <w:lang w:val="sr-Cyrl-CS"/>
        </w:rPr>
        <w:t xml:space="preserve">”)  и </w:t>
      </w:r>
      <w:r w:rsidRPr="004B082A">
        <w:rPr>
          <w:b/>
          <w:lang w:val="sr-Cyrl-CS"/>
        </w:rPr>
        <w:t xml:space="preserve">ЕВРОПСКЕ БАНКЕ ЗА ОБНОВУ И РАЗВОЈ </w:t>
      </w:r>
      <w:r w:rsidRPr="004B082A">
        <w:rPr>
          <w:lang w:val="sr-Cyrl-CS"/>
        </w:rPr>
        <w:t>(„</w:t>
      </w:r>
      <w:r w:rsidRPr="004B082A">
        <w:rPr>
          <w:b/>
          <w:lang w:val="sr-Cyrl-CS"/>
        </w:rPr>
        <w:t>Банка</w:t>
      </w:r>
      <w:r w:rsidRPr="004B082A">
        <w:rPr>
          <w:lang w:val="sr-Cyrl-CS"/>
        </w:rPr>
        <w:t>”).</w:t>
      </w:r>
    </w:p>
    <w:p w14:paraId="694F2438" w14:textId="1C2D6CC9" w:rsidR="00986702" w:rsidRPr="004B082A" w:rsidRDefault="00986702" w:rsidP="00986702">
      <w:pPr>
        <w:rPr>
          <w:lang w:val="sr-Cyrl-CS"/>
        </w:rPr>
      </w:pPr>
    </w:p>
    <w:p w14:paraId="653783D8" w14:textId="77777777" w:rsidR="00986702" w:rsidRPr="004B082A" w:rsidRDefault="00986702" w:rsidP="00DB0FB0">
      <w:pPr>
        <w:pStyle w:val="Paragrapha"/>
        <w:rPr>
          <w:lang w:val="sr-Cyrl-CS"/>
        </w:rPr>
      </w:pPr>
    </w:p>
    <w:p w14:paraId="69B8B092" w14:textId="77777777" w:rsidR="00304612" w:rsidRPr="004B082A" w:rsidRDefault="00304612" w:rsidP="00304612">
      <w:pPr>
        <w:jc w:val="center"/>
        <w:rPr>
          <w:lang w:val="sr-Cyrl-CS"/>
        </w:rPr>
      </w:pPr>
      <w:bookmarkStart w:id="1" w:name="_Toc123012945"/>
      <w:bookmarkStart w:id="2" w:name="_Toc123012997"/>
      <w:bookmarkStart w:id="3" w:name="_Toc123013326"/>
      <w:r w:rsidRPr="004B082A">
        <w:rPr>
          <w:b/>
          <w:bCs/>
          <w:lang w:val="sr-Cyrl-CS"/>
        </w:rPr>
        <w:t>ПРЕАМБУЛА</w:t>
      </w:r>
      <w:bookmarkEnd w:id="1"/>
      <w:bookmarkEnd w:id="2"/>
      <w:bookmarkEnd w:id="3"/>
    </w:p>
    <w:p w14:paraId="6D5AC10E" w14:textId="77777777" w:rsidR="00304612" w:rsidRPr="004B082A" w:rsidRDefault="00304612" w:rsidP="00304612">
      <w:pPr>
        <w:jc w:val="center"/>
        <w:rPr>
          <w:b/>
          <w:lang w:val="sr-Cyrl-CS"/>
        </w:rPr>
      </w:pPr>
    </w:p>
    <w:p w14:paraId="4DAD2521" w14:textId="2A15D12C" w:rsidR="00304612" w:rsidRPr="004B082A" w:rsidRDefault="00304612" w:rsidP="00304612">
      <w:pPr>
        <w:rPr>
          <w:lang w:val="sr-Cyrl-CS"/>
        </w:rPr>
      </w:pPr>
      <w:r w:rsidRPr="004B082A">
        <w:rPr>
          <w:b/>
          <w:lang w:val="sr-Cyrl-CS"/>
        </w:rPr>
        <w:t xml:space="preserve">С ОБЗИРОМ ДА </w:t>
      </w:r>
      <w:r w:rsidRPr="004B082A">
        <w:rPr>
          <w:lang w:val="sr-Cyrl-CS"/>
        </w:rPr>
        <w:t xml:space="preserve">да је Банка основана да би обезбеђивала финансирање специфичних пројеката који треба да подстакну прелаз ка отвореној тржишно оријентисаној привреди и да промовише приватну и предузетничку иницијативу у одређеним земљама које су се обавезале и које примењују принципе вишепартијске демократије, плурализма и тржишне економије; </w:t>
      </w:r>
      <w:r w:rsidR="007861FB" w:rsidRPr="004B082A">
        <w:rPr>
          <w:lang w:val="sr-Cyrl-CS"/>
        </w:rPr>
        <w:t xml:space="preserve"> </w:t>
      </w:r>
    </w:p>
    <w:p w14:paraId="278681BF" w14:textId="0E17E537" w:rsidR="007B3860" w:rsidRPr="004B082A" w:rsidRDefault="007B3860" w:rsidP="00A07599">
      <w:pPr>
        <w:pStyle w:val="Paragrapha"/>
        <w:rPr>
          <w:lang w:val="sr-Cyrl-CS"/>
        </w:rPr>
      </w:pPr>
      <w:r w:rsidRPr="004B082A">
        <w:rPr>
          <w:b/>
          <w:lang w:val="sr-Cyrl-CS"/>
        </w:rPr>
        <w:t>С ОБЗИРОМ ДА</w:t>
      </w:r>
      <w:r w:rsidRPr="004B082A">
        <w:rPr>
          <w:lang w:val="sr-Cyrl-CS"/>
        </w:rPr>
        <w:t xml:space="preserve"> Зајмопримац намерава да реализује Пројекат</w:t>
      </w:r>
      <w:r w:rsidR="00F5600D" w:rsidRPr="004B082A">
        <w:rPr>
          <w:lang w:val="sr-Cyrl-CS"/>
        </w:rPr>
        <w:t>,</w:t>
      </w:r>
      <w:r w:rsidRPr="004B082A">
        <w:rPr>
          <w:lang w:val="sr-Cyrl-CS"/>
        </w:rPr>
        <w:t xml:space="preserve"> описан у Прилогу 1, којим ће се финансирати улагања у производњу топлотне енергије из обновљивих извора у неколико компанија даљинског грејања („</w:t>
      </w:r>
      <w:r w:rsidR="00D452CB" w:rsidRPr="004B082A">
        <w:rPr>
          <w:b/>
          <w:lang w:val="sr-Cyrl-CS"/>
        </w:rPr>
        <w:t>DHC</w:t>
      </w:r>
      <w:r w:rsidR="00D452CB" w:rsidRPr="004B082A">
        <w:rPr>
          <w:lang w:val="sr-Cyrl-CS"/>
        </w:rPr>
        <w:t>”</w:t>
      </w:r>
      <w:r w:rsidRPr="004B082A">
        <w:rPr>
          <w:lang w:val="sr-Cyrl-CS"/>
        </w:rPr>
        <w:t>) које се налазе у малим и средњим градовима у Србији и у општини П</w:t>
      </w:r>
      <w:r w:rsidR="00F5600D" w:rsidRPr="004B082A">
        <w:rPr>
          <w:lang w:val="sr-Cyrl-CS"/>
        </w:rPr>
        <w:t>араћин на територији Зајмопримца</w:t>
      </w:r>
      <w:r w:rsidR="007D6E2A" w:rsidRPr="004B082A">
        <w:rPr>
          <w:lang w:val="sr-Cyrl-CS"/>
        </w:rPr>
        <w:t xml:space="preserve"> („</w:t>
      </w:r>
      <w:r w:rsidR="007D6E2A" w:rsidRPr="004B082A">
        <w:rPr>
          <w:b/>
          <w:lang w:val="sr-Cyrl-CS"/>
        </w:rPr>
        <w:t>Општина</w:t>
      </w:r>
      <w:r w:rsidR="00D452CB" w:rsidRPr="004B082A">
        <w:rPr>
          <w:lang w:val="sr-Cyrl-CS"/>
        </w:rPr>
        <w:t>”</w:t>
      </w:r>
      <w:r w:rsidR="007D6E2A" w:rsidRPr="004B082A">
        <w:rPr>
          <w:lang w:val="sr-Cyrl-CS"/>
        </w:rPr>
        <w:t xml:space="preserve"> и заједно са </w:t>
      </w:r>
      <w:r w:rsidR="00D452CB" w:rsidRPr="004B082A">
        <w:rPr>
          <w:lang w:val="sr-Cyrl-CS"/>
        </w:rPr>
        <w:t>DHC</w:t>
      </w:r>
      <w:r w:rsidR="00A04AD0" w:rsidRPr="004B082A">
        <w:rPr>
          <w:lang w:val="sr-Cyrl-CS"/>
        </w:rPr>
        <w:t xml:space="preserve"> – </w:t>
      </w:r>
      <w:r w:rsidR="00F5600D" w:rsidRPr="004B082A">
        <w:rPr>
          <w:lang w:val="sr-Cyrl-CS"/>
        </w:rPr>
        <w:t>ови</w:t>
      </w:r>
      <w:r w:rsidR="002F268E" w:rsidRPr="004B082A">
        <w:rPr>
          <w:lang w:val="sr-Cyrl-CS"/>
        </w:rPr>
        <w:t xml:space="preserve">, </w:t>
      </w:r>
      <w:r w:rsidR="004977E0" w:rsidRPr="004B082A">
        <w:rPr>
          <w:lang w:val="sr-Cyrl-CS"/>
        </w:rPr>
        <w:t>свако</w:t>
      </w:r>
      <w:r w:rsidR="002F268E" w:rsidRPr="004B082A">
        <w:rPr>
          <w:lang w:val="sr-Cyrl-CS"/>
        </w:rPr>
        <w:t xml:space="preserve"> „</w:t>
      </w:r>
      <w:r w:rsidR="002F268E" w:rsidRPr="004B082A">
        <w:rPr>
          <w:b/>
          <w:lang w:val="sr-Cyrl-CS"/>
        </w:rPr>
        <w:t>Пројектни субјекат</w:t>
      </w:r>
      <w:r w:rsidR="00D452CB" w:rsidRPr="004B082A">
        <w:rPr>
          <w:lang w:val="sr-Cyrl-CS"/>
        </w:rPr>
        <w:t>”</w:t>
      </w:r>
      <w:r w:rsidR="002F268E" w:rsidRPr="004B082A">
        <w:rPr>
          <w:lang w:val="sr-Cyrl-CS"/>
        </w:rPr>
        <w:t xml:space="preserve"> и заједно „</w:t>
      </w:r>
      <w:r w:rsidR="00D452CB" w:rsidRPr="004B082A">
        <w:rPr>
          <w:b/>
          <w:lang w:val="sr-Cyrl-CS"/>
        </w:rPr>
        <w:t>Пројектни субјекти</w:t>
      </w:r>
      <w:r w:rsidR="00D452CB" w:rsidRPr="004B082A">
        <w:rPr>
          <w:lang w:val="sr-Cyrl-CS"/>
        </w:rPr>
        <w:t>”</w:t>
      </w:r>
      <w:r w:rsidRPr="004B082A">
        <w:rPr>
          <w:lang w:val="sr-Cyrl-CS"/>
        </w:rPr>
        <w:t>);</w:t>
      </w:r>
      <w:r w:rsidR="00D452CB" w:rsidRPr="004B082A">
        <w:rPr>
          <w:lang w:val="sr-Cyrl-CS"/>
        </w:rPr>
        <w:t xml:space="preserve">   </w:t>
      </w:r>
    </w:p>
    <w:p w14:paraId="390CC0B3" w14:textId="42567298" w:rsidR="003151B8" w:rsidRPr="004B082A" w:rsidRDefault="003151B8" w:rsidP="00BE7617">
      <w:pPr>
        <w:pStyle w:val="Paragrapha"/>
        <w:rPr>
          <w:lang w:val="sr-Cyrl-CS"/>
        </w:rPr>
      </w:pPr>
      <w:r w:rsidRPr="004B082A">
        <w:rPr>
          <w:b/>
          <w:lang w:val="sr-Cyrl-CS"/>
        </w:rPr>
        <w:t>С ОБЗИРОМ ДА</w:t>
      </w:r>
      <w:r w:rsidRPr="004B082A">
        <w:rPr>
          <w:lang w:val="sr-Cyrl-CS"/>
        </w:rPr>
        <w:t xml:space="preserve"> ће Пројекат реализовати Зајмопримац, делујући преко Министарства рударства и енергетике („</w:t>
      </w:r>
      <w:r w:rsidRPr="004B082A">
        <w:rPr>
          <w:b/>
          <w:lang w:val="sr-Cyrl-CS"/>
        </w:rPr>
        <w:t>МРЕ</w:t>
      </w:r>
      <w:r w:rsidR="00D452CB" w:rsidRPr="004B082A">
        <w:rPr>
          <w:lang w:val="sr-Cyrl-CS"/>
        </w:rPr>
        <w:t>”</w:t>
      </w:r>
      <w:r w:rsidR="007D6E2A" w:rsidRPr="004B082A">
        <w:rPr>
          <w:lang w:val="sr-Cyrl-CS"/>
        </w:rPr>
        <w:t xml:space="preserve">), </w:t>
      </w:r>
      <w:r w:rsidR="00D452CB" w:rsidRPr="004B082A">
        <w:rPr>
          <w:lang w:val="sr-Cyrl-CS"/>
        </w:rPr>
        <w:t>DHC</w:t>
      </w:r>
      <w:r w:rsidR="00A04AD0" w:rsidRPr="004B082A">
        <w:rPr>
          <w:lang w:val="sr-Cyrl-CS"/>
        </w:rPr>
        <w:t xml:space="preserve"> – </w:t>
      </w:r>
      <w:r w:rsidR="00B158E7" w:rsidRPr="004B082A">
        <w:rPr>
          <w:lang w:val="sr-Cyrl-CS"/>
        </w:rPr>
        <w:t>ови</w:t>
      </w:r>
      <w:r w:rsidRPr="004B082A">
        <w:rPr>
          <w:lang w:val="sr-Cyrl-CS"/>
        </w:rPr>
        <w:t xml:space="preserve"> ЈП Топлана </w:t>
      </w:r>
      <w:r w:rsidR="00D452CB" w:rsidRPr="004B082A">
        <w:rPr>
          <w:lang w:val="sr-Cyrl-CS"/>
        </w:rPr>
        <w:t>Бечеј, ЈКП Богатић, „Енергетика” доо Крагујевац, ЈЕП „Топлана”</w:t>
      </w:r>
      <w:r w:rsidRPr="004B082A">
        <w:rPr>
          <w:lang w:val="sr-Cyrl-CS"/>
        </w:rPr>
        <w:t xml:space="preserve"> </w:t>
      </w:r>
      <w:r w:rsidR="00D452CB" w:rsidRPr="004B082A">
        <w:rPr>
          <w:lang w:val="sr-Cyrl-CS"/>
        </w:rPr>
        <w:t>Краљево, ЈКП ,, Градска топлана</w:t>
      </w:r>
      <w:r w:rsidRPr="004B082A">
        <w:rPr>
          <w:lang w:val="sr-Cyrl-CS"/>
        </w:rPr>
        <w:t>” Крушевац, ЈКП „Градска топлана” Ниш, ЈКП ,,Градска топлана” Нови Пазар, ЈКП „Грејање” Панчево, ЈКП</w:t>
      </w:r>
      <w:r w:rsidR="00685D6F" w:rsidRPr="004B082A">
        <w:rPr>
          <w:lang w:val="sr-Cyrl-CS"/>
        </w:rPr>
        <w:t>,</w:t>
      </w:r>
      <w:r w:rsidRPr="004B082A">
        <w:rPr>
          <w:lang w:val="sr-Cyrl-CS"/>
        </w:rPr>
        <w:t xml:space="preserve"> „Други октобар” Вршац и Општ</w:t>
      </w:r>
      <w:r w:rsidR="007D6E2A" w:rsidRPr="004B082A">
        <w:rPr>
          <w:lang w:val="sr-Cyrl-CS"/>
        </w:rPr>
        <w:t xml:space="preserve">ина, </w:t>
      </w:r>
      <w:r w:rsidR="004977E0" w:rsidRPr="004B082A">
        <w:rPr>
          <w:lang w:val="sr-Cyrl-CS"/>
        </w:rPr>
        <w:t xml:space="preserve">сваки </w:t>
      </w:r>
      <w:r w:rsidR="007D6E2A" w:rsidRPr="004B082A">
        <w:rPr>
          <w:lang w:val="sr-Cyrl-CS"/>
        </w:rPr>
        <w:t xml:space="preserve">делујући као </w:t>
      </w:r>
      <w:r w:rsidR="001E4D4F" w:rsidRPr="004B082A">
        <w:rPr>
          <w:lang w:val="sr-Cyrl-CS"/>
        </w:rPr>
        <w:t>Пројектни субјекат</w:t>
      </w:r>
      <w:r w:rsidRPr="004B082A">
        <w:rPr>
          <w:lang w:val="sr-Cyrl-CS"/>
        </w:rPr>
        <w:t>;</w:t>
      </w:r>
    </w:p>
    <w:p w14:paraId="35DDCDF1" w14:textId="735D7E06" w:rsidR="001E63E6" w:rsidRPr="004B082A" w:rsidRDefault="001E63E6" w:rsidP="00BE7617">
      <w:pPr>
        <w:pStyle w:val="Paragrapha"/>
        <w:rPr>
          <w:lang w:val="sr-Cyrl-CS"/>
        </w:rPr>
      </w:pPr>
      <w:r w:rsidRPr="004B082A">
        <w:rPr>
          <w:b/>
          <w:lang w:val="sr-Cyrl-CS"/>
        </w:rPr>
        <w:t>С ОБЗИРОМ ДА</w:t>
      </w:r>
      <w:r w:rsidRPr="004B082A">
        <w:rPr>
          <w:lang w:val="sr-Cyrl-CS"/>
        </w:rPr>
        <w:t xml:space="preserve"> Зајмопримац, делујући преко МРЕ, н</w:t>
      </w:r>
      <w:r w:rsidR="00D452CB" w:rsidRPr="004B082A">
        <w:rPr>
          <w:lang w:val="sr-Cyrl-CS"/>
        </w:rPr>
        <w:t xml:space="preserve">амерава да склопи споразуме са </w:t>
      </w:r>
      <w:r w:rsidR="00685D6F" w:rsidRPr="004B082A">
        <w:rPr>
          <w:lang w:val="sr-Cyrl-CS"/>
        </w:rPr>
        <w:t>9</w:t>
      </w:r>
      <w:r w:rsidRPr="004B082A">
        <w:rPr>
          <w:lang w:val="sr-Cyrl-CS"/>
        </w:rPr>
        <w:t xml:space="preserve"> општина на територији Зајмопримца и сваким од њихових </w:t>
      </w:r>
      <w:r w:rsidR="00B932B2" w:rsidRPr="004B082A">
        <w:rPr>
          <w:b/>
          <w:lang w:val="sr-Cyrl-CS"/>
        </w:rPr>
        <w:t>DHC</w:t>
      </w:r>
      <w:r w:rsidR="00A04AD0" w:rsidRPr="004B082A">
        <w:rPr>
          <w:lang w:val="sr-Cyrl-CS"/>
        </w:rPr>
        <w:t xml:space="preserve"> – </w:t>
      </w:r>
      <w:r w:rsidRPr="004B082A">
        <w:rPr>
          <w:lang w:val="sr-Cyrl-CS"/>
        </w:rPr>
        <w:t>ова (сваки „</w:t>
      </w:r>
      <w:r w:rsidRPr="004B082A">
        <w:rPr>
          <w:b/>
          <w:lang w:val="sr-Cyrl-CS"/>
        </w:rPr>
        <w:t>Трилатерални споразум</w:t>
      </w:r>
      <w:r w:rsidRPr="004B082A">
        <w:rPr>
          <w:lang w:val="sr-Cyrl-CS"/>
        </w:rPr>
        <w:t>” и заједно „</w:t>
      </w:r>
      <w:r w:rsidRPr="004B082A">
        <w:rPr>
          <w:b/>
          <w:lang w:val="sr-Cyrl-CS"/>
        </w:rPr>
        <w:t>Трилатерални споразуми</w:t>
      </w:r>
      <w:r w:rsidR="0045607D" w:rsidRPr="004B082A">
        <w:rPr>
          <w:lang w:val="sr-Cyrl-CS"/>
        </w:rPr>
        <w:t>”) и Општином („</w:t>
      </w:r>
      <w:r w:rsidR="0045607D" w:rsidRPr="004B082A">
        <w:rPr>
          <w:b/>
          <w:lang w:val="sr-Cyrl-CS"/>
        </w:rPr>
        <w:t>Билатерални с</w:t>
      </w:r>
      <w:r w:rsidRPr="004B082A">
        <w:rPr>
          <w:b/>
          <w:lang w:val="sr-Cyrl-CS"/>
        </w:rPr>
        <w:t>поразум</w:t>
      </w:r>
      <w:r w:rsidR="00182CD2" w:rsidRPr="004B082A">
        <w:rPr>
          <w:lang w:val="sr-Cyrl-CS"/>
        </w:rPr>
        <w:t>”</w:t>
      </w:r>
      <w:r w:rsidRPr="004B082A">
        <w:rPr>
          <w:lang w:val="sr-Cyrl-CS"/>
        </w:rPr>
        <w:t xml:space="preserve"> и заједно</w:t>
      </w:r>
      <w:r w:rsidR="004977E0" w:rsidRPr="004B082A">
        <w:rPr>
          <w:lang w:val="sr-Cyrl-CS"/>
        </w:rPr>
        <w:t xml:space="preserve"> са Трилатералним споразумима „</w:t>
      </w:r>
      <w:r w:rsidR="004977E0" w:rsidRPr="004B082A">
        <w:rPr>
          <w:b/>
          <w:lang w:val="sr-Cyrl-CS"/>
        </w:rPr>
        <w:t>С</w:t>
      </w:r>
      <w:r w:rsidR="00182CD2" w:rsidRPr="004B082A">
        <w:rPr>
          <w:b/>
          <w:lang w:val="sr-Cyrl-CS"/>
        </w:rPr>
        <w:t>поразуми</w:t>
      </w:r>
      <w:r w:rsidR="00182CD2" w:rsidRPr="004B082A">
        <w:rPr>
          <w:lang w:val="sr-Cyrl-CS"/>
        </w:rPr>
        <w:t>”</w:t>
      </w:r>
      <w:r w:rsidRPr="004B082A">
        <w:rPr>
          <w:lang w:val="sr-Cyrl-CS"/>
        </w:rPr>
        <w:t>);</w:t>
      </w:r>
      <w:r w:rsidR="00182CD2" w:rsidRPr="004B082A">
        <w:rPr>
          <w:lang w:val="sr-Cyrl-CS"/>
        </w:rPr>
        <w:t xml:space="preserve"> </w:t>
      </w:r>
    </w:p>
    <w:p w14:paraId="4D1C6DBB" w14:textId="03C85AA9" w:rsidR="00552595" w:rsidRPr="004B082A" w:rsidRDefault="00552595">
      <w:pPr>
        <w:pStyle w:val="Paragrapha"/>
        <w:rPr>
          <w:lang w:val="sr-Cyrl-CS"/>
        </w:rPr>
      </w:pPr>
      <w:r w:rsidRPr="004B082A">
        <w:rPr>
          <w:b/>
          <w:lang w:val="sr-Cyrl-CS"/>
        </w:rPr>
        <w:t>С ОБЗИРОМ ДА</w:t>
      </w:r>
      <w:r w:rsidRPr="004B082A">
        <w:rPr>
          <w:lang w:val="sr-Cyrl-CS"/>
        </w:rPr>
        <w:t xml:space="preserve"> је Зајмопримац затражио помоћ од Банке у финансирању дела Пројекта;  </w:t>
      </w:r>
    </w:p>
    <w:p w14:paraId="2598FFC4" w14:textId="6F006EC2" w:rsidR="004F6597" w:rsidRPr="004B082A" w:rsidRDefault="004F6597" w:rsidP="005C4628">
      <w:pPr>
        <w:pStyle w:val="Paragrapha"/>
        <w:rPr>
          <w:lang w:val="sr-Cyrl-CS"/>
        </w:rPr>
      </w:pPr>
      <w:r w:rsidRPr="004B082A">
        <w:rPr>
          <w:b/>
          <w:lang w:val="sr-Cyrl-CS"/>
        </w:rPr>
        <w:t>С ОБЗИРОМ ДА</w:t>
      </w:r>
      <w:r w:rsidRPr="004B082A">
        <w:rPr>
          <w:lang w:val="sr-Cyrl-CS"/>
        </w:rPr>
        <w:t xml:space="preserve"> </w:t>
      </w:r>
      <w:r w:rsidR="00766E5B" w:rsidRPr="004B082A">
        <w:rPr>
          <w:lang w:val="sr-Cyrl-CS"/>
        </w:rPr>
        <w:t xml:space="preserve">је Банка </w:t>
      </w:r>
      <w:r w:rsidRPr="004B082A">
        <w:rPr>
          <w:lang w:val="sr-Cyrl-CS"/>
        </w:rPr>
        <w:t>у процесу договарања средстава за техничку сарадњу на основу бесповратних средстава ка</w:t>
      </w:r>
      <w:r w:rsidR="001C0B9A" w:rsidRPr="004B082A">
        <w:rPr>
          <w:lang w:val="sr-Cyrl-CS"/>
        </w:rPr>
        <w:t xml:space="preserve">ко би помогла Пројектним субјектима </w:t>
      </w:r>
      <w:r w:rsidRPr="004B082A">
        <w:rPr>
          <w:lang w:val="sr-Cyrl-CS"/>
        </w:rPr>
        <w:t xml:space="preserve"> у процени и имплемент</w:t>
      </w:r>
      <w:r w:rsidR="00766E5B" w:rsidRPr="004B082A">
        <w:rPr>
          <w:lang w:val="sr-Cyrl-CS"/>
        </w:rPr>
        <w:t>ацији Пројекта као што следи: (i</w:t>
      </w:r>
      <w:r w:rsidR="004977E0" w:rsidRPr="004B082A">
        <w:rPr>
          <w:lang w:val="sr-Cyrl-CS"/>
        </w:rPr>
        <w:t>) 74.</w:t>
      </w:r>
      <w:r w:rsidRPr="004B082A">
        <w:rPr>
          <w:lang w:val="sr-Cyrl-CS"/>
        </w:rPr>
        <w:t>960 е</w:t>
      </w:r>
      <w:r w:rsidR="00766E5B" w:rsidRPr="004B082A">
        <w:rPr>
          <w:lang w:val="sr-Cyrl-CS"/>
        </w:rPr>
        <w:t>вра за студију брзе процене; (ii</w:t>
      </w:r>
      <w:r w:rsidRPr="004B082A">
        <w:rPr>
          <w:lang w:val="sr-Cyrl-CS"/>
        </w:rPr>
        <w:t>) до 60.000 евра за</w:t>
      </w:r>
      <w:r w:rsidR="00766E5B" w:rsidRPr="004B082A">
        <w:rPr>
          <w:lang w:val="sr-Cyrl-CS"/>
        </w:rPr>
        <w:t xml:space="preserve"> подршку </w:t>
      </w:r>
      <w:r w:rsidR="004977E0" w:rsidRPr="004B082A">
        <w:rPr>
          <w:lang w:val="sr-Cyrl-CS"/>
        </w:rPr>
        <w:t xml:space="preserve">у </w:t>
      </w:r>
      <w:r w:rsidR="00766E5B" w:rsidRPr="004B082A">
        <w:rPr>
          <w:lang w:val="sr-Cyrl-CS"/>
        </w:rPr>
        <w:t>при</w:t>
      </w:r>
      <w:r w:rsidR="001E4D4F" w:rsidRPr="004B082A">
        <w:rPr>
          <w:lang w:val="sr-Cyrl-CS"/>
        </w:rPr>
        <w:t>преми П</w:t>
      </w:r>
      <w:r w:rsidR="00766E5B" w:rsidRPr="004B082A">
        <w:rPr>
          <w:lang w:val="sr-Cyrl-CS"/>
        </w:rPr>
        <w:t>ројекта; (iii</w:t>
      </w:r>
      <w:r w:rsidRPr="004B082A">
        <w:rPr>
          <w:lang w:val="sr-Cyrl-CS"/>
        </w:rPr>
        <w:t>) до 1.000.000 евра за техничку, финансијску, еколошку и социјалну анализу</w:t>
      </w:r>
      <w:r w:rsidR="006022A6" w:rsidRPr="004B082A">
        <w:rPr>
          <w:lang w:val="sr-Cyrl-CS"/>
        </w:rPr>
        <w:t>; (iv</w:t>
      </w:r>
      <w:r w:rsidRPr="004B082A">
        <w:rPr>
          <w:lang w:val="sr-Cyrl-CS"/>
        </w:rPr>
        <w:t>) до 3.000.000 евра за подршку имплеме</w:t>
      </w:r>
      <w:r w:rsidR="00C15C70" w:rsidRPr="004B082A">
        <w:rPr>
          <w:lang w:val="sr-Cyrl-CS"/>
        </w:rPr>
        <w:t>нтацији и надзору П</w:t>
      </w:r>
      <w:r w:rsidR="006022A6" w:rsidRPr="004B082A">
        <w:rPr>
          <w:lang w:val="sr-Cyrl-CS"/>
        </w:rPr>
        <w:t>ројекта; и (v</w:t>
      </w:r>
      <w:r w:rsidRPr="004B082A">
        <w:rPr>
          <w:lang w:val="sr-Cyrl-CS"/>
        </w:rPr>
        <w:t>) до 400.000 евра за подршку дијалогу о политици;</w:t>
      </w:r>
      <w:r w:rsidR="001C0B9A" w:rsidRPr="004B082A">
        <w:rPr>
          <w:lang w:val="sr-Cyrl-CS"/>
        </w:rPr>
        <w:t xml:space="preserve"> </w:t>
      </w:r>
    </w:p>
    <w:p w14:paraId="5AF7EC40" w14:textId="12BDB108" w:rsidR="00E97BCE" w:rsidRPr="004B082A" w:rsidRDefault="00E97BCE" w:rsidP="005C4628">
      <w:pPr>
        <w:pStyle w:val="Paragrapha"/>
        <w:rPr>
          <w:lang w:val="sr-Cyrl-CS"/>
        </w:rPr>
      </w:pPr>
      <w:r w:rsidRPr="004B082A">
        <w:rPr>
          <w:b/>
          <w:lang w:val="sr-Cyrl-CS"/>
        </w:rPr>
        <w:lastRenderedPageBreak/>
        <w:t>С ОБЗИРОМ ДА</w:t>
      </w:r>
      <w:r w:rsidRPr="004B082A">
        <w:rPr>
          <w:lang w:val="sr-Cyrl-CS"/>
        </w:rPr>
        <w:t xml:space="preserve"> је Банка је у процесу договарања финансирања инвестиционих грантова у износу до 7.500.000 евра („</w:t>
      </w:r>
      <w:r w:rsidRPr="004B082A">
        <w:rPr>
          <w:b/>
          <w:lang w:val="sr-Cyrl-CS"/>
        </w:rPr>
        <w:t>Инвестициони грантови</w:t>
      </w:r>
      <w:r w:rsidR="00182CD2" w:rsidRPr="004B082A">
        <w:rPr>
          <w:lang w:val="sr-Cyrl-CS"/>
        </w:rPr>
        <w:t>”</w:t>
      </w:r>
      <w:r w:rsidRPr="004B082A">
        <w:rPr>
          <w:lang w:val="sr-Cyrl-CS"/>
        </w:rPr>
        <w:t>) од (i) Швајцарског државног секретари</w:t>
      </w:r>
      <w:r w:rsidR="00182CD2" w:rsidRPr="004B082A">
        <w:rPr>
          <w:lang w:val="sr-Cyrl-CS"/>
        </w:rPr>
        <w:t xml:space="preserve">јата за економске послове </w:t>
      </w:r>
      <w:r w:rsidR="003A7D80" w:rsidRPr="004B082A">
        <w:rPr>
          <w:lang w:val="sr-Cyrl-CS"/>
        </w:rPr>
        <w:t>(„</w:t>
      </w:r>
      <w:r w:rsidR="003A7D80" w:rsidRPr="004B082A">
        <w:rPr>
          <w:b/>
          <w:lang w:val="sr-Cyrl-CS"/>
        </w:rPr>
        <w:t>SECO</w:t>
      </w:r>
      <w:r w:rsidR="00182CD2" w:rsidRPr="004B082A">
        <w:rPr>
          <w:lang w:val="sr-Cyrl-CS"/>
        </w:rPr>
        <w:t>”</w:t>
      </w:r>
      <w:r w:rsidRPr="004B082A">
        <w:rPr>
          <w:lang w:val="sr-Cyrl-CS"/>
        </w:rPr>
        <w:t xml:space="preserve">) под условима </w:t>
      </w:r>
      <w:r w:rsidR="00A75F55" w:rsidRPr="004B082A">
        <w:rPr>
          <w:lang w:val="sr-Cyrl-CS"/>
        </w:rPr>
        <w:t>[који ће бити</w:t>
      </w:r>
      <w:r w:rsidR="00685D6F" w:rsidRPr="004B082A">
        <w:rPr>
          <w:lang w:val="sr-Cyrl-CS"/>
        </w:rPr>
        <w:t>] наведеним</w:t>
      </w:r>
      <w:r w:rsidRPr="004B082A">
        <w:rPr>
          <w:lang w:val="sr-Cyrl-CS"/>
        </w:rPr>
        <w:t xml:space="preserve"> у </w:t>
      </w:r>
      <w:r w:rsidR="00872897" w:rsidRPr="004B082A">
        <w:rPr>
          <w:lang w:val="sr-Cyrl-CS"/>
        </w:rPr>
        <w:t>споразуму („</w:t>
      </w:r>
      <w:r w:rsidR="00872897" w:rsidRPr="004B082A">
        <w:rPr>
          <w:b/>
          <w:lang w:val="sr-Cyrl-CS"/>
        </w:rPr>
        <w:t>Уговор о гранту SECO</w:t>
      </w:r>
      <w:r w:rsidR="00605F92" w:rsidRPr="004B082A">
        <w:rPr>
          <w:lang w:val="sr-Cyrl-CS"/>
        </w:rPr>
        <w:t>”</w:t>
      </w:r>
      <w:r w:rsidRPr="004B082A">
        <w:rPr>
          <w:lang w:val="sr-Cyrl-CS"/>
        </w:rPr>
        <w:t>) између Банке и Зајмопримца и (ii) Европске уније („</w:t>
      </w:r>
      <w:r w:rsidRPr="004B082A">
        <w:rPr>
          <w:b/>
          <w:lang w:val="sr-Cyrl-CS"/>
        </w:rPr>
        <w:t>ЕУ</w:t>
      </w:r>
      <w:r w:rsidR="00182CD2" w:rsidRPr="004B082A">
        <w:rPr>
          <w:lang w:val="sr-Cyrl-CS"/>
        </w:rPr>
        <w:t>”</w:t>
      </w:r>
      <w:r w:rsidRPr="004B082A">
        <w:rPr>
          <w:lang w:val="sr-Cyrl-CS"/>
        </w:rPr>
        <w:t>) у оквиру Регионалног прогр</w:t>
      </w:r>
      <w:r w:rsidR="00872897" w:rsidRPr="004B082A">
        <w:rPr>
          <w:lang w:val="sr-Cyrl-CS"/>
        </w:rPr>
        <w:t>ама енергетске ефикасности („</w:t>
      </w:r>
      <w:r w:rsidR="00872897" w:rsidRPr="004B082A">
        <w:rPr>
          <w:b/>
          <w:lang w:val="sr-Cyrl-CS"/>
        </w:rPr>
        <w:t>REEP</w:t>
      </w:r>
      <w:r w:rsidR="00182CD2" w:rsidRPr="004B082A">
        <w:rPr>
          <w:lang w:val="sr-Cyrl-CS"/>
        </w:rPr>
        <w:t>”</w:t>
      </w:r>
      <w:r w:rsidRPr="004B082A">
        <w:rPr>
          <w:lang w:val="sr-Cyrl-CS"/>
        </w:rPr>
        <w:t xml:space="preserve">), </w:t>
      </w:r>
      <w:r w:rsidR="002B25EA" w:rsidRPr="004B082A">
        <w:rPr>
          <w:lang w:val="sr-Cyrl-CS"/>
        </w:rPr>
        <w:t>под</w:t>
      </w:r>
      <w:r w:rsidRPr="004B082A">
        <w:rPr>
          <w:lang w:val="sr-Cyrl-CS"/>
        </w:rPr>
        <w:t xml:space="preserve"> условима [који ће б</w:t>
      </w:r>
      <w:r w:rsidR="00872897" w:rsidRPr="004B082A">
        <w:rPr>
          <w:lang w:val="sr-Cyrl-CS"/>
        </w:rPr>
        <w:t>ити] наведени</w:t>
      </w:r>
      <w:r w:rsidR="00685D6F" w:rsidRPr="004B082A">
        <w:rPr>
          <w:lang w:val="sr-Cyrl-CS"/>
        </w:rPr>
        <w:t>м</w:t>
      </w:r>
      <w:r w:rsidR="00872897" w:rsidRPr="004B082A">
        <w:rPr>
          <w:lang w:val="sr-Cyrl-CS"/>
        </w:rPr>
        <w:t xml:space="preserve"> у споразуму („</w:t>
      </w:r>
      <w:r w:rsidR="00872897" w:rsidRPr="004B082A">
        <w:rPr>
          <w:b/>
          <w:lang w:val="sr-Cyrl-CS"/>
        </w:rPr>
        <w:t>REEP</w:t>
      </w:r>
      <w:r w:rsidRPr="004B082A">
        <w:rPr>
          <w:b/>
          <w:lang w:val="sr-Cyrl-CS"/>
        </w:rPr>
        <w:t xml:space="preserve"> Уговор о гранту</w:t>
      </w:r>
      <w:r w:rsidR="00182CD2" w:rsidRPr="004B082A">
        <w:rPr>
          <w:lang w:val="sr-Cyrl-CS"/>
        </w:rPr>
        <w:t>”</w:t>
      </w:r>
      <w:r w:rsidRPr="004B082A">
        <w:rPr>
          <w:lang w:val="sr-Cyrl-CS"/>
        </w:rPr>
        <w:t>) између Банке и Зајмопримца; и</w:t>
      </w:r>
      <w:r w:rsidR="00182CD2" w:rsidRPr="004B082A">
        <w:rPr>
          <w:lang w:val="sr-Cyrl-CS"/>
        </w:rPr>
        <w:t xml:space="preserve">  </w:t>
      </w:r>
    </w:p>
    <w:p w14:paraId="6781EFA3" w14:textId="4617FD32" w:rsidR="00A75F55" w:rsidRPr="004B082A" w:rsidRDefault="00A75F55" w:rsidP="00A75F55">
      <w:pPr>
        <w:spacing w:before="240"/>
        <w:rPr>
          <w:lang w:val="sr-Cyrl-CS"/>
        </w:rPr>
      </w:pPr>
      <w:r w:rsidRPr="004B082A">
        <w:rPr>
          <w:b/>
          <w:lang w:val="sr-Cyrl-CS"/>
        </w:rPr>
        <w:t>С ОБЗИРОМ ДА</w:t>
      </w:r>
      <w:r w:rsidRPr="004B082A">
        <w:rPr>
          <w:lang w:val="sr-Cyrl-CS"/>
        </w:rPr>
        <w:t xml:space="preserve"> се Банка сагласила на основу наведеног, између осталог, да Зајмопр</w:t>
      </w:r>
      <w:r w:rsidR="00274D2A" w:rsidRPr="004B082A">
        <w:rPr>
          <w:lang w:val="sr-Cyrl-CS"/>
        </w:rPr>
        <w:t>имцу одобри зајам у износу од 30</w:t>
      </w:r>
      <w:r w:rsidRPr="004B082A">
        <w:rPr>
          <w:lang w:val="sr-Cyrl-CS"/>
        </w:rPr>
        <w:t>.000.000 евра</w:t>
      </w:r>
      <w:r w:rsidR="00274D2A" w:rsidRPr="004B082A">
        <w:rPr>
          <w:lang w:val="sr-Cyrl-CS"/>
        </w:rPr>
        <w:t xml:space="preserve"> (тридесет</w:t>
      </w:r>
      <w:r w:rsidRPr="004B082A">
        <w:rPr>
          <w:lang w:val="sr-Cyrl-CS"/>
        </w:rPr>
        <w:t xml:space="preserve"> милиона евра), у складу са условима и одредбама које утврђује или на које </w:t>
      </w:r>
      <w:r w:rsidR="006F3CF1" w:rsidRPr="004B082A">
        <w:rPr>
          <w:lang w:val="sr-Cyrl-CS"/>
        </w:rPr>
        <w:t>се упућује у овом</w:t>
      </w:r>
      <w:r w:rsidRPr="004B082A">
        <w:rPr>
          <w:lang w:val="sr-Cyrl-CS"/>
        </w:rPr>
        <w:t xml:space="preserve"> уговор</w:t>
      </w:r>
      <w:r w:rsidR="006F3CF1" w:rsidRPr="004B082A">
        <w:rPr>
          <w:lang w:val="sr-Cyrl-CS"/>
        </w:rPr>
        <w:t>у</w:t>
      </w:r>
      <w:r w:rsidRPr="004B082A">
        <w:rPr>
          <w:lang w:val="sr-Cyrl-CS"/>
        </w:rPr>
        <w:t xml:space="preserve"> и Уговор</w:t>
      </w:r>
      <w:r w:rsidR="006F3CF1" w:rsidRPr="004B082A">
        <w:rPr>
          <w:lang w:val="sr-Cyrl-CS"/>
        </w:rPr>
        <w:t>у</w:t>
      </w:r>
      <w:r w:rsidRPr="004B082A">
        <w:rPr>
          <w:lang w:val="sr-Cyrl-CS"/>
        </w:rPr>
        <w:t xml:space="preserve"> о пројекту са датумом овог</w:t>
      </w:r>
      <w:r w:rsidR="004A4707" w:rsidRPr="004B082A">
        <w:rPr>
          <w:lang w:val="sr-Cyrl-CS"/>
        </w:rPr>
        <w:t xml:space="preserve"> уговора</w:t>
      </w:r>
      <w:r w:rsidRPr="004B082A">
        <w:rPr>
          <w:lang w:val="sr-Cyrl-CS"/>
        </w:rPr>
        <w:t xml:space="preserve"> између Зајмопримца (ког заступа МРЕ) и Банке („</w:t>
      </w:r>
      <w:r w:rsidRPr="004B082A">
        <w:rPr>
          <w:b/>
          <w:lang w:val="sr-Cyrl-CS"/>
        </w:rPr>
        <w:t>Уговор о пројекту</w:t>
      </w:r>
      <w:r w:rsidR="00605F92" w:rsidRPr="004B082A">
        <w:rPr>
          <w:lang w:val="sr-Cyrl-CS"/>
        </w:rPr>
        <w:t>”</w:t>
      </w:r>
      <w:r w:rsidRPr="004B082A">
        <w:rPr>
          <w:lang w:val="sr-Cyrl-CS"/>
        </w:rPr>
        <w:t xml:space="preserve"> како је дефинисано у Стандардним условима </w:t>
      </w:r>
      <w:r w:rsidR="00936644" w:rsidRPr="004B082A">
        <w:rPr>
          <w:lang w:val="sr-Cyrl-CS"/>
        </w:rPr>
        <w:t>пословања</w:t>
      </w:r>
      <w:r w:rsidRPr="004B082A">
        <w:rPr>
          <w:lang w:val="sr-Cyrl-CS"/>
        </w:rPr>
        <w:t>).</w:t>
      </w:r>
    </w:p>
    <w:p w14:paraId="6E4576EA" w14:textId="5615496D" w:rsidR="003A3222" w:rsidRPr="004B082A" w:rsidRDefault="003A3222" w:rsidP="003A3222">
      <w:pPr>
        <w:pStyle w:val="Paragrapha"/>
        <w:rPr>
          <w:lang w:val="sr-Cyrl-CS"/>
        </w:rPr>
      </w:pPr>
      <w:bookmarkStart w:id="4" w:name="_Toc446740945"/>
      <w:bookmarkStart w:id="5" w:name="_Toc146535390"/>
      <w:r w:rsidRPr="004B082A">
        <w:rPr>
          <w:b/>
          <w:lang w:val="sr-Cyrl-CS"/>
        </w:rPr>
        <w:t>НА ОСНОВУ ТОГА</w:t>
      </w:r>
      <w:r w:rsidR="00936644" w:rsidRPr="004B082A">
        <w:rPr>
          <w:b/>
          <w:lang w:val="sr-Cyrl-CS"/>
        </w:rPr>
        <w:t>,</w:t>
      </w:r>
      <w:r w:rsidRPr="004B082A">
        <w:rPr>
          <w:b/>
          <w:lang w:val="sr-Cyrl-CS"/>
        </w:rPr>
        <w:t xml:space="preserve"> </w:t>
      </w:r>
      <w:r w:rsidRPr="004B082A">
        <w:rPr>
          <w:bCs/>
          <w:lang w:val="sr-Cyrl-CS"/>
        </w:rPr>
        <w:t xml:space="preserve">уговорне </w:t>
      </w:r>
      <w:r w:rsidRPr="004B082A">
        <w:rPr>
          <w:lang w:val="sr-Cyrl-CS"/>
        </w:rPr>
        <w:t>стране се овим усаглашавају на следећи начин:</w:t>
      </w:r>
    </w:p>
    <w:p w14:paraId="4F39394F" w14:textId="77777777" w:rsidR="00471ADE" w:rsidRPr="004B082A" w:rsidRDefault="00471ADE" w:rsidP="00471ADE">
      <w:pPr>
        <w:pStyle w:val="Paragrapha"/>
        <w:rPr>
          <w:b/>
          <w:lang w:val="sr-Cyrl-CS"/>
        </w:rPr>
      </w:pPr>
      <w:bookmarkStart w:id="6" w:name="_Toc446419964"/>
      <w:bookmarkStart w:id="7" w:name="_Toc446740947"/>
      <w:bookmarkEnd w:id="4"/>
      <w:bookmarkEnd w:id="5"/>
    </w:p>
    <w:p w14:paraId="73A9D7F8" w14:textId="0EA481E7" w:rsidR="00471ADE" w:rsidRPr="004B082A" w:rsidRDefault="00471ADE" w:rsidP="00471ADE">
      <w:pPr>
        <w:pStyle w:val="Paragrapha"/>
        <w:rPr>
          <w:b/>
          <w:lang w:val="sr-Cyrl-CS"/>
        </w:rPr>
      </w:pPr>
      <w:r w:rsidRPr="004B082A">
        <w:rPr>
          <w:b/>
          <w:lang w:val="sr-Cyrl-CS"/>
        </w:rPr>
        <w:t>ЧЛАН</w:t>
      </w:r>
      <w:r w:rsidR="00567C20" w:rsidRPr="004B082A">
        <w:rPr>
          <w:b/>
          <w:lang w:val="sr-Cyrl-CS"/>
        </w:rPr>
        <w:t xml:space="preserve"> I – </w:t>
      </w:r>
      <w:r w:rsidRPr="004B082A">
        <w:rPr>
          <w:b/>
          <w:lang w:val="sr-Cyrl-CS"/>
        </w:rPr>
        <w:t>СТАНДАРДНИ УСЛОВИ ПОСЛОВАЊА; ДЕФИНИЦИЈЕ</w:t>
      </w:r>
    </w:p>
    <w:p w14:paraId="55CF4093" w14:textId="77777777" w:rsidR="00471ADE" w:rsidRPr="004B082A" w:rsidRDefault="00471ADE" w:rsidP="00471ADE">
      <w:pPr>
        <w:pStyle w:val="Heading2"/>
        <w:tabs>
          <w:tab w:val="left" w:pos="1620"/>
          <w:tab w:val="left" w:pos="1890"/>
        </w:tabs>
        <w:spacing w:before="0"/>
        <w:rPr>
          <w:lang w:val="sr-Cyrl-CS"/>
        </w:rPr>
      </w:pPr>
      <w:bookmarkStart w:id="8" w:name="_Toc123012947"/>
      <w:bookmarkStart w:id="9" w:name="_Toc123012999"/>
      <w:bookmarkStart w:id="10" w:name="_Toc123013328"/>
      <w:bookmarkStart w:id="11" w:name="_Toc123013440"/>
      <w:bookmarkStart w:id="12" w:name="_Toc123013779"/>
      <w:bookmarkStart w:id="13" w:name="_Toc114490178"/>
    </w:p>
    <w:p w14:paraId="0AED2E6F" w14:textId="2AA8ACF3" w:rsidR="00471ADE" w:rsidRPr="004B082A" w:rsidRDefault="00B158E7" w:rsidP="00471ADE">
      <w:pPr>
        <w:pStyle w:val="Heading2"/>
        <w:tabs>
          <w:tab w:val="left" w:pos="1620"/>
          <w:tab w:val="left" w:pos="1890"/>
        </w:tabs>
        <w:spacing w:before="0"/>
        <w:rPr>
          <w:lang w:val="sr-Cyrl-CS"/>
        </w:rPr>
      </w:pPr>
      <w:bookmarkStart w:id="14" w:name="_Toc144993882"/>
      <w:r w:rsidRPr="004B082A">
        <w:rPr>
          <w:lang w:val="sr-Cyrl-CS"/>
        </w:rPr>
        <w:t>Одељак 1.01.</w:t>
      </w:r>
      <w:r w:rsidRPr="004B082A">
        <w:rPr>
          <w:lang w:val="sr-Cyrl-CS"/>
        </w:rPr>
        <w:tab/>
      </w:r>
      <w:r w:rsidRPr="004B082A">
        <w:rPr>
          <w:lang w:val="sr-Cyrl-CS"/>
        </w:rPr>
        <w:tab/>
        <w:t>Укључивање С</w:t>
      </w:r>
      <w:r w:rsidR="00471ADE" w:rsidRPr="004B082A">
        <w:rPr>
          <w:lang w:val="sr-Cyrl-CS"/>
        </w:rPr>
        <w:t>тандардних услова пословања</w:t>
      </w:r>
      <w:bookmarkEnd w:id="8"/>
      <w:bookmarkEnd w:id="9"/>
      <w:bookmarkEnd w:id="10"/>
      <w:bookmarkEnd w:id="11"/>
      <w:bookmarkEnd w:id="12"/>
      <w:bookmarkEnd w:id="13"/>
      <w:bookmarkEnd w:id="14"/>
    </w:p>
    <w:p w14:paraId="2E49015C" w14:textId="4279E33A" w:rsidR="006111AD" w:rsidRPr="004B082A" w:rsidRDefault="005E0B9D" w:rsidP="006A48B2">
      <w:pPr>
        <w:pStyle w:val="Paragrapha"/>
        <w:rPr>
          <w:lang w:val="sr-Cyrl-CS"/>
        </w:rPr>
      </w:pPr>
      <w:r w:rsidRPr="004B082A">
        <w:rPr>
          <w:lang w:val="sr-Cyrl-CS"/>
        </w:rPr>
        <w:tab/>
      </w:r>
      <w:r w:rsidR="00137E6F" w:rsidRPr="004B082A">
        <w:rPr>
          <w:lang w:val="sr-Cyrl-CS"/>
        </w:rPr>
        <w:t xml:space="preserve">Све </w:t>
      </w:r>
      <w:r w:rsidR="0044772C" w:rsidRPr="004B082A">
        <w:rPr>
          <w:lang w:val="sr-Cyrl-CS"/>
        </w:rPr>
        <w:t>одредбе Стандардних услова пословања Банке од 5. новембра 2021.</w:t>
      </w:r>
      <w:r w:rsidR="002B25EA" w:rsidRPr="004B082A">
        <w:rPr>
          <w:lang w:val="sr-Cyrl-CS"/>
        </w:rPr>
        <w:t xml:space="preserve"> </w:t>
      </w:r>
      <w:r w:rsidR="0044772C" w:rsidRPr="004B082A">
        <w:rPr>
          <w:lang w:val="sr-Cyrl-CS"/>
        </w:rPr>
        <w:t xml:space="preserve">године овим </w:t>
      </w:r>
      <w:r w:rsidR="007F5410" w:rsidRPr="004B082A">
        <w:rPr>
          <w:lang w:val="sr-Cyrl-CS"/>
        </w:rPr>
        <w:t>путем су укључене у овај уговор и примењују се на овај у</w:t>
      </w:r>
      <w:r w:rsidR="0044772C" w:rsidRPr="004B082A">
        <w:rPr>
          <w:lang w:val="sr-Cyrl-CS"/>
        </w:rPr>
        <w:t>говор са истим дејством као да су овде у потпуности наведене.</w:t>
      </w:r>
    </w:p>
    <w:p w14:paraId="00250E14" w14:textId="77777777" w:rsidR="00C14AE0" w:rsidRPr="004B082A" w:rsidRDefault="00C14AE0" w:rsidP="00C14AE0">
      <w:pPr>
        <w:pStyle w:val="Heading2"/>
        <w:rPr>
          <w:lang w:val="sr-Cyrl-CS"/>
        </w:rPr>
      </w:pPr>
      <w:bookmarkStart w:id="15" w:name="_Toc472498770"/>
      <w:bookmarkStart w:id="16" w:name="_Toc144993883"/>
      <w:bookmarkEnd w:id="6"/>
      <w:bookmarkEnd w:id="7"/>
      <w:r w:rsidRPr="004B082A">
        <w:rPr>
          <w:lang w:val="sr-Cyrl-CS"/>
        </w:rPr>
        <w:t>Одељак 1.02.</w:t>
      </w:r>
      <w:r w:rsidRPr="004B082A">
        <w:rPr>
          <w:lang w:val="sr-Cyrl-CS"/>
        </w:rPr>
        <w:tab/>
      </w:r>
      <w:bookmarkEnd w:id="15"/>
      <w:r w:rsidRPr="004B082A">
        <w:rPr>
          <w:lang w:val="sr-Cyrl-CS"/>
        </w:rPr>
        <w:t>Дефиниције</w:t>
      </w:r>
      <w:bookmarkEnd w:id="16"/>
    </w:p>
    <w:p w14:paraId="2899D721" w14:textId="2DC9C9CA" w:rsidR="00C14AE0" w:rsidRPr="004B082A" w:rsidRDefault="00C14AE0" w:rsidP="00C14AE0">
      <w:pPr>
        <w:spacing w:before="240"/>
        <w:ind w:firstLine="567"/>
        <w:rPr>
          <w:lang w:val="sr-Cyrl-CS"/>
        </w:rPr>
      </w:pPr>
      <w:r w:rsidRPr="004B082A">
        <w:rPr>
          <w:lang w:val="sr-Cyrl-CS"/>
        </w:rPr>
        <w:t>Где год да се користе у овом уговору (укључујући Преамбулу и Прилоге), а осим ако није другачије утврђено или ако контекст другачије не налаже, изрази дефинисани у Преамбули имају одговарајућа значења која су им ту приписана, изрази дефинисани у Стандардним условима пословања имају одговарајућа значења која су им у њима приписана, а следећи изрази имају следећа значења:</w:t>
      </w:r>
    </w:p>
    <w:p w14:paraId="314F0F05" w14:textId="77777777" w:rsidR="00281729" w:rsidRPr="004B082A" w:rsidRDefault="00281729" w:rsidP="00C14AE0">
      <w:pPr>
        <w:spacing w:before="240"/>
        <w:ind w:firstLine="567"/>
        <w:rPr>
          <w:lang w:val="sr-Cyrl-CS"/>
        </w:rPr>
      </w:pPr>
    </w:p>
    <w:p w14:paraId="0B0EC77C" w14:textId="77777777" w:rsidR="00281729" w:rsidRPr="004B082A" w:rsidRDefault="00281729" w:rsidP="00281729">
      <w:pPr>
        <w:pStyle w:val="Definition1b"/>
        <w:rPr>
          <w:lang w:val="sr-Cyrl-CS"/>
        </w:rPr>
      </w:pPr>
      <w:r w:rsidRPr="004B082A">
        <w:rPr>
          <w:lang w:val="sr-Cyrl-CS"/>
        </w:rPr>
        <w:t>„Овлашћени представник</w:t>
      </w:r>
    </w:p>
    <w:p w14:paraId="0B145407" w14:textId="1C483309" w:rsidR="00774409" w:rsidRPr="004B082A" w:rsidRDefault="00281729" w:rsidP="00281729">
      <w:pPr>
        <w:pStyle w:val="Definition1b"/>
        <w:rPr>
          <w:lang w:val="sr-Cyrl-CS"/>
        </w:rPr>
      </w:pPr>
      <w:r w:rsidRPr="004B082A">
        <w:rPr>
          <w:lang w:val="sr-Cyrl-CS"/>
        </w:rPr>
        <w:t xml:space="preserve"> Зајмопримцаˮ</w:t>
      </w:r>
      <w:r w:rsidRPr="004B082A">
        <w:rPr>
          <w:lang w:val="sr-Cyrl-CS"/>
        </w:rPr>
        <w:tab/>
        <w:t>значи министар финансија Зајмопримца</w:t>
      </w:r>
      <w:r w:rsidR="005E0B9D" w:rsidRPr="004B082A">
        <w:rPr>
          <w:lang w:val="sr-Cyrl-CS"/>
        </w:rPr>
        <w:t>.</w:t>
      </w:r>
      <w:r w:rsidRPr="004B082A">
        <w:rPr>
          <w:lang w:val="sr-Cyrl-CS"/>
        </w:rPr>
        <w:t xml:space="preserve"> </w:t>
      </w:r>
    </w:p>
    <w:p w14:paraId="25E84452" w14:textId="77777777" w:rsidR="007C2948" w:rsidRPr="004B082A" w:rsidRDefault="007C2948" w:rsidP="00F5458E">
      <w:pPr>
        <w:pStyle w:val="Definition1b"/>
        <w:rPr>
          <w:lang w:val="sr-Cyrl-CS"/>
        </w:rPr>
      </w:pPr>
    </w:p>
    <w:p w14:paraId="128F2AA4" w14:textId="77777777" w:rsidR="00D328FF" w:rsidRPr="004B082A" w:rsidRDefault="00281729" w:rsidP="006F3CF1">
      <w:pPr>
        <w:tabs>
          <w:tab w:val="clear" w:pos="567"/>
          <w:tab w:val="clear" w:pos="1134"/>
          <w:tab w:val="clear" w:pos="1701"/>
          <w:tab w:val="clear" w:pos="2268"/>
          <w:tab w:val="clear" w:pos="2835"/>
        </w:tabs>
        <w:ind w:left="2835" w:hanging="2835"/>
        <w:rPr>
          <w:lang w:val="sr-Cyrl-CS"/>
        </w:rPr>
      </w:pPr>
      <w:r w:rsidRPr="004B082A">
        <w:rPr>
          <w:lang w:val="sr-Cyrl-CS"/>
        </w:rPr>
        <w:t>„</w:t>
      </w:r>
      <w:r w:rsidR="006F3CF1" w:rsidRPr="004B082A">
        <w:rPr>
          <w:lang w:val="sr-Cyrl-CS"/>
        </w:rPr>
        <w:t xml:space="preserve">Одређени захтеви за </w:t>
      </w:r>
    </w:p>
    <w:p w14:paraId="253E4D5D" w14:textId="54472772" w:rsidR="00E15F9F" w:rsidRPr="004B082A" w:rsidRDefault="006F3CF1" w:rsidP="00D328FF">
      <w:pPr>
        <w:tabs>
          <w:tab w:val="clear" w:pos="567"/>
          <w:tab w:val="clear" w:pos="1134"/>
          <w:tab w:val="clear" w:pos="1701"/>
          <w:tab w:val="clear" w:pos="2268"/>
          <w:tab w:val="clear" w:pos="2835"/>
        </w:tabs>
        <w:ind w:left="2835" w:hanging="2835"/>
        <w:rPr>
          <w:lang w:val="sr-Cyrl-CS"/>
        </w:rPr>
      </w:pPr>
      <w:r w:rsidRPr="004B082A">
        <w:rPr>
          <w:lang w:val="sr-Cyrl-CS"/>
        </w:rPr>
        <w:t>успешно извршење посла</w:t>
      </w:r>
      <w:r w:rsidR="00D04EE5" w:rsidRPr="004B082A">
        <w:rPr>
          <w:lang w:val="sr-Cyrl-CS"/>
        </w:rPr>
        <w:t>ˮ</w:t>
      </w:r>
      <w:r w:rsidR="00E15F9F" w:rsidRPr="004B082A">
        <w:rPr>
          <w:lang w:val="sr-Cyrl-CS"/>
        </w:rPr>
        <w:tab/>
      </w:r>
      <w:r w:rsidR="00281729" w:rsidRPr="004B082A">
        <w:rPr>
          <w:lang w:val="sr-Cyrl-CS"/>
        </w:rPr>
        <w:t xml:space="preserve">значи Захтеви </w:t>
      </w:r>
      <w:r w:rsidR="00D328FF" w:rsidRPr="004B082A">
        <w:rPr>
          <w:lang w:val="sr-Cyrl-CS"/>
        </w:rPr>
        <w:t>за успешно извршење посла</w:t>
      </w:r>
      <w:r w:rsidR="00281729" w:rsidRPr="004B082A">
        <w:rPr>
          <w:lang w:val="sr-Cyrl-CS"/>
        </w:rPr>
        <w:t xml:space="preserve"> од 1 до 8 и 10 (или, у зависности од контекста, било који од таквих Захтева </w:t>
      </w:r>
      <w:r w:rsidR="00D328FF" w:rsidRPr="004B082A">
        <w:rPr>
          <w:lang w:val="sr-Cyrl-CS"/>
        </w:rPr>
        <w:t>за успешно извршење посла</w:t>
      </w:r>
      <w:r w:rsidR="00281729" w:rsidRPr="004B082A">
        <w:rPr>
          <w:lang w:val="sr-Cyrl-CS"/>
        </w:rPr>
        <w:t xml:space="preserve"> од априла 2019. године и који се односе на Еколошку и социјалну политику Банке од априла 2019. године.</w:t>
      </w:r>
    </w:p>
    <w:p w14:paraId="160F6BC2" w14:textId="77777777" w:rsidR="00281729" w:rsidRPr="004B082A" w:rsidRDefault="00281729" w:rsidP="00E93573">
      <w:pPr>
        <w:tabs>
          <w:tab w:val="clear" w:pos="567"/>
          <w:tab w:val="clear" w:pos="1134"/>
          <w:tab w:val="clear" w:pos="1701"/>
          <w:tab w:val="clear" w:pos="2268"/>
          <w:tab w:val="clear" w:pos="2835"/>
        </w:tabs>
        <w:ind w:left="2835" w:hanging="2835"/>
        <w:rPr>
          <w:lang w:val="sr-Cyrl-CS"/>
        </w:rPr>
      </w:pPr>
    </w:p>
    <w:p w14:paraId="622AB882" w14:textId="77777777" w:rsidR="003D05CB" w:rsidRPr="004B082A" w:rsidRDefault="003D05CB" w:rsidP="003D05CB">
      <w:pPr>
        <w:pStyle w:val="Definition"/>
        <w:spacing w:before="0"/>
        <w:ind w:left="2837" w:hanging="2837"/>
        <w:rPr>
          <w:lang w:val="sr-Cyrl-CS"/>
        </w:rPr>
      </w:pPr>
    </w:p>
    <w:p w14:paraId="214F634F" w14:textId="77777777" w:rsidR="006F3CF1" w:rsidRPr="004B082A" w:rsidRDefault="00D04EE5" w:rsidP="006F3CF1">
      <w:pPr>
        <w:ind w:left="2835" w:hanging="2835"/>
        <w:rPr>
          <w:lang w:val="sr-Cyrl-CS"/>
        </w:rPr>
      </w:pPr>
      <w:r w:rsidRPr="004B082A">
        <w:rPr>
          <w:lang w:val="sr-Cyrl-CS"/>
        </w:rPr>
        <w:lastRenderedPageBreak/>
        <w:t>„</w:t>
      </w:r>
      <w:r w:rsidR="006F3CF1" w:rsidRPr="004B082A">
        <w:rPr>
          <w:lang w:val="sr-Cyrl-CS"/>
        </w:rPr>
        <w:t xml:space="preserve">Еколошки и социјални </w:t>
      </w:r>
    </w:p>
    <w:p w14:paraId="3AF6FCD8" w14:textId="2A6526C3" w:rsidR="00923A77" w:rsidRPr="004B082A" w:rsidRDefault="006F3CF1" w:rsidP="00D328FF">
      <w:pPr>
        <w:tabs>
          <w:tab w:val="clear" w:pos="567"/>
          <w:tab w:val="clear" w:pos="1134"/>
          <w:tab w:val="clear" w:pos="1701"/>
          <w:tab w:val="clear" w:pos="2268"/>
          <w:tab w:val="clear" w:pos="2835"/>
        </w:tabs>
        <w:ind w:left="2835" w:hanging="2835"/>
        <w:rPr>
          <w:lang w:val="sr-Cyrl-CS"/>
        </w:rPr>
      </w:pPr>
      <w:r w:rsidRPr="004B082A">
        <w:rPr>
          <w:lang w:val="sr-Cyrl-CS"/>
        </w:rPr>
        <w:t>акциони план</w:t>
      </w:r>
      <w:r w:rsidR="00DB3EDC" w:rsidRPr="004B082A">
        <w:rPr>
          <w:lang w:val="sr-Cyrl-CS"/>
        </w:rPr>
        <w:t>(ови)</w:t>
      </w:r>
      <w:r w:rsidR="00D04EE5" w:rsidRPr="004B082A">
        <w:rPr>
          <w:lang w:val="sr-Cyrl-CS"/>
        </w:rPr>
        <w:t>ˮ</w:t>
      </w:r>
      <w:r w:rsidR="009C2FF6" w:rsidRPr="004B082A">
        <w:rPr>
          <w:lang w:val="sr-Cyrl-CS"/>
        </w:rPr>
        <w:tab/>
      </w:r>
      <w:r w:rsidR="00923A77" w:rsidRPr="004B082A">
        <w:rPr>
          <w:lang w:val="sr-Cyrl-CS"/>
        </w:rPr>
        <w:t>означава план(ове) мера за ублажавање и побољшање животне сред</w:t>
      </w:r>
      <w:r w:rsidR="005B6A2E" w:rsidRPr="004B082A">
        <w:rPr>
          <w:lang w:val="sr-Cyrl-CS"/>
        </w:rPr>
        <w:t>ине и друштва који прецизирају</w:t>
      </w:r>
      <w:r w:rsidR="00923A77" w:rsidRPr="004B082A">
        <w:rPr>
          <w:lang w:val="sr-Cyrl-CS"/>
        </w:rPr>
        <w:t xml:space="preserve"> критеријуме еколошког и социјалног учинка, стандарде, политике, процедуре, праксе, капиталне инвестиције и планове имплементације, укључујући мере за одржавање усклађености са </w:t>
      </w:r>
      <w:r w:rsidRPr="004B082A">
        <w:rPr>
          <w:lang w:val="sr-Cyrl-CS"/>
        </w:rPr>
        <w:t>Одређеним</w:t>
      </w:r>
      <w:r w:rsidR="00923A77" w:rsidRPr="004B082A">
        <w:rPr>
          <w:lang w:val="sr-Cyrl-CS"/>
        </w:rPr>
        <w:t xml:space="preserve"> захтевима </w:t>
      </w:r>
      <w:r w:rsidR="00D328FF" w:rsidRPr="004B082A">
        <w:rPr>
          <w:lang w:val="sr-Cyrl-CS"/>
        </w:rPr>
        <w:t xml:space="preserve">за успешно извршење посла </w:t>
      </w:r>
      <w:r w:rsidR="00923A77" w:rsidRPr="004B082A">
        <w:rPr>
          <w:lang w:val="sr-Cyrl-CS"/>
        </w:rPr>
        <w:t>догово</w:t>
      </w:r>
      <w:r w:rsidR="00D328FF" w:rsidRPr="004B082A">
        <w:rPr>
          <w:lang w:val="sr-Cyrl-CS"/>
        </w:rPr>
        <w:t>реним између Банке и Зајмопримца</w:t>
      </w:r>
      <w:r w:rsidR="00923A77" w:rsidRPr="004B082A">
        <w:rPr>
          <w:lang w:val="sr-Cyrl-CS"/>
        </w:rPr>
        <w:t xml:space="preserve"> (који делује преко МРЕ</w:t>
      </w:r>
      <w:r w:rsidR="003E4095" w:rsidRPr="004B082A">
        <w:rPr>
          <w:lang w:val="sr-Cyrl-CS"/>
        </w:rPr>
        <w:t>). Након договора</w:t>
      </w:r>
      <w:r w:rsidR="00923A77" w:rsidRPr="004B082A">
        <w:rPr>
          <w:lang w:val="sr-Cyrl-CS"/>
        </w:rPr>
        <w:t xml:space="preserve"> између Банке и Зај</w:t>
      </w:r>
      <w:r w:rsidR="003E4095" w:rsidRPr="004B082A">
        <w:rPr>
          <w:lang w:val="sr-Cyrl-CS"/>
        </w:rPr>
        <w:t xml:space="preserve">мопримца (који делује преко МРЕ), </w:t>
      </w:r>
      <w:r w:rsidR="00923A77" w:rsidRPr="004B082A">
        <w:rPr>
          <w:lang w:val="sr-Cyrl-CS"/>
        </w:rPr>
        <w:t>план се може с времена на време изменити само уз претходну писмену сагласност Банке.</w:t>
      </w:r>
    </w:p>
    <w:p w14:paraId="55B1BD5A" w14:textId="168F453D" w:rsidR="005E0B9D" w:rsidRPr="004B082A" w:rsidRDefault="00D04EE5" w:rsidP="00F5458E">
      <w:pPr>
        <w:pStyle w:val="Definition"/>
        <w:rPr>
          <w:lang w:val="sr-Cyrl-CS"/>
        </w:rPr>
      </w:pPr>
      <w:r w:rsidRPr="004B082A">
        <w:rPr>
          <w:lang w:val="sr-Cyrl-CS"/>
        </w:rPr>
        <w:t>„</w:t>
      </w:r>
      <w:r w:rsidR="003D3D49" w:rsidRPr="004B082A">
        <w:rPr>
          <w:lang w:val="sr-Cyrl-CS"/>
        </w:rPr>
        <w:t>Фискална година</w:t>
      </w:r>
      <w:r w:rsidRPr="004B082A">
        <w:rPr>
          <w:lang w:val="sr-Cyrl-CS"/>
        </w:rPr>
        <w:t>ˮ</w:t>
      </w:r>
      <w:r w:rsidR="005E0B9D" w:rsidRPr="004B082A">
        <w:rPr>
          <w:lang w:val="sr-Cyrl-CS"/>
        </w:rPr>
        <w:tab/>
      </w:r>
      <w:r w:rsidR="003D3D49" w:rsidRPr="004B082A">
        <w:rPr>
          <w:lang w:val="sr-Cyrl-CS"/>
        </w:rPr>
        <w:t>означава фискалну годину Зајмопримца која почиње 1. јануара сваке године.</w:t>
      </w:r>
    </w:p>
    <w:p w14:paraId="1EBA0083" w14:textId="38BA55C5" w:rsidR="008131E9" w:rsidRPr="004B082A" w:rsidRDefault="00D04EE5">
      <w:pPr>
        <w:pStyle w:val="Definition"/>
        <w:rPr>
          <w:lang w:val="sr-Cyrl-CS"/>
        </w:rPr>
      </w:pPr>
      <w:r w:rsidRPr="004B082A">
        <w:rPr>
          <w:lang w:val="sr-Cyrl-CS"/>
        </w:rPr>
        <w:t>„</w:t>
      </w:r>
      <w:r w:rsidR="003D3D49" w:rsidRPr="004B082A">
        <w:rPr>
          <w:lang w:val="sr-Cyrl-CS"/>
        </w:rPr>
        <w:t>Потпројекат</w:t>
      </w:r>
      <w:r w:rsidRPr="004B082A">
        <w:rPr>
          <w:lang w:val="sr-Cyrl-CS"/>
        </w:rPr>
        <w:t>ˮ</w:t>
      </w:r>
      <w:r w:rsidR="008131E9" w:rsidRPr="004B082A">
        <w:rPr>
          <w:lang w:val="sr-Cyrl-CS"/>
        </w:rPr>
        <w:tab/>
      </w:r>
      <w:r w:rsidR="004F71C2" w:rsidRPr="004B082A">
        <w:rPr>
          <w:lang w:val="sr-Cyrl-CS"/>
        </w:rPr>
        <w:t xml:space="preserve">значи улагање средстава </w:t>
      </w:r>
      <w:r w:rsidR="00D328FF" w:rsidRPr="004B082A">
        <w:rPr>
          <w:lang w:val="sr-Cyrl-CS"/>
        </w:rPr>
        <w:t>Зајма и И</w:t>
      </w:r>
      <w:r w:rsidR="004F71C2" w:rsidRPr="004B082A">
        <w:rPr>
          <w:lang w:val="sr-Cyrl-CS"/>
        </w:rPr>
        <w:t>нвестиционих грантова у сваки од Пројектних субјеката у циљу имплементације Пројекта у</w:t>
      </w:r>
      <w:r w:rsidR="008A7644" w:rsidRPr="004B082A">
        <w:rPr>
          <w:lang w:val="sr-Cyrl-CS"/>
        </w:rPr>
        <w:t xml:space="preserve"> складу са Уговором о пројекту</w:t>
      </w:r>
      <w:r w:rsidR="004F71C2" w:rsidRPr="004B082A">
        <w:rPr>
          <w:lang w:val="sr-Cyrl-CS"/>
        </w:rPr>
        <w:t>.</w:t>
      </w:r>
    </w:p>
    <w:p w14:paraId="13996ABE" w14:textId="77777777" w:rsidR="007B29D2" w:rsidRPr="004B082A" w:rsidRDefault="007B29D2" w:rsidP="007B29D2">
      <w:pPr>
        <w:pStyle w:val="Heading2"/>
        <w:tabs>
          <w:tab w:val="left" w:pos="1890"/>
        </w:tabs>
        <w:spacing w:before="0"/>
        <w:rPr>
          <w:lang w:val="sr-Cyrl-CS"/>
        </w:rPr>
      </w:pPr>
      <w:bookmarkStart w:id="17" w:name="_Toc144993884"/>
      <w:bookmarkStart w:id="18" w:name="_Toc446740949"/>
      <w:bookmarkStart w:id="19" w:name="_Toc146535394"/>
    </w:p>
    <w:p w14:paraId="528CB396" w14:textId="77777777" w:rsidR="007B29D2" w:rsidRPr="004B082A" w:rsidRDefault="007B29D2" w:rsidP="007B29D2">
      <w:pPr>
        <w:pStyle w:val="Heading2"/>
        <w:tabs>
          <w:tab w:val="left" w:pos="1890"/>
        </w:tabs>
        <w:spacing w:before="0"/>
        <w:rPr>
          <w:lang w:val="sr-Cyrl-CS"/>
        </w:rPr>
      </w:pPr>
    </w:p>
    <w:p w14:paraId="611642FA" w14:textId="7FA0AFFF" w:rsidR="007B29D2" w:rsidRPr="004B082A" w:rsidRDefault="007B29D2" w:rsidP="007B29D2">
      <w:pPr>
        <w:pStyle w:val="Heading2"/>
        <w:tabs>
          <w:tab w:val="left" w:pos="1890"/>
        </w:tabs>
        <w:spacing w:before="0"/>
        <w:rPr>
          <w:lang w:val="sr-Cyrl-CS"/>
        </w:rPr>
      </w:pPr>
      <w:r w:rsidRPr="004B082A">
        <w:rPr>
          <w:lang w:val="sr-Cyrl-CS"/>
        </w:rPr>
        <w:t>Одељак 1.03.</w:t>
      </w:r>
      <w:r w:rsidRPr="004B082A">
        <w:rPr>
          <w:lang w:val="sr-Cyrl-CS"/>
        </w:rPr>
        <w:tab/>
        <w:t>Тумачење</w:t>
      </w:r>
      <w:bookmarkEnd w:id="17"/>
    </w:p>
    <w:p w14:paraId="2E144D49" w14:textId="77777777" w:rsidR="007B29D2" w:rsidRPr="004B082A" w:rsidRDefault="007B29D2" w:rsidP="007B29D2">
      <w:pPr>
        <w:pStyle w:val="Paragrapha"/>
        <w:rPr>
          <w:lang w:val="sr-Cyrl-CS"/>
        </w:rPr>
      </w:pPr>
      <w:r w:rsidRPr="004B082A">
        <w:rPr>
          <w:lang w:val="sr-Cyrl-CS"/>
        </w:rPr>
        <w:tab/>
        <w:t>У овом уговору, позивање на одређени члан, одељак или прилог, осим уколико није другачије наведено у овом уговору, тумачиће се као упућивање на тај наведени члан или одељак или прилог овог уговора.</w:t>
      </w:r>
    </w:p>
    <w:p w14:paraId="513D8CD2" w14:textId="77777777" w:rsidR="00060E8A" w:rsidRPr="004B082A" w:rsidRDefault="00060E8A" w:rsidP="00060E8A">
      <w:pPr>
        <w:pStyle w:val="Heading1"/>
        <w:rPr>
          <w:lang w:val="sr-Cyrl-CS"/>
        </w:rPr>
      </w:pPr>
      <w:bookmarkStart w:id="20" w:name="_Toc123012950"/>
      <w:bookmarkStart w:id="21" w:name="_Toc123013002"/>
      <w:bookmarkStart w:id="22" w:name="_Toc123013331"/>
      <w:bookmarkStart w:id="23" w:name="_Toc123013443"/>
      <w:bookmarkStart w:id="24" w:name="_Toc123013782"/>
      <w:bookmarkStart w:id="25" w:name="_Toc114490181"/>
      <w:bookmarkStart w:id="26" w:name="_Toc144993885"/>
      <w:bookmarkStart w:id="27" w:name="_Toc446740950"/>
      <w:bookmarkStart w:id="28" w:name="_Toc446740951"/>
      <w:bookmarkStart w:id="29" w:name="_Toc146535396"/>
      <w:bookmarkEnd w:id="18"/>
      <w:bookmarkEnd w:id="19"/>
      <w:r w:rsidRPr="004B082A">
        <w:rPr>
          <w:lang w:val="sr-Cyrl-CS"/>
        </w:rPr>
        <w:t>ЧЛАН II – ГЛАВНИ УСЛОВИ ЗАЈМА</w:t>
      </w:r>
      <w:bookmarkEnd w:id="20"/>
      <w:bookmarkEnd w:id="21"/>
      <w:bookmarkEnd w:id="22"/>
      <w:bookmarkEnd w:id="23"/>
      <w:bookmarkEnd w:id="24"/>
      <w:bookmarkEnd w:id="25"/>
      <w:bookmarkEnd w:id="26"/>
    </w:p>
    <w:p w14:paraId="41502ECD" w14:textId="77777777" w:rsidR="00060E8A" w:rsidRPr="004B082A" w:rsidRDefault="00060E8A" w:rsidP="00060E8A">
      <w:pPr>
        <w:pStyle w:val="Heading2"/>
        <w:tabs>
          <w:tab w:val="left" w:pos="1890"/>
        </w:tabs>
        <w:spacing w:before="0"/>
        <w:rPr>
          <w:lang w:val="sr-Cyrl-CS"/>
        </w:rPr>
      </w:pPr>
      <w:bookmarkStart w:id="30" w:name="_Toc114490182"/>
      <w:bookmarkEnd w:id="27"/>
    </w:p>
    <w:p w14:paraId="3C20587F" w14:textId="77777777" w:rsidR="00060E8A" w:rsidRPr="004B082A" w:rsidRDefault="00060E8A" w:rsidP="00060E8A">
      <w:pPr>
        <w:pStyle w:val="Heading2"/>
        <w:tabs>
          <w:tab w:val="left" w:pos="1890"/>
        </w:tabs>
        <w:spacing w:before="0"/>
        <w:rPr>
          <w:lang w:val="sr-Cyrl-CS"/>
        </w:rPr>
      </w:pPr>
      <w:bookmarkStart w:id="31" w:name="_Toc144993886"/>
      <w:r w:rsidRPr="004B082A">
        <w:rPr>
          <w:lang w:val="sr-Cyrl-CS"/>
        </w:rPr>
        <w:t>Одељак 2.01.</w:t>
      </w:r>
      <w:r w:rsidRPr="004B082A">
        <w:rPr>
          <w:lang w:val="sr-Cyrl-CS"/>
        </w:rPr>
        <w:tab/>
        <w:t>Износ и валута</w:t>
      </w:r>
      <w:bookmarkEnd w:id="30"/>
      <w:bookmarkEnd w:id="31"/>
    </w:p>
    <w:p w14:paraId="18E707F9" w14:textId="749712FD" w:rsidR="003A7E10" w:rsidRPr="004B082A" w:rsidRDefault="00060E8A" w:rsidP="00060E8A">
      <w:pPr>
        <w:spacing w:before="240"/>
        <w:rPr>
          <w:lang w:val="sr-Cyrl-CS"/>
        </w:rPr>
      </w:pPr>
      <w:r w:rsidRPr="004B082A">
        <w:rPr>
          <w:lang w:val="sr-Cyrl-CS"/>
        </w:rPr>
        <w:tab/>
        <w:t xml:space="preserve">Банка је сагласна да одобри зајам Зајмопримцу, под условима које овај уговор дефинише или се на њих позива, у износу од </w:t>
      </w:r>
      <w:r w:rsidR="00880C68" w:rsidRPr="004B082A">
        <w:rPr>
          <w:lang w:val="sr-Cyrl-CS"/>
        </w:rPr>
        <w:t>30.000.000 евра (тридесет</w:t>
      </w:r>
      <w:r w:rsidRPr="004B082A">
        <w:rPr>
          <w:lang w:val="sr-Cyrl-CS"/>
        </w:rPr>
        <w:t xml:space="preserve"> милиона евра).</w:t>
      </w:r>
    </w:p>
    <w:p w14:paraId="62C070AA" w14:textId="77777777" w:rsidR="003A7E10" w:rsidRPr="004B082A" w:rsidRDefault="003A7E10" w:rsidP="003A7E10">
      <w:pPr>
        <w:rPr>
          <w:lang w:val="sr-Cyrl-CS"/>
        </w:rPr>
      </w:pPr>
    </w:p>
    <w:p w14:paraId="42D4589C" w14:textId="77777777" w:rsidR="003A7E10" w:rsidRPr="004B082A" w:rsidRDefault="003A7E10" w:rsidP="003A7E10">
      <w:pPr>
        <w:pStyle w:val="Heading2"/>
        <w:tabs>
          <w:tab w:val="left" w:pos="1890"/>
        </w:tabs>
        <w:spacing w:before="0"/>
        <w:rPr>
          <w:lang w:val="sr-Cyrl-CS"/>
        </w:rPr>
      </w:pPr>
      <w:bookmarkStart w:id="32" w:name="_Toc144993887"/>
      <w:bookmarkEnd w:id="28"/>
      <w:bookmarkEnd w:id="29"/>
      <w:r w:rsidRPr="004B082A">
        <w:rPr>
          <w:lang w:val="sr-Cyrl-CS"/>
        </w:rPr>
        <w:t>Одељак 2.02.</w:t>
      </w:r>
      <w:r w:rsidRPr="004B082A">
        <w:rPr>
          <w:lang w:val="sr-Cyrl-CS"/>
        </w:rPr>
        <w:tab/>
        <w:t>Остали финансијски услови Зајма</w:t>
      </w:r>
      <w:bookmarkEnd w:id="32"/>
    </w:p>
    <w:p w14:paraId="4A5C1284" w14:textId="0F7993BD" w:rsidR="001B2491" w:rsidRPr="004B082A" w:rsidRDefault="005E0B9D" w:rsidP="003A7E10">
      <w:pPr>
        <w:pStyle w:val="Paragrapha"/>
        <w:rPr>
          <w:lang w:val="sr-Cyrl-CS"/>
        </w:rPr>
      </w:pPr>
      <w:r w:rsidRPr="004B082A">
        <w:rPr>
          <w:lang w:val="sr-Cyrl-CS"/>
        </w:rPr>
        <w:t>(a)</w:t>
      </w:r>
      <w:r w:rsidRPr="004B082A">
        <w:rPr>
          <w:lang w:val="sr-Cyrl-CS"/>
        </w:rPr>
        <w:tab/>
      </w:r>
      <w:r w:rsidR="006B2483" w:rsidRPr="004B082A">
        <w:rPr>
          <w:lang w:val="sr-Cyrl-CS"/>
        </w:rPr>
        <w:t>Минимални износ за повлачење је</w:t>
      </w:r>
      <w:r w:rsidR="00567CAA" w:rsidRPr="004B082A">
        <w:rPr>
          <w:lang w:val="sr-Cyrl-CS"/>
        </w:rPr>
        <w:t xml:space="preserve"> </w:t>
      </w:r>
      <w:r w:rsidR="00A36E4E" w:rsidRPr="004B082A">
        <w:rPr>
          <w:lang w:val="sr-Cyrl-CS"/>
        </w:rPr>
        <w:t>2</w:t>
      </w:r>
      <w:r w:rsidR="006B2483" w:rsidRPr="004B082A">
        <w:rPr>
          <w:lang w:val="sr-Cyrl-CS"/>
        </w:rPr>
        <w:t>00.</w:t>
      </w:r>
      <w:r w:rsidR="00567CAA" w:rsidRPr="004B082A">
        <w:rPr>
          <w:lang w:val="sr-Cyrl-CS"/>
        </w:rPr>
        <w:t>000</w:t>
      </w:r>
      <w:r w:rsidR="006B2483" w:rsidRPr="004B082A">
        <w:rPr>
          <w:lang w:val="sr-Cyrl-CS"/>
        </w:rPr>
        <w:t xml:space="preserve"> евра.</w:t>
      </w:r>
    </w:p>
    <w:p w14:paraId="0D9D5543" w14:textId="426158FF" w:rsidR="005E0B9D" w:rsidRPr="004B082A" w:rsidRDefault="007E4CEC">
      <w:pPr>
        <w:pStyle w:val="Paragrapha"/>
        <w:rPr>
          <w:lang w:val="sr-Cyrl-CS"/>
        </w:rPr>
      </w:pPr>
      <w:r w:rsidRPr="004B082A">
        <w:rPr>
          <w:lang w:val="sr-Cyrl-CS"/>
        </w:rPr>
        <w:t>(б</w:t>
      </w:r>
      <w:r w:rsidR="001B2491" w:rsidRPr="004B082A">
        <w:rPr>
          <w:lang w:val="sr-Cyrl-CS"/>
        </w:rPr>
        <w:t>)</w:t>
      </w:r>
      <w:r w:rsidR="001B2491" w:rsidRPr="004B082A">
        <w:rPr>
          <w:lang w:val="sr-Cyrl-CS"/>
        </w:rPr>
        <w:tab/>
      </w:r>
      <w:r w:rsidR="006B2483" w:rsidRPr="004B082A">
        <w:rPr>
          <w:lang w:val="sr-Cyrl-CS"/>
        </w:rPr>
        <w:t>Максималан број повлачења је ограничен на 30</w:t>
      </w:r>
      <w:r w:rsidR="001B2491" w:rsidRPr="004B082A">
        <w:rPr>
          <w:lang w:val="sr-Cyrl-CS"/>
        </w:rPr>
        <w:t>.</w:t>
      </w:r>
    </w:p>
    <w:p w14:paraId="162FE4D1" w14:textId="368480D3" w:rsidR="005E0B9D" w:rsidRPr="004B082A" w:rsidRDefault="005E0B9D">
      <w:pPr>
        <w:pStyle w:val="Paragrapha"/>
        <w:rPr>
          <w:lang w:val="sr-Cyrl-CS"/>
        </w:rPr>
      </w:pPr>
      <w:r w:rsidRPr="004B082A">
        <w:rPr>
          <w:lang w:val="sr-Cyrl-CS"/>
        </w:rPr>
        <w:t>(</w:t>
      </w:r>
      <w:r w:rsidR="007E4CEC" w:rsidRPr="004B082A">
        <w:rPr>
          <w:lang w:val="sr-Cyrl-CS"/>
        </w:rPr>
        <w:t>ц</w:t>
      </w:r>
      <w:r w:rsidRPr="004B082A">
        <w:rPr>
          <w:lang w:val="sr-Cyrl-CS"/>
        </w:rPr>
        <w:t>)</w:t>
      </w:r>
      <w:r w:rsidRPr="004B082A">
        <w:rPr>
          <w:lang w:val="sr-Cyrl-CS"/>
        </w:rPr>
        <w:tab/>
      </w:r>
      <w:r w:rsidR="00802EA3" w:rsidRPr="004B082A">
        <w:rPr>
          <w:lang w:val="sr-Cyrl-CS"/>
        </w:rPr>
        <w:t>Минимални износ превременог плаћања је</w:t>
      </w:r>
      <w:r w:rsidR="00567CAA" w:rsidRPr="004B082A">
        <w:rPr>
          <w:lang w:val="sr-Cyrl-CS"/>
        </w:rPr>
        <w:t xml:space="preserve"> 1</w:t>
      </w:r>
      <w:r w:rsidR="00802EA3" w:rsidRPr="004B082A">
        <w:rPr>
          <w:lang w:val="sr-Cyrl-CS"/>
        </w:rPr>
        <w:t>.000.</w:t>
      </w:r>
      <w:r w:rsidR="00567CAA" w:rsidRPr="004B082A">
        <w:rPr>
          <w:lang w:val="sr-Cyrl-CS"/>
        </w:rPr>
        <w:t>000</w:t>
      </w:r>
      <w:r w:rsidRPr="004B082A">
        <w:rPr>
          <w:lang w:val="sr-Cyrl-CS"/>
        </w:rPr>
        <w:t>.</w:t>
      </w:r>
      <w:r w:rsidR="00802EA3" w:rsidRPr="004B082A">
        <w:rPr>
          <w:lang w:val="sr-Cyrl-CS"/>
        </w:rPr>
        <w:t xml:space="preserve"> евра.</w:t>
      </w:r>
    </w:p>
    <w:p w14:paraId="4669D9ED" w14:textId="779CEB87" w:rsidR="005E0B9D" w:rsidRPr="004B082A" w:rsidRDefault="005E0B9D">
      <w:pPr>
        <w:pStyle w:val="Paragrapha"/>
        <w:rPr>
          <w:lang w:val="sr-Cyrl-CS"/>
        </w:rPr>
      </w:pPr>
      <w:r w:rsidRPr="004B082A">
        <w:rPr>
          <w:lang w:val="sr-Cyrl-CS"/>
        </w:rPr>
        <w:t>(</w:t>
      </w:r>
      <w:r w:rsidR="007E4CEC" w:rsidRPr="004B082A">
        <w:rPr>
          <w:lang w:val="sr-Cyrl-CS"/>
        </w:rPr>
        <w:t>д</w:t>
      </w:r>
      <w:r w:rsidRPr="004B082A">
        <w:rPr>
          <w:lang w:val="sr-Cyrl-CS"/>
        </w:rPr>
        <w:t>)</w:t>
      </w:r>
      <w:r w:rsidRPr="004B082A">
        <w:rPr>
          <w:lang w:val="sr-Cyrl-CS"/>
        </w:rPr>
        <w:tab/>
      </w:r>
      <w:r w:rsidR="00113D06" w:rsidRPr="004B082A">
        <w:rPr>
          <w:lang w:val="sr-Cyrl-CS"/>
        </w:rPr>
        <w:t>Минимални износ који се може отказати је 1.000.</w:t>
      </w:r>
      <w:r w:rsidR="00567CAA" w:rsidRPr="004B082A">
        <w:rPr>
          <w:lang w:val="sr-Cyrl-CS"/>
        </w:rPr>
        <w:t>000</w:t>
      </w:r>
      <w:r w:rsidRPr="004B082A">
        <w:rPr>
          <w:lang w:val="sr-Cyrl-CS"/>
        </w:rPr>
        <w:t>.</w:t>
      </w:r>
      <w:r w:rsidR="00113D06" w:rsidRPr="004B082A">
        <w:rPr>
          <w:lang w:val="sr-Cyrl-CS"/>
        </w:rPr>
        <w:t xml:space="preserve"> евра.</w:t>
      </w:r>
    </w:p>
    <w:p w14:paraId="3186C7D2" w14:textId="03F91D3E" w:rsidR="00A24FAB" w:rsidRPr="004B082A" w:rsidRDefault="005E0B9D">
      <w:pPr>
        <w:pStyle w:val="Paragrapha"/>
        <w:rPr>
          <w:lang w:val="sr-Cyrl-CS"/>
        </w:rPr>
      </w:pPr>
      <w:r w:rsidRPr="004B082A">
        <w:rPr>
          <w:lang w:val="sr-Cyrl-CS"/>
        </w:rPr>
        <w:t>(</w:t>
      </w:r>
      <w:r w:rsidR="001B2491" w:rsidRPr="004B082A">
        <w:rPr>
          <w:lang w:val="sr-Cyrl-CS"/>
        </w:rPr>
        <w:t>e</w:t>
      </w:r>
      <w:r w:rsidRPr="004B082A">
        <w:rPr>
          <w:lang w:val="sr-Cyrl-CS"/>
        </w:rPr>
        <w:t>)</w:t>
      </w:r>
      <w:r w:rsidRPr="004B082A">
        <w:rPr>
          <w:lang w:val="sr-Cyrl-CS"/>
        </w:rPr>
        <w:tab/>
      </w:r>
      <w:r w:rsidR="00A24FAB" w:rsidRPr="004B082A">
        <w:rPr>
          <w:lang w:val="sr-Cyrl-CS"/>
        </w:rPr>
        <w:t>Датуми плаћања камате су 15. мај и 15. новембар сваке године.</w:t>
      </w:r>
    </w:p>
    <w:p w14:paraId="30D931E2" w14:textId="181D246B" w:rsidR="00F31AE8" w:rsidRPr="004B082A" w:rsidRDefault="008B250B" w:rsidP="00BC607E">
      <w:pPr>
        <w:pStyle w:val="Paragrapha"/>
        <w:ind w:left="567" w:hanging="567"/>
        <w:rPr>
          <w:lang w:val="sr-Cyrl-CS"/>
        </w:rPr>
      </w:pPr>
      <w:r w:rsidRPr="004B082A">
        <w:rPr>
          <w:lang w:val="sr-Cyrl-CS"/>
        </w:rPr>
        <w:lastRenderedPageBreak/>
        <w:t>(</w:t>
      </w:r>
      <w:r w:rsidR="007E4CEC" w:rsidRPr="004B082A">
        <w:rPr>
          <w:lang w:val="sr-Cyrl-CS"/>
        </w:rPr>
        <w:t>ф</w:t>
      </w:r>
      <w:r w:rsidRPr="004B082A">
        <w:rPr>
          <w:lang w:val="sr-Cyrl-CS"/>
        </w:rPr>
        <w:t>)</w:t>
      </w:r>
      <w:r w:rsidRPr="004B082A">
        <w:rPr>
          <w:lang w:val="sr-Cyrl-CS"/>
        </w:rPr>
        <w:tab/>
      </w:r>
      <w:r w:rsidR="00F31AE8" w:rsidRPr="004B082A">
        <w:rPr>
          <w:lang w:val="sr-Cyrl-CS"/>
        </w:rPr>
        <w:t>(1)</w:t>
      </w:r>
      <w:r w:rsidR="00F31AE8" w:rsidRPr="004B082A">
        <w:rPr>
          <w:lang w:val="sr-Cyrl-CS"/>
        </w:rPr>
        <w:tab/>
        <w:t>Зајмопримац отплаћује Зајам у 25 једнаких (или приближно једнак</w:t>
      </w:r>
      <w:r w:rsidR="00BC607E" w:rsidRPr="004B082A">
        <w:rPr>
          <w:lang w:val="sr-Cyrl-CS"/>
        </w:rPr>
        <w:t>их</w:t>
      </w:r>
      <w:r w:rsidR="00F31AE8" w:rsidRPr="004B082A">
        <w:rPr>
          <w:lang w:val="sr-Cyrl-CS"/>
        </w:rPr>
        <w:t>, колико је мо</w:t>
      </w:r>
      <w:r w:rsidR="00CD2496" w:rsidRPr="004B082A">
        <w:rPr>
          <w:lang w:val="sr-Cyrl-CS"/>
        </w:rPr>
        <w:t>гуће) полугодишњих рата 15. јуна и 15. децембра</w:t>
      </w:r>
      <w:r w:rsidR="00F31AE8" w:rsidRPr="004B082A">
        <w:rPr>
          <w:lang w:val="sr-Cyrl-CS"/>
        </w:rPr>
        <w:t xml:space="preserve"> сваке године, при чему је први Датум отплате зајма</w:t>
      </w:r>
      <w:r w:rsidR="007F3E41" w:rsidRPr="004B082A">
        <w:rPr>
          <w:lang w:val="sr-Cyrl-CS"/>
        </w:rPr>
        <w:t xml:space="preserve"> 15. </w:t>
      </w:r>
      <w:r w:rsidR="00CD2496" w:rsidRPr="004B082A">
        <w:rPr>
          <w:lang w:val="sr-Cyrl-CS"/>
        </w:rPr>
        <w:t>јуна 2027</w:t>
      </w:r>
      <w:r w:rsidR="007F3E41" w:rsidRPr="004B082A">
        <w:rPr>
          <w:lang w:val="sr-Cyrl-CS"/>
        </w:rPr>
        <w:t>. године</w:t>
      </w:r>
      <w:r w:rsidR="004B0442" w:rsidRPr="004B082A">
        <w:rPr>
          <w:lang w:val="sr-Cyrl-CS"/>
        </w:rPr>
        <w:t>,</w:t>
      </w:r>
      <w:r w:rsidR="00F31AE8" w:rsidRPr="004B082A">
        <w:rPr>
          <w:lang w:val="sr-Cyrl-CS"/>
        </w:rPr>
        <w:t xml:space="preserve"> а последњи Датум отплате зајма је</w:t>
      </w:r>
      <w:r w:rsidR="00FA6B43" w:rsidRPr="004B082A">
        <w:rPr>
          <w:lang w:val="sr-Cyrl-CS"/>
        </w:rPr>
        <w:t xml:space="preserve"> 15. јуна 2039</w:t>
      </w:r>
      <w:r w:rsidR="007F3E41" w:rsidRPr="004B082A">
        <w:rPr>
          <w:lang w:val="sr-Cyrl-CS"/>
        </w:rPr>
        <w:t>. године.</w:t>
      </w:r>
      <w:r w:rsidR="00F31AE8" w:rsidRPr="004B082A">
        <w:rPr>
          <w:lang w:val="sr-Cyrl-CS"/>
        </w:rPr>
        <w:t xml:space="preserve">  </w:t>
      </w:r>
    </w:p>
    <w:p w14:paraId="2ED29194" w14:textId="56C4ADF7" w:rsidR="008B250B" w:rsidRPr="004B082A" w:rsidRDefault="008B250B" w:rsidP="007F3E41">
      <w:pPr>
        <w:pStyle w:val="Paragrapha"/>
        <w:ind w:left="540"/>
        <w:rPr>
          <w:lang w:val="sr-Cyrl-CS"/>
        </w:rPr>
      </w:pPr>
      <w:r w:rsidRPr="004B082A">
        <w:rPr>
          <w:lang w:val="sr-Cyrl-CS"/>
        </w:rPr>
        <w:t>(</w:t>
      </w:r>
      <w:r w:rsidR="00115C0B" w:rsidRPr="004B082A">
        <w:rPr>
          <w:lang w:val="sr-Cyrl-CS"/>
        </w:rPr>
        <w:t>2)</w:t>
      </w:r>
      <w:r w:rsidR="00115C0B" w:rsidRPr="004B082A">
        <w:rPr>
          <w:lang w:val="sr-Cyrl-CS"/>
        </w:rPr>
        <w:tab/>
        <w:t>Без обзира на претходно наведено, у случају да (</w:t>
      </w:r>
      <w:r w:rsidR="00115C0B" w:rsidRPr="004B082A">
        <w:rPr>
          <w:snapToGrid w:val="0"/>
          <w:lang w:val="sr-Cyrl-CS" w:eastAsia="en-US"/>
        </w:rPr>
        <w:t>i</w:t>
      </w:r>
      <w:r w:rsidR="00115C0B" w:rsidRPr="004B082A">
        <w:rPr>
          <w:lang w:val="sr-Cyrl-CS"/>
        </w:rPr>
        <w:t xml:space="preserve">) Зајмопримац не повуче цео износ Зајма пре првог Датума отплате зајма наведеног у овом </w:t>
      </w:r>
      <w:r w:rsidR="007F3E41" w:rsidRPr="004B082A">
        <w:rPr>
          <w:lang w:val="sr-Cyrl-CS"/>
        </w:rPr>
        <w:t>Одељку 2.02.(ф</w:t>
      </w:r>
      <w:r w:rsidR="00115C0B" w:rsidRPr="004B082A">
        <w:rPr>
          <w:lang w:val="sr-Cyrl-CS"/>
        </w:rPr>
        <w:t>), и (</w:t>
      </w:r>
      <w:r w:rsidR="00115C0B" w:rsidRPr="004B082A">
        <w:rPr>
          <w:snapToGrid w:val="0"/>
          <w:lang w:val="sr-Cyrl-CS" w:eastAsia="en-US"/>
        </w:rPr>
        <w:t>ii</w:t>
      </w:r>
      <w:r w:rsidR="00115C0B" w:rsidRPr="004B082A">
        <w:rPr>
          <w:lang w:val="sr-Cyrl-CS"/>
        </w:rPr>
        <w:t xml:space="preserve">) Банка продужи Последњи датум </w:t>
      </w:r>
      <w:r w:rsidR="004B0442" w:rsidRPr="004B082A">
        <w:rPr>
          <w:lang w:val="sr-Cyrl-CS"/>
        </w:rPr>
        <w:t>расположивости</w:t>
      </w:r>
      <w:r w:rsidR="007F3E41" w:rsidRPr="004B082A">
        <w:rPr>
          <w:lang w:val="sr-Cyrl-CS"/>
        </w:rPr>
        <w:t xml:space="preserve"> наведен у Одељку 2.02.(г</w:t>
      </w:r>
      <w:r w:rsidR="00115C0B" w:rsidRPr="004B082A">
        <w:rPr>
          <w:lang w:val="sr-Cyrl-CS"/>
        </w:rPr>
        <w:t xml:space="preserve">) на датум који пада након тог првог Датума отплате </w:t>
      </w:r>
      <w:r w:rsidR="004B0442" w:rsidRPr="004B082A">
        <w:rPr>
          <w:lang w:val="sr-Cyrl-CS"/>
        </w:rPr>
        <w:t>Зајма</w:t>
      </w:r>
      <w:r w:rsidR="00115C0B" w:rsidRPr="004B082A">
        <w:rPr>
          <w:lang w:val="sr-Cyrl-CS"/>
        </w:rPr>
        <w:t>, тада се свако повлачење извршено на датум или после првог Датума отплате Зајма расподељује за отплату у једнаким износима на неколико Датума отплате Зајма који падају након датума тог повлачења (</w:t>
      </w:r>
      <w:r w:rsidR="00387655" w:rsidRPr="004B082A">
        <w:rPr>
          <w:lang w:val="sr-Cyrl-CS"/>
        </w:rPr>
        <w:t>при чему Банка коригује износе који су на тај начин расподељени онако како је неопходно да би се у сваком случају добили цели бројеви</w:t>
      </w:r>
      <w:r w:rsidR="00115C0B" w:rsidRPr="004B082A">
        <w:rPr>
          <w:lang w:val="sr-Cyrl-CS"/>
        </w:rPr>
        <w:t>). Банка, с времена на време, обавештава Зајмопримца о таквим расподелама.</w:t>
      </w:r>
    </w:p>
    <w:p w14:paraId="736F374E" w14:textId="17A91217" w:rsidR="00D26DE1" w:rsidRPr="004B082A" w:rsidRDefault="006D7907" w:rsidP="006D7907">
      <w:pPr>
        <w:pStyle w:val="Paragrapha"/>
        <w:rPr>
          <w:lang w:val="sr-Cyrl-CS"/>
        </w:rPr>
      </w:pPr>
      <w:r w:rsidRPr="004B082A">
        <w:rPr>
          <w:lang w:val="sr-Cyrl-CS"/>
        </w:rPr>
        <w:t>(</w:t>
      </w:r>
      <w:r w:rsidR="007E4CEC" w:rsidRPr="004B082A">
        <w:rPr>
          <w:lang w:val="sr-Cyrl-CS"/>
        </w:rPr>
        <w:t>г</w:t>
      </w:r>
      <w:r w:rsidRPr="004B082A">
        <w:rPr>
          <w:lang w:val="sr-Cyrl-CS"/>
        </w:rPr>
        <w:t>)</w:t>
      </w:r>
      <w:r w:rsidRPr="004B082A">
        <w:rPr>
          <w:lang w:val="sr-Cyrl-CS"/>
        </w:rPr>
        <w:tab/>
      </w:r>
      <w:r w:rsidR="00D26DE1" w:rsidRPr="004B082A">
        <w:rPr>
          <w:lang w:val="sr-Cyrl-CS"/>
        </w:rPr>
        <w:t>Крајњи датум расположивост</w:t>
      </w:r>
      <w:r w:rsidR="00387655" w:rsidRPr="004B082A">
        <w:rPr>
          <w:lang w:val="sr-Cyrl-CS"/>
        </w:rPr>
        <w:t>и биће на трећу годишњицу од датума овог у</w:t>
      </w:r>
      <w:r w:rsidR="00D26DE1" w:rsidRPr="004B082A">
        <w:rPr>
          <w:lang w:val="sr-Cyrl-CS"/>
        </w:rPr>
        <w:t xml:space="preserve">говора, или каснији датум који Банка може по свом нахођењу да одреди и обавести о томе Зајмопримца. Ако расположиви износ, или било који његов део, подлеже фиксној каматној стопи, а Банка одложи </w:t>
      </w:r>
      <w:r w:rsidR="00387655" w:rsidRPr="004B082A">
        <w:rPr>
          <w:lang w:val="sr-Cyrl-CS"/>
        </w:rPr>
        <w:t>П</w:t>
      </w:r>
      <w:r w:rsidR="00D26DE1" w:rsidRPr="004B082A">
        <w:rPr>
          <w:lang w:val="sr-Cyrl-CS"/>
        </w:rPr>
        <w:t xml:space="preserve">оследњи датум </w:t>
      </w:r>
      <w:r w:rsidR="00387655" w:rsidRPr="004B082A">
        <w:rPr>
          <w:lang w:val="sr-Cyrl-CS"/>
        </w:rPr>
        <w:t>расположивости</w:t>
      </w:r>
      <w:r w:rsidR="00D26DE1" w:rsidRPr="004B082A">
        <w:rPr>
          <w:lang w:val="sr-Cyrl-CS"/>
        </w:rPr>
        <w:t xml:space="preserve">, Зајмопримац ће одмах уплатити Банци износ Трошкова отплате о чему ће, с времена на време, </w:t>
      </w:r>
      <w:r w:rsidR="00387655" w:rsidRPr="004B082A">
        <w:rPr>
          <w:lang w:val="sr-Cyrl-CS"/>
        </w:rPr>
        <w:t>Банка</w:t>
      </w:r>
      <w:r w:rsidR="00D26DE1" w:rsidRPr="004B082A">
        <w:rPr>
          <w:lang w:val="sr-Cyrl-CS"/>
        </w:rPr>
        <w:t xml:space="preserve"> у писаној форми </w:t>
      </w:r>
      <w:r w:rsidR="00387655" w:rsidRPr="004B082A">
        <w:rPr>
          <w:lang w:val="sr-Cyrl-CS"/>
        </w:rPr>
        <w:t xml:space="preserve">обавестити </w:t>
      </w:r>
      <w:r w:rsidR="00D26DE1" w:rsidRPr="004B082A">
        <w:rPr>
          <w:lang w:val="sr-Cyrl-CS"/>
        </w:rPr>
        <w:t>Зајмопримц</w:t>
      </w:r>
      <w:r w:rsidR="00387655" w:rsidRPr="004B082A">
        <w:rPr>
          <w:lang w:val="sr-Cyrl-CS"/>
        </w:rPr>
        <w:t>а</w:t>
      </w:r>
      <w:r w:rsidR="00D26DE1" w:rsidRPr="004B082A">
        <w:rPr>
          <w:lang w:val="sr-Cyrl-CS"/>
        </w:rPr>
        <w:t xml:space="preserve">. </w:t>
      </w:r>
    </w:p>
    <w:p w14:paraId="747CAC73" w14:textId="28D67875" w:rsidR="005E0B9D" w:rsidRPr="004B082A" w:rsidRDefault="005E0B9D" w:rsidP="00527C8E">
      <w:pPr>
        <w:pStyle w:val="Paragrapha"/>
        <w:rPr>
          <w:lang w:val="sr-Cyrl-CS"/>
        </w:rPr>
      </w:pPr>
      <w:r w:rsidRPr="004B082A">
        <w:rPr>
          <w:lang w:val="sr-Cyrl-CS"/>
        </w:rPr>
        <w:t>(</w:t>
      </w:r>
      <w:r w:rsidR="007E4CEC" w:rsidRPr="004B082A">
        <w:rPr>
          <w:lang w:val="sr-Cyrl-CS"/>
        </w:rPr>
        <w:t>х</w:t>
      </w:r>
      <w:r w:rsidRPr="004B082A">
        <w:rPr>
          <w:lang w:val="sr-Cyrl-CS"/>
        </w:rPr>
        <w:t>)</w:t>
      </w:r>
      <w:r w:rsidRPr="004B082A">
        <w:rPr>
          <w:lang w:val="sr-Cyrl-CS"/>
        </w:rPr>
        <w:tab/>
      </w:r>
      <w:r w:rsidR="002833CF" w:rsidRPr="004B082A">
        <w:rPr>
          <w:lang w:val="sr-Cyrl-CS"/>
        </w:rPr>
        <w:t xml:space="preserve">Стопа </w:t>
      </w:r>
      <w:r w:rsidR="00387655" w:rsidRPr="004B082A">
        <w:rPr>
          <w:lang w:val="sr-Cyrl-CS"/>
        </w:rPr>
        <w:t>п</w:t>
      </w:r>
      <w:r w:rsidR="002833CF" w:rsidRPr="004B082A">
        <w:rPr>
          <w:lang w:val="sr-Cyrl-CS"/>
        </w:rPr>
        <w:t>ровизије на неповучени део зајма износи 0,5% на годишњем нивоу.</w:t>
      </w:r>
    </w:p>
    <w:p w14:paraId="6DF0B08F" w14:textId="4E78B4EF" w:rsidR="00F95518" w:rsidRPr="004B082A" w:rsidRDefault="00142E2D" w:rsidP="006111AD">
      <w:pPr>
        <w:pStyle w:val="Paragrapha"/>
        <w:rPr>
          <w:lang w:val="sr-Cyrl-CS"/>
        </w:rPr>
      </w:pPr>
      <w:r w:rsidRPr="004B082A">
        <w:rPr>
          <w:lang w:val="sr-Cyrl-CS"/>
        </w:rPr>
        <w:t>(</w:t>
      </w:r>
      <w:r w:rsidR="007E4CEC" w:rsidRPr="004B082A">
        <w:rPr>
          <w:lang w:val="sr-Cyrl-CS"/>
        </w:rPr>
        <w:t>и</w:t>
      </w:r>
      <w:r w:rsidRPr="004B082A">
        <w:rPr>
          <w:lang w:val="sr-Cyrl-CS"/>
        </w:rPr>
        <w:t>)</w:t>
      </w:r>
      <w:r w:rsidRPr="004B082A">
        <w:rPr>
          <w:lang w:val="sr-Cyrl-CS"/>
        </w:rPr>
        <w:tab/>
      </w:r>
      <w:r w:rsidR="002003AF" w:rsidRPr="004B082A">
        <w:rPr>
          <w:lang w:val="sr-Cyrl-CS"/>
        </w:rPr>
        <w:t xml:space="preserve">Зајам подлеже Варијабилној каматној стопи. Изузетно од напред наведеног, Зајмопримац може, као алтернативу плаћања камате по Варијабилној каматној стопи на цео или на било који део Зајма који у том тренутку буде неотплаћен, одабрати да плати камату по Фиксној каматној стопи на тај део Зајма, у складу са Одељком 3.04 (ц) Стандардних услова пословања.  </w:t>
      </w:r>
    </w:p>
    <w:p w14:paraId="6E3EFEEA" w14:textId="77777777" w:rsidR="00544419" w:rsidRPr="004B082A" w:rsidRDefault="00544419" w:rsidP="006111AD">
      <w:pPr>
        <w:pStyle w:val="Paragrapha"/>
        <w:rPr>
          <w:szCs w:val="24"/>
          <w:lang w:val="sr-Cyrl-CS"/>
        </w:rPr>
      </w:pPr>
    </w:p>
    <w:p w14:paraId="4026AA74" w14:textId="77777777" w:rsidR="00544419" w:rsidRPr="004B082A" w:rsidRDefault="00544419" w:rsidP="00544419">
      <w:pPr>
        <w:pStyle w:val="Heading2"/>
        <w:spacing w:before="0"/>
        <w:rPr>
          <w:lang w:val="sr-Cyrl-CS"/>
        </w:rPr>
      </w:pPr>
      <w:bookmarkStart w:id="33" w:name="_Toc144993888"/>
      <w:r w:rsidRPr="004B082A">
        <w:rPr>
          <w:lang w:val="sr-Cyrl-CS"/>
        </w:rPr>
        <w:t>Одељак 2.03.   Повлачење средстава</w:t>
      </w:r>
      <w:bookmarkEnd w:id="33"/>
    </w:p>
    <w:p w14:paraId="2F4F3491" w14:textId="2ED0A68C" w:rsidR="00544419" w:rsidRPr="004B082A" w:rsidRDefault="005E0B9D">
      <w:pPr>
        <w:pStyle w:val="Paragrapha"/>
        <w:rPr>
          <w:lang w:val="sr-Cyrl-CS"/>
        </w:rPr>
      </w:pPr>
      <w:r w:rsidRPr="004B082A">
        <w:rPr>
          <w:lang w:val="sr-Cyrl-CS"/>
        </w:rPr>
        <w:tab/>
      </w:r>
      <w:r w:rsidR="00544419" w:rsidRPr="004B082A">
        <w:rPr>
          <w:lang w:val="sr-Cyrl-CS"/>
        </w:rPr>
        <w:t>Расположиви износ зајма може се повлачити повремено у складу са одредбама из Прилога 2 за финансирање (1) трoшкова насталих (или, ако се Банка сагласи, трошкова који ће тек настати), по основу разумних трошкова роба, радова и услуга по</w:t>
      </w:r>
      <w:r w:rsidR="00387655" w:rsidRPr="004B082A">
        <w:rPr>
          <w:lang w:val="sr-Cyrl-CS"/>
        </w:rPr>
        <w:t>требних за Пројекат и (2) У</w:t>
      </w:r>
      <w:r w:rsidR="00D610CD" w:rsidRPr="004B082A">
        <w:rPr>
          <w:lang w:val="sr-Cyrl-CS"/>
        </w:rPr>
        <w:t>писне провизије</w:t>
      </w:r>
      <w:r w:rsidR="00544419" w:rsidRPr="004B082A">
        <w:rPr>
          <w:lang w:val="sr-Cyrl-CS"/>
        </w:rPr>
        <w:t>.</w:t>
      </w:r>
    </w:p>
    <w:p w14:paraId="2CFDC74D" w14:textId="7597F851" w:rsidR="005E0B9D" w:rsidRPr="004B082A" w:rsidRDefault="00A83B05" w:rsidP="00A83B05">
      <w:pPr>
        <w:pStyle w:val="Heading1"/>
        <w:rPr>
          <w:lang w:val="sr-Cyrl-CS"/>
        </w:rPr>
      </w:pPr>
      <w:bookmarkStart w:id="34" w:name="_Toc144993889"/>
      <w:r w:rsidRPr="004B082A">
        <w:rPr>
          <w:lang w:val="sr-Cyrl-CS"/>
        </w:rPr>
        <w:t>ЧЛАН III – ИЗВОЂЕЊЕ ПРОЈЕКТА</w:t>
      </w:r>
      <w:bookmarkEnd w:id="34"/>
    </w:p>
    <w:p w14:paraId="0DA76032" w14:textId="77777777" w:rsidR="00593362" w:rsidRPr="004B082A" w:rsidRDefault="00593362" w:rsidP="00593362">
      <w:pPr>
        <w:pStyle w:val="Heading2"/>
        <w:tabs>
          <w:tab w:val="left" w:pos="1620"/>
        </w:tabs>
        <w:spacing w:before="0"/>
        <w:rPr>
          <w:lang w:val="sr-Cyrl-CS"/>
        </w:rPr>
      </w:pPr>
      <w:bookmarkStart w:id="35" w:name="_Toc144993890"/>
    </w:p>
    <w:p w14:paraId="782E2C29" w14:textId="1E611676" w:rsidR="00593362" w:rsidRPr="004B082A" w:rsidRDefault="00593362" w:rsidP="00593362">
      <w:pPr>
        <w:pStyle w:val="Heading2"/>
        <w:tabs>
          <w:tab w:val="left" w:pos="1620"/>
        </w:tabs>
        <w:spacing w:before="0"/>
        <w:rPr>
          <w:lang w:val="sr-Cyrl-CS"/>
        </w:rPr>
      </w:pPr>
      <w:r w:rsidRPr="004B082A">
        <w:rPr>
          <w:lang w:val="sr-Cyrl-CS"/>
        </w:rPr>
        <w:t>Одељак 3.01.   Остале афирмативне одредбе Пројекта</w:t>
      </w:r>
      <w:bookmarkEnd w:id="35"/>
    </w:p>
    <w:p w14:paraId="37AD0CD7" w14:textId="311503E5" w:rsidR="005E0B9D" w:rsidRPr="004B082A" w:rsidRDefault="005E0B9D">
      <w:pPr>
        <w:pStyle w:val="Paragrapha"/>
        <w:rPr>
          <w:lang w:val="sr-Cyrl-CS"/>
        </w:rPr>
      </w:pPr>
      <w:r w:rsidRPr="004B082A">
        <w:rPr>
          <w:lang w:val="sr-Cyrl-CS"/>
        </w:rPr>
        <w:tab/>
      </w:r>
      <w:r w:rsidR="00084724" w:rsidRPr="004B082A">
        <w:rPr>
          <w:lang w:val="sr-Cyrl-CS"/>
        </w:rPr>
        <w:t xml:space="preserve">Поред општих обавеза утврђених у члану IV и V Стандардних услова пословања, Зајмопримац ће, осим ако се Банка другачије не сагласи:  </w:t>
      </w:r>
    </w:p>
    <w:p w14:paraId="0155C074" w14:textId="0B2718C5" w:rsidR="0069520A" w:rsidRPr="004B082A" w:rsidRDefault="00667825" w:rsidP="00E93573">
      <w:pPr>
        <w:pStyle w:val="Paragrapha"/>
        <w:rPr>
          <w:lang w:val="sr-Cyrl-CS"/>
        </w:rPr>
      </w:pPr>
      <w:r w:rsidRPr="004B082A">
        <w:rPr>
          <w:lang w:val="sr-Cyrl-CS"/>
        </w:rPr>
        <w:lastRenderedPageBreak/>
        <w:t>(</w:t>
      </w:r>
      <w:r w:rsidR="002715B6" w:rsidRPr="004B082A">
        <w:rPr>
          <w:lang w:val="sr-Cyrl-CS"/>
        </w:rPr>
        <w:t>a</w:t>
      </w:r>
      <w:r w:rsidRPr="004B082A">
        <w:rPr>
          <w:lang w:val="sr-Cyrl-CS"/>
        </w:rPr>
        <w:t>)</w:t>
      </w:r>
      <w:r w:rsidRPr="004B082A">
        <w:rPr>
          <w:lang w:val="sr-Cyrl-CS"/>
        </w:rPr>
        <w:tab/>
      </w:r>
      <w:r w:rsidR="0069520A" w:rsidRPr="004B082A">
        <w:rPr>
          <w:lang w:val="sr-Cyrl-CS"/>
        </w:rPr>
        <w:t xml:space="preserve">делујући преко МРЕ, обезбедити да се сва роба, радови и услуге финансирани из средстава Зајма користе искључиво у сврхе Пројекта; </w:t>
      </w:r>
      <w:r w:rsidR="00753388" w:rsidRPr="004B082A">
        <w:rPr>
          <w:lang w:val="sr-Cyrl-CS"/>
        </w:rPr>
        <w:t xml:space="preserve"> </w:t>
      </w:r>
    </w:p>
    <w:p w14:paraId="02099CD6" w14:textId="72F4AE49" w:rsidR="00753388" w:rsidRPr="004B082A" w:rsidRDefault="00B01626" w:rsidP="00B879CA">
      <w:pPr>
        <w:pStyle w:val="Paragrapha"/>
        <w:rPr>
          <w:lang w:val="sr-Cyrl-CS"/>
        </w:rPr>
      </w:pPr>
      <w:r w:rsidRPr="004B082A">
        <w:rPr>
          <w:lang w:val="sr-Cyrl-CS"/>
        </w:rPr>
        <w:t>(</w:t>
      </w:r>
      <w:r w:rsidR="007E4CEC" w:rsidRPr="004B082A">
        <w:rPr>
          <w:lang w:val="sr-Cyrl-CS"/>
        </w:rPr>
        <w:t>б</w:t>
      </w:r>
      <w:r w:rsidRPr="004B082A">
        <w:rPr>
          <w:lang w:val="sr-Cyrl-CS"/>
        </w:rPr>
        <w:t>)</w:t>
      </w:r>
      <w:r w:rsidRPr="004B082A">
        <w:rPr>
          <w:lang w:val="sr-Cyrl-CS"/>
        </w:rPr>
        <w:tab/>
      </w:r>
      <w:r w:rsidR="00753388" w:rsidRPr="004B082A">
        <w:rPr>
          <w:lang w:val="sr-Cyrl-CS"/>
        </w:rPr>
        <w:t>делујући преко МРЕ, делегирати на релевантне Пројектне субјекте свакодневно управљање Пројектом;</w:t>
      </w:r>
    </w:p>
    <w:p w14:paraId="7DFDCC17" w14:textId="01F2F7C2" w:rsidR="005E0B9D" w:rsidRPr="004B082A" w:rsidRDefault="00B01626" w:rsidP="00B879CA">
      <w:pPr>
        <w:pStyle w:val="Paragrapha"/>
        <w:rPr>
          <w:lang w:val="sr-Cyrl-CS"/>
        </w:rPr>
      </w:pPr>
      <w:r w:rsidRPr="004B082A">
        <w:rPr>
          <w:lang w:val="sr-Cyrl-CS"/>
        </w:rPr>
        <w:t>(</w:t>
      </w:r>
      <w:r w:rsidR="007E4CEC" w:rsidRPr="004B082A">
        <w:rPr>
          <w:lang w:val="sr-Cyrl-CS"/>
        </w:rPr>
        <w:t>ц</w:t>
      </w:r>
      <w:r w:rsidRPr="004B082A">
        <w:rPr>
          <w:lang w:val="sr-Cyrl-CS"/>
        </w:rPr>
        <w:t>)</w:t>
      </w:r>
      <w:r w:rsidRPr="004B082A">
        <w:rPr>
          <w:lang w:val="sr-Cyrl-CS"/>
        </w:rPr>
        <w:tab/>
      </w:r>
      <w:r w:rsidR="00753388" w:rsidRPr="004B082A">
        <w:rPr>
          <w:lang w:val="sr-Cyrl-CS"/>
        </w:rPr>
        <w:t>делујући преко МРЕ</w:t>
      </w:r>
      <w:r w:rsidR="005172DC" w:rsidRPr="004B082A">
        <w:rPr>
          <w:lang w:val="sr-Cyrl-CS"/>
        </w:rPr>
        <w:t xml:space="preserve">, </w:t>
      </w:r>
      <w:r w:rsidR="00291324" w:rsidRPr="004B082A">
        <w:rPr>
          <w:lang w:val="sr-Cyrl-CS"/>
        </w:rPr>
        <w:t xml:space="preserve">извршава све своје обавезе из Уговора о пројекту; </w:t>
      </w:r>
    </w:p>
    <w:p w14:paraId="6F0F388A" w14:textId="07189822" w:rsidR="00524587" w:rsidRPr="004B082A" w:rsidRDefault="005E0B9D" w:rsidP="00E93573">
      <w:pPr>
        <w:pStyle w:val="Paragrapha"/>
        <w:rPr>
          <w:lang w:val="sr-Cyrl-CS"/>
        </w:rPr>
      </w:pPr>
      <w:r w:rsidRPr="004B082A">
        <w:rPr>
          <w:lang w:val="sr-Cyrl-CS"/>
        </w:rPr>
        <w:t>(</w:t>
      </w:r>
      <w:r w:rsidR="007E4CEC" w:rsidRPr="004B082A">
        <w:rPr>
          <w:lang w:val="sr-Cyrl-CS"/>
        </w:rPr>
        <w:t>д</w:t>
      </w:r>
      <w:r w:rsidRPr="004B082A">
        <w:rPr>
          <w:lang w:val="sr-Cyrl-CS"/>
        </w:rPr>
        <w:t>)</w:t>
      </w:r>
      <w:r w:rsidRPr="004B082A">
        <w:rPr>
          <w:lang w:val="sr-Cyrl-CS"/>
        </w:rPr>
        <w:tab/>
      </w:r>
      <w:r w:rsidR="00753388" w:rsidRPr="004B082A">
        <w:rPr>
          <w:lang w:val="sr-Cyrl-CS"/>
        </w:rPr>
        <w:t>делујући преко МРЕ</w:t>
      </w:r>
      <w:r w:rsidR="005172DC" w:rsidRPr="004B082A">
        <w:rPr>
          <w:lang w:val="sr-Cyrl-CS"/>
        </w:rPr>
        <w:t xml:space="preserve">, </w:t>
      </w:r>
      <w:r w:rsidR="00524587" w:rsidRPr="004B082A">
        <w:rPr>
          <w:lang w:val="sr-Cyrl-CS"/>
        </w:rPr>
        <w:t>осигурати да</w:t>
      </w:r>
      <w:r w:rsidR="00D452CB" w:rsidRPr="004B082A">
        <w:rPr>
          <w:lang w:val="sr-Cyrl-CS"/>
        </w:rPr>
        <w:t xml:space="preserve"> П</w:t>
      </w:r>
      <w:r w:rsidR="00524587" w:rsidRPr="004B082A">
        <w:rPr>
          <w:lang w:val="sr-Cyrl-CS"/>
        </w:rPr>
        <w:t>ројектни субјекти имплементирају Пројекат у складу са Уговором о пројекту;</w:t>
      </w:r>
    </w:p>
    <w:p w14:paraId="16ECDD25" w14:textId="06E01B4B" w:rsidR="00216B75" w:rsidRPr="004B082A" w:rsidRDefault="007C1097" w:rsidP="00E93573">
      <w:pPr>
        <w:pStyle w:val="Paragrapha"/>
        <w:rPr>
          <w:lang w:val="sr-Cyrl-CS"/>
        </w:rPr>
      </w:pPr>
      <w:r w:rsidRPr="004B082A">
        <w:rPr>
          <w:lang w:val="sr-Cyrl-CS"/>
        </w:rPr>
        <w:t>(</w:t>
      </w:r>
      <w:r w:rsidR="002715B6" w:rsidRPr="004B082A">
        <w:rPr>
          <w:lang w:val="sr-Cyrl-CS"/>
        </w:rPr>
        <w:t>e</w:t>
      </w:r>
      <w:r w:rsidRPr="004B082A">
        <w:rPr>
          <w:lang w:val="sr-Cyrl-CS"/>
        </w:rPr>
        <w:t xml:space="preserve">) </w:t>
      </w:r>
      <w:r w:rsidRPr="004B082A">
        <w:rPr>
          <w:lang w:val="sr-Cyrl-CS"/>
        </w:rPr>
        <w:tab/>
      </w:r>
      <w:r w:rsidR="00753388" w:rsidRPr="004B082A">
        <w:rPr>
          <w:lang w:val="sr-Cyrl-CS"/>
        </w:rPr>
        <w:t>делујући преко МРЕ</w:t>
      </w:r>
      <w:r w:rsidR="005172DC" w:rsidRPr="004B082A">
        <w:rPr>
          <w:lang w:val="sr-Cyrl-CS"/>
        </w:rPr>
        <w:t xml:space="preserve">, </w:t>
      </w:r>
      <w:r w:rsidR="00216B75" w:rsidRPr="004B082A">
        <w:rPr>
          <w:lang w:val="sr-Cyrl-CS"/>
        </w:rPr>
        <w:t>обезбедити или подстаћи да буду обезбеђене, када се то захтева, све владине лиценце, одобрења или сагласно</w:t>
      </w:r>
      <w:r w:rsidR="00BC722E" w:rsidRPr="004B082A">
        <w:rPr>
          <w:lang w:val="sr-Cyrl-CS"/>
        </w:rPr>
        <w:t>сти које су потребне од стране П</w:t>
      </w:r>
      <w:r w:rsidR="00216B75" w:rsidRPr="004B082A">
        <w:rPr>
          <w:lang w:val="sr-Cyrl-CS"/>
        </w:rPr>
        <w:t xml:space="preserve">ројектних субјеката за </w:t>
      </w:r>
      <w:r w:rsidR="00CA1BAE" w:rsidRPr="004B082A">
        <w:rPr>
          <w:lang w:val="sr-Cyrl-CS"/>
        </w:rPr>
        <w:t>П</w:t>
      </w:r>
      <w:r w:rsidR="00216B75" w:rsidRPr="004B082A">
        <w:rPr>
          <w:lang w:val="sr-Cyrl-CS"/>
        </w:rPr>
        <w:t>ројекат и за обављање својих послова, укључујући сва одобрења и лиценце неопходне да би се обезбе</w:t>
      </w:r>
      <w:r w:rsidR="00ED50E7" w:rsidRPr="004B082A">
        <w:rPr>
          <w:lang w:val="sr-Cyrl-CS"/>
        </w:rPr>
        <w:t>дило да се П</w:t>
      </w:r>
      <w:r w:rsidR="00216B75" w:rsidRPr="004B082A">
        <w:rPr>
          <w:lang w:val="sr-Cyrl-CS"/>
        </w:rPr>
        <w:t>ројектним субјектима дају права пута и друга права коришћења земљишта неопходна за спровођење Пројекта;</w:t>
      </w:r>
    </w:p>
    <w:p w14:paraId="5F32A2A8" w14:textId="205C521D" w:rsidR="00A852FF" w:rsidRPr="004B082A" w:rsidRDefault="007C1097" w:rsidP="00E93573">
      <w:pPr>
        <w:pStyle w:val="Paragrapha"/>
        <w:rPr>
          <w:lang w:val="sr-Cyrl-CS"/>
        </w:rPr>
      </w:pPr>
      <w:r w:rsidRPr="004B082A">
        <w:rPr>
          <w:lang w:val="sr-Cyrl-CS"/>
        </w:rPr>
        <w:t>(</w:t>
      </w:r>
      <w:r w:rsidR="007E4CEC" w:rsidRPr="004B082A">
        <w:rPr>
          <w:lang w:val="sr-Cyrl-CS"/>
        </w:rPr>
        <w:t>ф</w:t>
      </w:r>
      <w:r w:rsidRPr="004B082A">
        <w:rPr>
          <w:lang w:val="sr-Cyrl-CS"/>
        </w:rPr>
        <w:t xml:space="preserve">) </w:t>
      </w:r>
      <w:r w:rsidRPr="004B082A">
        <w:rPr>
          <w:lang w:val="sr-Cyrl-CS"/>
        </w:rPr>
        <w:tab/>
      </w:r>
      <w:r w:rsidR="00A852FF" w:rsidRPr="004B082A">
        <w:rPr>
          <w:lang w:val="sr-Cyrl-CS"/>
        </w:rPr>
        <w:t>ослободити од</w:t>
      </w:r>
      <w:r w:rsidR="00CA1BAE" w:rsidRPr="004B082A">
        <w:rPr>
          <w:lang w:val="sr-Cyrl-CS"/>
        </w:rPr>
        <w:t xml:space="preserve"> плаћања ПДВ–</w:t>
      </w:r>
      <w:r w:rsidR="00A852FF" w:rsidRPr="004B082A">
        <w:rPr>
          <w:lang w:val="sr-Cyrl-CS"/>
        </w:rPr>
        <w:t xml:space="preserve">а и царина, сву робу, радове и услуге (укључујући консултантске услуге) према потреби, које је набавио Зајмопримац (који делује преко МРЕ) и/или Пројектни субјекти, за Пројекат и која су финансирана из средстава Зајма или </w:t>
      </w:r>
      <w:r w:rsidR="00CA1BAE" w:rsidRPr="004B082A">
        <w:rPr>
          <w:lang w:val="sr-Cyrl-CS"/>
        </w:rPr>
        <w:t>било којих</w:t>
      </w:r>
      <w:r w:rsidR="00A852FF" w:rsidRPr="004B082A">
        <w:rPr>
          <w:lang w:val="sr-Cyrl-CS"/>
        </w:rPr>
        <w:t xml:space="preserve"> средст</w:t>
      </w:r>
      <w:r w:rsidR="00CA1BAE" w:rsidRPr="004B082A">
        <w:rPr>
          <w:lang w:val="sr-Cyrl-CS"/>
        </w:rPr>
        <w:t>а</w:t>
      </w:r>
      <w:r w:rsidR="00A852FF" w:rsidRPr="004B082A">
        <w:rPr>
          <w:lang w:val="sr-Cyrl-CS"/>
        </w:rPr>
        <w:t>ва за техничку сарадњу која Банка стави на располагање или обезбеди њихову надокнаду;</w:t>
      </w:r>
    </w:p>
    <w:p w14:paraId="32A681A6" w14:textId="0C72DD4D" w:rsidR="00B02AFE" w:rsidRPr="004B082A" w:rsidRDefault="007C1097" w:rsidP="00E93573">
      <w:pPr>
        <w:pStyle w:val="Paragrapha"/>
        <w:rPr>
          <w:lang w:val="sr-Cyrl-CS"/>
        </w:rPr>
      </w:pPr>
      <w:r w:rsidRPr="004B082A">
        <w:rPr>
          <w:lang w:val="sr-Cyrl-CS"/>
        </w:rPr>
        <w:t>(</w:t>
      </w:r>
      <w:r w:rsidR="007E4CEC" w:rsidRPr="004B082A">
        <w:rPr>
          <w:lang w:val="sr-Cyrl-CS"/>
        </w:rPr>
        <w:t>г</w:t>
      </w:r>
      <w:r w:rsidRPr="004B082A">
        <w:rPr>
          <w:lang w:val="sr-Cyrl-CS"/>
        </w:rPr>
        <w:t xml:space="preserve">)  </w:t>
      </w:r>
      <w:r w:rsidR="00E91FCB" w:rsidRPr="004B082A">
        <w:rPr>
          <w:lang w:val="sr-Cyrl-CS"/>
        </w:rPr>
        <w:tab/>
        <w:t>делујући преко</w:t>
      </w:r>
      <w:r w:rsidR="00111923" w:rsidRPr="004B082A">
        <w:rPr>
          <w:lang w:val="sr-Cyrl-CS"/>
        </w:rPr>
        <w:t xml:space="preserve"> MРЕ</w:t>
      </w:r>
      <w:r w:rsidR="00C56BD8" w:rsidRPr="004B082A">
        <w:rPr>
          <w:lang w:val="sr-Cyrl-CS"/>
        </w:rPr>
        <w:t xml:space="preserve">, </w:t>
      </w:r>
      <w:r w:rsidR="00B02AFE" w:rsidRPr="004B082A">
        <w:rPr>
          <w:lang w:val="sr-Cyrl-CS"/>
        </w:rPr>
        <w:t>предузме све неопходне радње за обезбеђивање адекватних средстава за завршетак Пројекта, укључујући доприносе Пројектних субјеката ако је потребно или смањење обима Пројекта;</w:t>
      </w:r>
    </w:p>
    <w:p w14:paraId="0B63D5CD" w14:textId="686D5CCE" w:rsidR="00E91FCB" w:rsidRPr="004B082A" w:rsidRDefault="007C1097" w:rsidP="00CA1BAE">
      <w:pPr>
        <w:pStyle w:val="Paragrapha"/>
        <w:rPr>
          <w:lang w:val="sr-Cyrl-CS"/>
        </w:rPr>
      </w:pPr>
      <w:r w:rsidRPr="004B082A">
        <w:rPr>
          <w:lang w:val="sr-Cyrl-CS"/>
        </w:rPr>
        <w:t>(</w:t>
      </w:r>
      <w:r w:rsidR="007E4CEC" w:rsidRPr="004B082A">
        <w:rPr>
          <w:lang w:val="sr-Cyrl-CS"/>
        </w:rPr>
        <w:t>х</w:t>
      </w:r>
      <w:r w:rsidRPr="004B082A">
        <w:rPr>
          <w:lang w:val="sr-Cyrl-CS"/>
        </w:rPr>
        <w:t>)</w:t>
      </w:r>
      <w:r w:rsidRPr="004B082A">
        <w:rPr>
          <w:lang w:val="sr-Cyrl-CS"/>
        </w:rPr>
        <w:tab/>
      </w:r>
      <w:r w:rsidR="00E91FCB" w:rsidRPr="004B082A">
        <w:rPr>
          <w:lang w:val="sr-Cyrl-CS"/>
        </w:rPr>
        <w:t>делујући преко</w:t>
      </w:r>
      <w:r w:rsidR="00111923" w:rsidRPr="004B082A">
        <w:rPr>
          <w:lang w:val="sr-Cyrl-CS"/>
        </w:rPr>
        <w:t xml:space="preserve"> MРЕ</w:t>
      </w:r>
      <w:r w:rsidR="00E91FCB" w:rsidRPr="004B082A">
        <w:rPr>
          <w:lang w:val="sr-Cyrl-CS"/>
        </w:rPr>
        <w:t xml:space="preserve">, обезбедити задовољавајућу имплементацију </w:t>
      </w:r>
      <w:r w:rsidR="00CA1BAE" w:rsidRPr="004B082A">
        <w:rPr>
          <w:lang w:val="sr-Cyrl-CS"/>
        </w:rPr>
        <w:t>Еколошких и социјалних акционих планова</w:t>
      </w:r>
      <w:r w:rsidR="00E91FCB" w:rsidRPr="004B082A">
        <w:rPr>
          <w:lang w:val="sr-Cyrl-CS"/>
        </w:rPr>
        <w:t xml:space="preserve"> и усклађеност са </w:t>
      </w:r>
      <w:r w:rsidR="00CA1BAE" w:rsidRPr="004B082A">
        <w:rPr>
          <w:lang w:val="sr-Cyrl-CS"/>
        </w:rPr>
        <w:t>Одређеним захтевима за успешно извршење посла</w:t>
      </w:r>
      <w:r w:rsidR="00EB1C2E" w:rsidRPr="004B082A">
        <w:rPr>
          <w:lang w:val="sr-Cyrl-CS"/>
        </w:rPr>
        <w:t xml:space="preserve"> од стране П</w:t>
      </w:r>
      <w:r w:rsidR="00E91FCB" w:rsidRPr="004B082A">
        <w:rPr>
          <w:lang w:val="sr-Cyrl-CS"/>
        </w:rPr>
        <w:t>ројектних субјеката; и</w:t>
      </w:r>
    </w:p>
    <w:p w14:paraId="1B55B645" w14:textId="17FB01EE" w:rsidR="00E91FCB" w:rsidRPr="004B082A" w:rsidRDefault="007C1097">
      <w:pPr>
        <w:pStyle w:val="Paragrapha"/>
        <w:rPr>
          <w:lang w:val="sr-Cyrl-CS"/>
        </w:rPr>
      </w:pPr>
      <w:r w:rsidRPr="004B082A">
        <w:rPr>
          <w:lang w:val="sr-Cyrl-CS"/>
        </w:rPr>
        <w:t>(</w:t>
      </w:r>
      <w:r w:rsidR="007E4CEC" w:rsidRPr="004B082A">
        <w:rPr>
          <w:lang w:val="sr-Cyrl-CS"/>
        </w:rPr>
        <w:t>и</w:t>
      </w:r>
      <w:r w:rsidRPr="004B082A">
        <w:rPr>
          <w:lang w:val="sr-Cyrl-CS"/>
        </w:rPr>
        <w:t>)</w:t>
      </w:r>
      <w:r w:rsidRPr="004B082A">
        <w:rPr>
          <w:lang w:val="sr-Cyrl-CS"/>
        </w:rPr>
        <w:tab/>
      </w:r>
      <w:r w:rsidR="00E91FCB" w:rsidRPr="004B082A">
        <w:rPr>
          <w:lang w:val="sr-Cyrl-CS"/>
        </w:rPr>
        <w:t>делујући преко</w:t>
      </w:r>
      <w:r w:rsidR="00111923" w:rsidRPr="004B082A">
        <w:rPr>
          <w:lang w:val="sr-Cyrl-CS"/>
        </w:rPr>
        <w:t xml:space="preserve"> MРЕ</w:t>
      </w:r>
      <w:r w:rsidR="00E91FCB" w:rsidRPr="004B082A">
        <w:rPr>
          <w:lang w:val="sr-Cyrl-CS"/>
        </w:rPr>
        <w:t xml:space="preserve">, </w:t>
      </w:r>
      <w:r w:rsidR="001F32A0" w:rsidRPr="004B082A" w:rsidDel="001F32A0">
        <w:rPr>
          <w:rStyle w:val="FootnoteReference"/>
          <w:lang w:val="sr-Cyrl-CS"/>
        </w:rPr>
        <w:t xml:space="preserve"> </w:t>
      </w:r>
      <w:r w:rsidR="00D452CB" w:rsidRPr="004B082A">
        <w:rPr>
          <w:lang w:val="sr-Cyrl-CS"/>
        </w:rPr>
        <w:t>обезбедити да П</w:t>
      </w:r>
      <w:r w:rsidR="00E91FCB" w:rsidRPr="004B082A">
        <w:rPr>
          <w:lang w:val="sr-Cyrl-CS"/>
        </w:rPr>
        <w:t xml:space="preserve">ројектни субјекти имају власништво над одговарајућом имовином која ће се финансирати из средстава </w:t>
      </w:r>
      <w:r w:rsidR="00CA1BAE" w:rsidRPr="004B082A">
        <w:rPr>
          <w:lang w:val="sr-Cyrl-CS"/>
        </w:rPr>
        <w:t>З</w:t>
      </w:r>
      <w:r w:rsidR="00E91FCB" w:rsidRPr="004B082A">
        <w:rPr>
          <w:lang w:val="sr-Cyrl-CS"/>
        </w:rPr>
        <w:t xml:space="preserve">ајма и </w:t>
      </w:r>
      <w:r w:rsidR="00CA1BAE" w:rsidRPr="004B082A">
        <w:rPr>
          <w:lang w:val="sr-Cyrl-CS"/>
        </w:rPr>
        <w:t>И</w:t>
      </w:r>
      <w:r w:rsidR="00E91FCB" w:rsidRPr="004B082A">
        <w:rPr>
          <w:lang w:val="sr-Cyrl-CS"/>
        </w:rPr>
        <w:t>нвестиционих грантова.</w:t>
      </w:r>
    </w:p>
    <w:p w14:paraId="19C763CE" w14:textId="2CD4D800" w:rsidR="00B122A2" w:rsidRPr="004B082A" w:rsidRDefault="00FF775A" w:rsidP="00824A4D">
      <w:pPr>
        <w:pStyle w:val="Heading2"/>
        <w:rPr>
          <w:lang w:val="sr-Cyrl-CS"/>
        </w:rPr>
      </w:pPr>
      <w:bookmarkStart w:id="36" w:name="_Toc146535400"/>
      <w:r w:rsidRPr="004B082A">
        <w:rPr>
          <w:lang w:val="sr-Cyrl-CS"/>
        </w:rPr>
        <w:t>Одељак</w:t>
      </w:r>
      <w:r w:rsidR="00890461" w:rsidRPr="004B082A">
        <w:rPr>
          <w:lang w:val="sr-Cyrl-CS"/>
        </w:rPr>
        <w:t xml:space="preserve"> 3.02.</w:t>
      </w:r>
      <w:r w:rsidR="00890461" w:rsidRPr="004B082A">
        <w:rPr>
          <w:lang w:val="sr-Cyrl-CS"/>
        </w:rPr>
        <w:tab/>
      </w:r>
      <w:bookmarkEnd w:id="36"/>
      <w:r w:rsidRPr="004B082A">
        <w:rPr>
          <w:lang w:val="sr-Cyrl-CS"/>
        </w:rPr>
        <w:t xml:space="preserve">Централна јединица за имплементацију </w:t>
      </w:r>
      <w:r w:rsidR="00387655" w:rsidRPr="004B082A">
        <w:rPr>
          <w:lang w:val="sr-Cyrl-CS"/>
        </w:rPr>
        <w:t>П</w:t>
      </w:r>
      <w:r w:rsidRPr="004B082A">
        <w:rPr>
          <w:lang w:val="sr-Cyrl-CS"/>
        </w:rPr>
        <w:t>ројекта</w:t>
      </w:r>
    </w:p>
    <w:p w14:paraId="30EB05BA" w14:textId="58777D75" w:rsidR="00974200" w:rsidRPr="004B082A" w:rsidRDefault="00824A4D" w:rsidP="00890461">
      <w:pPr>
        <w:pStyle w:val="Paragrapha"/>
        <w:rPr>
          <w:lang w:val="sr-Cyrl-CS"/>
        </w:rPr>
      </w:pPr>
      <w:r w:rsidRPr="004B082A">
        <w:rPr>
          <w:lang w:val="sr-Cyrl-CS"/>
        </w:rPr>
        <w:tab/>
      </w:r>
      <w:r w:rsidR="00B122A2" w:rsidRPr="004B082A">
        <w:rPr>
          <w:lang w:val="sr-Cyrl-CS"/>
        </w:rPr>
        <w:t xml:space="preserve">У циљу координације, управљања, праћења и евалуације свих аспеката имплементације Пројекта, укључујући финансијско управљање и праћење </w:t>
      </w:r>
      <w:r w:rsidRPr="004B082A">
        <w:rPr>
          <w:lang w:val="sr-Cyrl-CS"/>
        </w:rPr>
        <w:t>Пројекта, набавке добара, радова и услуга</w:t>
      </w:r>
      <w:r w:rsidR="00B122A2" w:rsidRPr="004B082A">
        <w:rPr>
          <w:lang w:val="sr-Cyrl-CS"/>
        </w:rPr>
        <w:t xml:space="preserve">, као </w:t>
      </w:r>
      <w:r w:rsidR="004446C1" w:rsidRPr="004B082A">
        <w:rPr>
          <w:lang w:val="sr-Cyrl-CS"/>
        </w:rPr>
        <w:t>и консултантских услуга</w:t>
      </w:r>
      <w:r w:rsidR="00B122A2" w:rsidRPr="004B082A">
        <w:rPr>
          <w:lang w:val="sr-Cyrl-CS"/>
        </w:rPr>
        <w:t xml:space="preserve"> за Пројекат </w:t>
      </w:r>
      <w:r w:rsidR="004446C1" w:rsidRPr="004B082A">
        <w:rPr>
          <w:lang w:val="sr-Cyrl-CS"/>
        </w:rPr>
        <w:t>и комуникације</w:t>
      </w:r>
      <w:r w:rsidR="00746674" w:rsidRPr="004B082A">
        <w:rPr>
          <w:lang w:val="sr-Cyrl-CS"/>
        </w:rPr>
        <w:t xml:space="preserve"> са учесницима Пројектних субјеката, општине</w:t>
      </w:r>
      <w:r w:rsidR="00B122A2" w:rsidRPr="004B082A">
        <w:rPr>
          <w:lang w:val="sr-Cyrl-CS"/>
        </w:rPr>
        <w:t xml:space="preserve"> и између свих укључених институција и заинтересованих страна, Зај</w:t>
      </w:r>
      <w:r w:rsidR="004446C1" w:rsidRPr="004B082A">
        <w:rPr>
          <w:lang w:val="sr-Cyrl-CS"/>
        </w:rPr>
        <w:t>мопримац (који делује преко МРЕ</w:t>
      </w:r>
      <w:r w:rsidR="00B122A2" w:rsidRPr="004B082A">
        <w:rPr>
          <w:lang w:val="sr-Cyrl-CS"/>
        </w:rPr>
        <w:t>) ће, осим ако није другачије договорено са Банком, успоставити и у сваком тренутку ток</w:t>
      </w:r>
      <w:r w:rsidR="00357E84" w:rsidRPr="004B082A">
        <w:rPr>
          <w:lang w:val="sr-Cyrl-CS"/>
        </w:rPr>
        <w:t>ом извођења Пројекта управљати Ц</w:t>
      </w:r>
      <w:r w:rsidR="00B122A2" w:rsidRPr="004B082A">
        <w:rPr>
          <w:lang w:val="sr-Cyrl-CS"/>
        </w:rPr>
        <w:t>ентралном јединицом за имплементацију пројекта са адекватним ресурс</w:t>
      </w:r>
      <w:r w:rsidR="004446C1" w:rsidRPr="004B082A">
        <w:rPr>
          <w:lang w:val="sr-Cyrl-CS"/>
        </w:rPr>
        <w:t>има и одговарајуће квалификованим</w:t>
      </w:r>
      <w:r w:rsidR="00B122A2" w:rsidRPr="004B082A">
        <w:rPr>
          <w:lang w:val="sr-Cyrl-CS"/>
        </w:rPr>
        <w:t xml:space="preserve"> особље</w:t>
      </w:r>
      <w:r w:rsidR="004446C1" w:rsidRPr="004B082A">
        <w:rPr>
          <w:lang w:val="sr-Cyrl-CS"/>
        </w:rPr>
        <w:t>м, према условима</w:t>
      </w:r>
      <w:r w:rsidR="00B122A2" w:rsidRPr="004B082A">
        <w:rPr>
          <w:lang w:val="sr-Cyrl-CS"/>
        </w:rPr>
        <w:t xml:space="preserve"> прихватљивим за Банку.</w:t>
      </w:r>
      <w:r w:rsidR="00890461" w:rsidRPr="004B082A" w:rsidDel="007C1097">
        <w:rPr>
          <w:rStyle w:val="EndnoteReference"/>
          <w:lang w:val="sr-Cyrl-CS"/>
        </w:rPr>
        <w:t xml:space="preserve"> </w:t>
      </w:r>
    </w:p>
    <w:p w14:paraId="5FBFAD1B" w14:textId="6B24037A" w:rsidR="005E0B9D" w:rsidRPr="004B082A" w:rsidRDefault="00CA1BAE" w:rsidP="00BB4F57">
      <w:pPr>
        <w:pStyle w:val="Heading2"/>
        <w:rPr>
          <w:lang w:val="sr-Cyrl-CS"/>
        </w:rPr>
      </w:pPr>
      <w:bookmarkStart w:id="37" w:name="_Toc146535401"/>
      <w:r w:rsidRPr="004B082A">
        <w:rPr>
          <w:lang w:val="sr-Cyrl-CS"/>
        </w:rPr>
        <w:lastRenderedPageBreak/>
        <w:t>Одељак</w:t>
      </w:r>
      <w:r w:rsidR="00974200" w:rsidRPr="004B082A">
        <w:rPr>
          <w:lang w:val="sr-Cyrl-CS"/>
        </w:rPr>
        <w:t xml:space="preserve"> 3.03.</w:t>
      </w:r>
      <w:r w:rsidR="00974200" w:rsidRPr="004B082A">
        <w:rPr>
          <w:lang w:val="sr-Cyrl-CS"/>
        </w:rPr>
        <w:tab/>
      </w:r>
      <w:bookmarkEnd w:id="37"/>
      <w:r w:rsidR="001238DF" w:rsidRPr="004B082A">
        <w:rPr>
          <w:lang w:val="sr-Cyrl-CS"/>
        </w:rPr>
        <w:t>Консултанти</w:t>
      </w:r>
      <w:r w:rsidR="00974200" w:rsidRPr="004B082A">
        <w:rPr>
          <w:lang w:val="sr-Cyrl-CS"/>
        </w:rPr>
        <w:t xml:space="preserve"> </w:t>
      </w:r>
    </w:p>
    <w:p w14:paraId="6175107E" w14:textId="159C1C2B" w:rsidR="0071098A" w:rsidRPr="004B082A" w:rsidRDefault="00BB4F57" w:rsidP="00974200">
      <w:pPr>
        <w:pStyle w:val="Paragrapha"/>
        <w:rPr>
          <w:lang w:val="sr-Cyrl-CS"/>
        </w:rPr>
      </w:pPr>
      <w:r w:rsidRPr="004B082A">
        <w:rPr>
          <w:lang w:val="sr-Cyrl-CS"/>
        </w:rPr>
        <w:tab/>
      </w:r>
      <w:r w:rsidR="0071098A" w:rsidRPr="004B082A">
        <w:rPr>
          <w:lang w:val="sr-Cyrl-CS"/>
        </w:rPr>
        <w:t>Зај</w:t>
      </w:r>
      <w:r w:rsidR="00F12445" w:rsidRPr="004B082A">
        <w:rPr>
          <w:lang w:val="sr-Cyrl-CS"/>
        </w:rPr>
        <w:t>мопримац (који делује преко МРЕ</w:t>
      </w:r>
      <w:r w:rsidR="0071098A" w:rsidRPr="004B082A">
        <w:rPr>
          <w:lang w:val="sr-Cyrl-CS"/>
        </w:rPr>
        <w:t>) ће обезбедити именовање одговарајуће квалификованих консул</w:t>
      </w:r>
      <w:r w:rsidR="00F12445" w:rsidRPr="004B082A">
        <w:rPr>
          <w:lang w:val="sr-Cyrl-CS"/>
        </w:rPr>
        <w:t>таната према условима</w:t>
      </w:r>
      <w:r w:rsidR="0071098A" w:rsidRPr="004B082A">
        <w:rPr>
          <w:lang w:val="sr-Cyrl-CS"/>
        </w:rPr>
        <w:t xml:space="preserve"> пр</w:t>
      </w:r>
      <w:r w:rsidR="00CA1BAE" w:rsidRPr="004B082A">
        <w:rPr>
          <w:lang w:val="sr-Cyrl-CS"/>
        </w:rPr>
        <w:t>ихватљивим за Банку да помогну ц</w:t>
      </w:r>
      <w:r w:rsidR="0071098A" w:rsidRPr="004B082A">
        <w:rPr>
          <w:lang w:val="sr-Cyrl-CS"/>
        </w:rPr>
        <w:t>ентралној јединици за имплементацију пројекта у подршци имплементацији пројекта, пројектовању и студијама, набавци и надзору радова и техничко</w:t>
      </w:r>
      <w:r w:rsidR="00F12445" w:rsidRPr="004B082A">
        <w:rPr>
          <w:lang w:val="sr-Cyrl-CS"/>
        </w:rPr>
        <w:t>ј помоћи, према потреби</w:t>
      </w:r>
      <w:r w:rsidR="0071098A" w:rsidRPr="004B082A">
        <w:rPr>
          <w:lang w:val="sr-Cyrl-CS"/>
        </w:rPr>
        <w:t>.</w:t>
      </w:r>
    </w:p>
    <w:p w14:paraId="6B2C90E1" w14:textId="55210E85" w:rsidR="00882848" w:rsidRPr="004B082A" w:rsidRDefault="00882848" w:rsidP="00882848">
      <w:pPr>
        <w:pStyle w:val="Heading2"/>
        <w:rPr>
          <w:lang w:val="sr-Cyrl-CS"/>
        </w:rPr>
      </w:pPr>
      <w:bookmarkStart w:id="38" w:name="_Toc144993891"/>
      <w:r w:rsidRPr="004B082A">
        <w:rPr>
          <w:lang w:val="sr-Cyrl-CS"/>
        </w:rPr>
        <w:tab/>
        <w:t>ЧЛ</w:t>
      </w:r>
      <w:r w:rsidR="00567C20" w:rsidRPr="004B082A">
        <w:rPr>
          <w:lang w:val="sr-Cyrl-CS"/>
        </w:rPr>
        <w:t>АН IV –</w:t>
      </w:r>
      <w:r w:rsidRPr="004B082A">
        <w:rPr>
          <w:lang w:val="sr-Cyrl-CS"/>
        </w:rPr>
        <w:t xml:space="preserve"> ОБУСТАВА; УБРЗАЊЕ; ОТКАЗИВАЊЕ</w:t>
      </w:r>
      <w:bookmarkEnd w:id="38"/>
    </w:p>
    <w:p w14:paraId="1441BD80" w14:textId="639243CD" w:rsidR="00065EE4" w:rsidRPr="004B082A" w:rsidRDefault="00065EE4" w:rsidP="00065EE4">
      <w:pPr>
        <w:pStyle w:val="Heading2"/>
        <w:rPr>
          <w:lang w:val="sr-Cyrl-CS"/>
        </w:rPr>
      </w:pPr>
      <w:bookmarkStart w:id="39" w:name="_Toc144993892"/>
      <w:r w:rsidRPr="004B082A">
        <w:rPr>
          <w:lang w:val="sr-Cyrl-CS"/>
        </w:rPr>
        <w:t>Одељак 4.01.</w:t>
      </w:r>
      <w:r w:rsidRPr="004B082A">
        <w:rPr>
          <w:lang w:val="sr-Cyrl-CS"/>
        </w:rPr>
        <w:tab/>
        <w:t>Обустава</w:t>
      </w:r>
      <w:bookmarkEnd w:id="39"/>
      <w:r w:rsidR="00330C10" w:rsidRPr="004B082A">
        <w:rPr>
          <w:lang w:val="sr-Cyrl-CS"/>
        </w:rPr>
        <w:t xml:space="preserve"> </w:t>
      </w:r>
    </w:p>
    <w:p w14:paraId="7D73BAF8" w14:textId="2D19A7F1" w:rsidR="005E0B9D" w:rsidRPr="004B082A" w:rsidRDefault="005E0B9D">
      <w:pPr>
        <w:pStyle w:val="Paragrapha"/>
        <w:rPr>
          <w:lang w:val="sr-Cyrl-CS"/>
        </w:rPr>
      </w:pPr>
      <w:r w:rsidRPr="004B082A">
        <w:rPr>
          <w:lang w:val="sr-Cyrl-CS"/>
        </w:rPr>
        <w:tab/>
      </w:r>
      <w:r w:rsidR="007A7F76" w:rsidRPr="004B082A">
        <w:rPr>
          <w:lang w:val="sr-Cyrl-CS"/>
        </w:rPr>
        <w:t>Следеће је наведено за потребе Одељка 7.01(а)(xvii) Стандардних услова пословања:</w:t>
      </w:r>
    </w:p>
    <w:p w14:paraId="75C9DE8C" w14:textId="2E037EE7" w:rsidR="00475D90" w:rsidRPr="004B082A" w:rsidRDefault="005E0B9D" w:rsidP="004E545D">
      <w:pPr>
        <w:pStyle w:val="Paragrapha"/>
        <w:rPr>
          <w:lang w:val="sr-Cyrl-CS"/>
        </w:rPr>
      </w:pPr>
      <w:r w:rsidRPr="004B082A">
        <w:rPr>
          <w:lang w:val="sr-Cyrl-CS"/>
        </w:rPr>
        <w:t>(a)</w:t>
      </w:r>
      <w:r w:rsidRPr="004B082A">
        <w:rPr>
          <w:lang w:val="sr-Cyrl-CS"/>
        </w:rPr>
        <w:tab/>
      </w:r>
      <w:r w:rsidR="002E0195" w:rsidRPr="004B082A">
        <w:rPr>
          <w:lang w:val="sr-Cyrl-CS"/>
        </w:rPr>
        <w:t>у</w:t>
      </w:r>
      <w:r w:rsidR="00475D90" w:rsidRPr="004B082A">
        <w:rPr>
          <w:lang w:val="sr-Cyrl-CS"/>
        </w:rPr>
        <w:t xml:space="preserve">колико законодавни и регулаторни оквир који се примењује на сектор даљинског грејања на територији Зајмопримца буде измењен, суспендован, укинут, поништен или стављен ван снаге, на начин који је другачији од онога  што је Банка одобрила у писаној форми;  </w:t>
      </w:r>
    </w:p>
    <w:p w14:paraId="5663748A" w14:textId="5BC3F204" w:rsidR="00330C10" w:rsidRPr="004B082A" w:rsidRDefault="007E4CEC" w:rsidP="004E545D">
      <w:pPr>
        <w:pStyle w:val="Paragrapha"/>
        <w:rPr>
          <w:lang w:val="sr-Cyrl-CS"/>
        </w:rPr>
      </w:pPr>
      <w:r w:rsidRPr="004B082A">
        <w:rPr>
          <w:lang w:val="sr-Cyrl-CS"/>
        </w:rPr>
        <w:t>(б</w:t>
      </w:r>
      <w:r w:rsidR="005E0B9D" w:rsidRPr="004B082A">
        <w:rPr>
          <w:lang w:val="sr-Cyrl-CS"/>
        </w:rPr>
        <w:t>)</w:t>
      </w:r>
      <w:r w:rsidR="00330C10" w:rsidRPr="004B082A">
        <w:rPr>
          <w:lang w:val="sr-Cyrl-CS"/>
        </w:rPr>
        <w:tab/>
        <w:t>уколико Статут буде измењен, суспендован, укинут, поништен или стављен ван снаге, на начин који је другачији од онога што је Банка одобрила у писаној форми; или</w:t>
      </w:r>
    </w:p>
    <w:p w14:paraId="0C7C448E" w14:textId="26303ABD" w:rsidR="005E0B9D" w:rsidRPr="004B082A" w:rsidRDefault="007E4CEC" w:rsidP="004229AB">
      <w:pPr>
        <w:pStyle w:val="Paragrapha"/>
        <w:rPr>
          <w:lang w:val="sr-Cyrl-CS"/>
        </w:rPr>
      </w:pPr>
      <w:r w:rsidRPr="004B082A">
        <w:rPr>
          <w:lang w:val="sr-Cyrl-CS"/>
        </w:rPr>
        <w:t>(ц</w:t>
      </w:r>
      <w:r w:rsidR="005E0B9D" w:rsidRPr="004B082A">
        <w:rPr>
          <w:lang w:val="sr-Cyrl-CS"/>
        </w:rPr>
        <w:t>)</w:t>
      </w:r>
      <w:r w:rsidR="005E0B9D" w:rsidRPr="004B082A">
        <w:rPr>
          <w:lang w:val="sr-Cyrl-CS"/>
        </w:rPr>
        <w:tab/>
        <w:t xml:space="preserve"> </w:t>
      </w:r>
      <w:r w:rsidR="00A6709C" w:rsidRPr="004B082A">
        <w:rPr>
          <w:lang w:val="sr-Cyrl-CS"/>
        </w:rPr>
        <w:t xml:space="preserve">уколико контрола над било којим </w:t>
      </w:r>
      <w:r w:rsidR="00486CBA" w:rsidRPr="004B082A">
        <w:rPr>
          <w:lang w:val="sr-Cyrl-CS"/>
        </w:rPr>
        <w:t>П</w:t>
      </w:r>
      <w:r w:rsidR="00A6709C" w:rsidRPr="004B082A">
        <w:rPr>
          <w:lang w:val="sr-Cyrl-CS"/>
        </w:rPr>
        <w:t>ројект</w:t>
      </w:r>
      <w:r w:rsidR="005626E4" w:rsidRPr="004B082A">
        <w:rPr>
          <w:lang w:val="sr-Cyrl-CS"/>
        </w:rPr>
        <w:t>н</w:t>
      </w:r>
      <w:r w:rsidR="00A6709C" w:rsidRPr="004B082A">
        <w:rPr>
          <w:lang w:val="sr-Cyrl-CS"/>
        </w:rPr>
        <w:t>им субјектом буде пренета на страну која није Зајмопримац, осим ако Банка претходно није дала писмено одобрење за такав пренос.</w:t>
      </w:r>
    </w:p>
    <w:p w14:paraId="39F85B45" w14:textId="7E36BEA9" w:rsidR="004229AB" w:rsidRPr="004B082A" w:rsidRDefault="004229AB" w:rsidP="004229AB">
      <w:pPr>
        <w:pStyle w:val="Heading2"/>
        <w:rPr>
          <w:lang w:val="sr-Cyrl-CS"/>
        </w:rPr>
      </w:pPr>
      <w:bookmarkStart w:id="40" w:name="_Toc144993894"/>
      <w:r w:rsidRPr="004B082A">
        <w:rPr>
          <w:lang w:val="sr-Cyrl-CS"/>
        </w:rPr>
        <w:tab/>
      </w:r>
      <w:r w:rsidRPr="004B082A">
        <w:rPr>
          <w:lang w:val="sr-Cyrl-CS"/>
        </w:rPr>
        <w:tab/>
        <w:t>ЧЛАН V – СТУПАЊЕ НА СНАГУ</w:t>
      </w:r>
      <w:bookmarkEnd w:id="40"/>
    </w:p>
    <w:p w14:paraId="165EBF06" w14:textId="3879515A" w:rsidR="005E0B9D" w:rsidRPr="004B082A" w:rsidRDefault="007D53DE">
      <w:pPr>
        <w:pStyle w:val="Heading2"/>
        <w:rPr>
          <w:lang w:val="sr-Cyrl-CS"/>
        </w:rPr>
      </w:pPr>
      <w:bookmarkStart w:id="41" w:name="_Toc446419988"/>
      <w:bookmarkStart w:id="42" w:name="_Toc446740971"/>
      <w:bookmarkStart w:id="43" w:name="_Toc146535405"/>
      <w:r w:rsidRPr="004B082A">
        <w:rPr>
          <w:lang w:val="sr-Cyrl-CS"/>
        </w:rPr>
        <w:t>Одељак</w:t>
      </w:r>
      <w:r w:rsidR="005E0B9D" w:rsidRPr="004B082A">
        <w:rPr>
          <w:lang w:val="sr-Cyrl-CS"/>
        </w:rPr>
        <w:t xml:space="preserve"> 5.01.</w:t>
      </w:r>
      <w:r w:rsidR="005E0B9D" w:rsidRPr="004B082A">
        <w:rPr>
          <w:lang w:val="sr-Cyrl-CS"/>
        </w:rPr>
        <w:tab/>
      </w:r>
      <w:bookmarkEnd w:id="41"/>
      <w:bookmarkEnd w:id="42"/>
      <w:bookmarkEnd w:id="43"/>
      <w:r w:rsidRPr="004B082A">
        <w:rPr>
          <w:lang w:val="sr-Cyrl-CS"/>
        </w:rPr>
        <w:t>Претходни услови за ступање на снагу</w:t>
      </w:r>
    </w:p>
    <w:p w14:paraId="4BD30EF0" w14:textId="4011661D" w:rsidR="005E0B9D" w:rsidRPr="004B082A" w:rsidRDefault="005E0B9D" w:rsidP="000D4969">
      <w:pPr>
        <w:pStyle w:val="Paragrapha"/>
        <w:rPr>
          <w:lang w:val="sr-Cyrl-CS"/>
        </w:rPr>
      </w:pPr>
      <w:r w:rsidRPr="004B082A">
        <w:rPr>
          <w:lang w:val="sr-Cyrl-CS"/>
        </w:rPr>
        <w:tab/>
      </w:r>
      <w:r w:rsidR="000D4969" w:rsidRPr="004B082A">
        <w:rPr>
          <w:lang w:val="sr-Cyrl-CS"/>
        </w:rPr>
        <w:t>Следеће је наведено за потребе Одељка 9.02(ц) Стандардних услова пословања, као додатни услови за ступање на снагу ово</w:t>
      </w:r>
      <w:r w:rsidR="00091334" w:rsidRPr="004B082A">
        <w:rPr>
          <w:lang w:val="sr-Cyrl-CS"/>
        </w:rPr>
        <w:t>г уговора и Уговора о пројекту</w:t>
      </w:r>
      <w:r w:rsidR="000D4969" w:rsidRPr="004B082A">
        <w:rPr>
          <w:lang w:val="sr-Cyrl-CS"/>
        </w:rPr>
        <w:t>:</w:t>
      </w:r>
    </w:p>
    <w:p w14:paraId="73593501" w14:textId="6240B177" w:rsidR="004834B0" w:rsidRPr="004B082A" w:rsidRDefault="005E0B9D" w:rsidP="004834B0">
      <w:pPr>
        <w:pStyle w:val="Paragrapha"/>
        <w:rPr>
          <w:lang w:val="sr-Cyrl-CS"/>
        </w:rPr>
      </w:pPr>
      <w:r w:rsidRPr="004B082A">
        <w:rPr>
          <w:lang w:val="sr-Cyrl-CS"/>
        </w:rPr>
        <w:t>(</w:t>
      </w:r>
      <w:r w:rsidR="00C369EA" w:rsidRPr="004B082A">
        <w:rPr>
          <w:lang w:val="sr-Cyrl-CS"/>
        </w:rPr>
        <w:t>a</w:t>
      </w:r>
      <w:r w:rsidRPr="004B082A">
        <w:rPr>
          <w:lang w:val="sr-Cyrl-CS"/>
        </w:rPr>
        <w:t>)</w:t>
      </w:r>
      <w:r w:rsidR="00FD3B2D" w:rsidRPr="004B082A">
        <w:rPr>
          <w:lang w:val="sr-Cyrl-CS"/>
        </w:rPr>
        <w:tab/>
      </w:r>
      <w:r w:rsidR="00256A2A" w:rsidRPr="004B082A">
        <w:rPr>
          <w:lang w:val="sr-Cyrl-CS"/>
        </w:rPr>
        <w:t xml:space="preserve"> </w:t>
      </w:r>
      <w:r w:rsidR="00FC1DA3" w:rsidRPr="004B082A">
        <w:rPr>
          <w:lang w:val="sr-Cyrl-CS"/>
        </w:rPr>
        <w:t>р</w:t>
      </w:r>
      <w:r w:rsidR="007F5410" w:rsidRPr="004B082A">
        <w:rPr>
          <w:lang w:val="sr-Cyrl-CS"/>
        </w:rPr>
        <w:t>атификација овог уговора</w:t>
      </w:r>
      <w:r w:rsidR="004834B0" w:rsidRPr="004B082A">
        <w:rPr>
          <w:lang w:val="sr-Cyrl-CS"/>
        </w:rPr>
        <w:t xml:space="preserve">  од стране Народне Скупштине Републике Србије и објављивање ратификације у Службеном гласнику Републике Србије;</w:t>
      </w:r>
    </w:p>
    <w:p w14:paraId="2AB76DAE" w14:textId="3B1EBEAE" w:rsidR="002E2C80" w:rsidRPr="004B082A" w:rsidRDefault="004834B0">
      <w:pPr>
        <w:pStyle w:val="Paragrapha"/>
        <w:rPr>
          <w:lang w:val="sr-Cyrl-CS"/>
        </w:rPr>
      </w:pPr>
      <w:r w:rsidRPr="004B082A">
        <w:rPr>
          <w:lang w:val="sr-Cyrl-CS"/>
        </w:rPr>
        <w:t xml:space="preserve"> </w:t>
      </w:r>
      <w:r w:rsidR="005E0B9D" w:rsidRPr="004B082A">
        <w:rPr>
          <w:lang w:val="sr-Cyrl-CS"/>
        </w:rPr>
        <w:t>(</w:t>
      </w:r>
      <w:r w:rsidR="007E4CEC" w:rsidRPr="004B082A">
        <w:rPr>
          <w:lang w:val="sr-Cyrl-CS"/>
        </w:rPr>
        <w:t>б</w:t>
      </w:r>
      <w:r w:rsidR="005E0B9D" w:rsidRPr="004B082A">
        <w:rPr>
          <w:lang w:val="sr-Cyrl-CS"/>
        </w:rPr>
        <w:t>)</w:t>
      </w:r>
      <w:r w:rsidR="00B40B2C" w:rsidRPr="004B082A">
        <w:rPr>
          <w:lang w:val="sr-Cyrl-CS"/>
        </w:rPr>
        <w:tab/>
      </w:r>
      <w:r w:rsidR="005E0B9D" w:rsidRPr="004B082A">
        <w:rPr>
          <w:lang w:val="sr-Cyrl-CS"/>
        </w:rPr>
        <w:t xml:space="preserve"> </w:t>
      </w:r>
      <w:r w:rsidR="009A66FD" w:rsidRPr="004B082A">
        <w:rPr>
          <w:lang w:val="sr-Cyrl-CS"/>
        </w:rPr>
        <w:t>Уговор о пројекту</w:t>
      </w:r>
      <w:r w:rsidR="002E2C80" w:rsidRPr="004B082A">
        <w:rPr>
          <w:lang w:val="sr-Cyrl-CS"/>
        </w:rPr>
        <w:t xml:space="preserve">, у </w:t>
      </w:r>
      <w:r w:rsidR="00F40198" w:rsidRPr="004B082A">
        <w:rPr>
          <w:lang w:val="sr-Cyrl-CS"/>
        </w:rPr>
        <w:t xml:space="preserve">форми и </w:t>
      </w:r>
      <w:r w:rsidR="005626E4" w:rsidRPr="004B082A">
        <w:rPr>
          <w:lang w:val="sr-Cyrl-CS"/>
        </w:rPr>
        <w:t>садржају који је</w:t>
      </w:r>
      <w:r w:rsidR="00F40198" w:rsidRPr="004B082A">
        <w:rPr>
          <w:lang w:val="sr-Cyrl-CS"/>
        </w:rPr>
        <w:t xml:space="preserve"> задовољавајући</w:t>
      </w:r>
      <w:r w:rsidR="002E2C80" w:rsidRPr="004B082A">
        <w:rPr>
          <w:lang w:val="sr-Cyrl-CS"/>
        </w:rPr>
        <w:t xml:space="preserve"> за Банку, је извршен и достављен и испуњени су сви услови који су претходили његовој ефективности; и</w:t>
      </w:r>
    </w:p>
    <w:p w14:paraId="53296B99" w14:textId="2E7180FA" w:rsidR="002B48E2" w:rsidRPr="004B082A" w:rsidRDefault="00B40B2C">
      <w:pPr>
        <w:pStyle w:val="Paragrapha"/>
        <w:rPr>
          <w:lang w:val="sr-Cyrl-CS"/>
        </w:rPr>
      </w:pPr>
      <w:r w:rsidRPr="004B082A">
        <w:rPr>
          <w:lang w:val="sr-Cyrl-CS"/>
        </w:rPr>
        <w:t>(</w:t>
      </w:r>
      <w:r w:rsidR="007E4CEC" w:rsidRPr="004B082A">
        <w:rPr>
          <w:lang w:val="sr-Cyrl-CS"/>
        </w:rPr>
        <w:t>ц</w:t>
      </w:r>
      <w:r w:rsidRPr="004B082A">
        <w:rPr>
          <w:lang w:val="sr-Cyrl-CS"/>
        </w:rPr>
        <w:t xml:space="preserve">) </w:t>
      </w:r>
      <w:r w:rsidR="00256A2A" w:rsidRPr="004B082A">
        <w:rPr>
          <w:lang w:val="sr-Cyrl-CS"/>
        </w:rPr>
        <w:tab/>
      </w:r>
      <w:r w:rsidR="004C571D" w:rsidRPr="004B082A">
        <w:rPr>
          <w:lang w:val="sr-Cyrl-CS"/>
        </w:rPr>
        <w:t>свако од мишљења наведених у Одељку 5.03.(а) и Одељку 5.03.(б) овог уговора је достављено Банци у форми и садржају кој</w:t>
      </w:r>
      <w:r w:rsidR="005626E4" w:rsidRPr="004B082A">
        <w:rPr>
          <w:lang w:val="sr-Cyrl-CS"/>
        </w:rPr>
        <w:t>е је задовољавајуће</w:t>
      </w:r>
      <w:r w:rsidR="004C571D" w:rsidRPr="004B082A">
        <w:rPr>
          <w:lang w:val="sr-Cyrl-CS"/>
        </w:rPr>
        <w:t xml:space="preserve"> за Банку.</w:t>
      </w:r>
    </w:p>
    <w:p w14:paraId="7711AA8A" w14:textId="53748FD5" w:rsidR="00B14ECE" w:rsidRPr="004B082A" w:rsidRDefault="0010260D" w:rsidP="00CB7685">
      <w:pPr>
        <w:pStyle w:val="Heading2"/>
        <w:rPr>
          <w:lang w:val="sr-Cyrl-CS"/>
        </w:rPr>
      </w:pPr>
      <w:bookmarkStart w:id="44" w:name="_Toc146535406"/>
      <w:r w:rsidRPr="004B082A">
        <w:rPr>
          <w:lang w:val="sr-Cyrl-CS"/>
        </w:rPr>
        <w:lastRenderedPageBreak/>
        <w:t>Одељак</w:t>
      </w:r>
      <w:r w:rsidR="00B14ECE" w:rsidRPr="004B082A">
        <w:rPr>
          <w:lang w:val="sr-Cyrl-CS"/>
        </w:rPr>
        <w:t xml:space="preserve"> 5.02.</w:t>
      </w:r>
      <w:r w:rsidR="00B14ECE" w:rsidRPr="004B082A">
        <w:rPr>
          <w:lang w:val="sr-Cyrl-CS"/>
        </w:rPr>
        <w:tab/>
      </w:r>
      <w:r w:rsidR="00484B56" w:rsidRPr="004B082A">
        <w:rPr>
          <w:lang w:val="sr-Cyrl-CS"/>
        </w:rPr>
        <w:t xml:space="preserve">Претходни услови за прво повлачење </w:t>
      </w:r>
      <w:bookmarkEnd w:id="44"/>
    </w:p>
    <w:p w14:paraId="7BC867CA" w14:textId="1BBDD482" w:rsidR="00B14ECE" w:rsidRPr="004B082A" w:rsidRDefault="006A48B2" w:rsidP="00B14ECE">
      <w:pPr>
        <w:pStyle w:val="Paragrapha"/>
        <w:rPr>
          <w:lang w:val="sr-Cyrl-CS"/>
        </w:rPr>
      </w:pPr>
      <w:r w:rsidRPr="004B082A">
        <w:rPr>
          <w:lang w:val="sr-Cyrl-CS"/>
        </w:rPr>
        <w:tab/>
      </w:r>
      <w:r w:rsidR="001852B4" w:rsidRPr="004B082A">
        <w:rPr>
          <w:lang w:val="sr-Cyrl-CS"/>
        </w:rPr>
        <w:t xml:space="preserve">Следеће је наведено као додатни услови за прво </w:t>
      </w:r>
      <w:r w:rsidR="005626E4" w:rsidRPr="004B082A">
        <w:rPr>
          <w:lang w:val="sr-Cyrl-CS"/>
        </w:rPr>
        <w:t>П</w:t>
      </w:r>
      <w:r w:rsidR="001852B4" w:rsidRPr="004B082A">
        <w:rPr>
          <w:lang w:val="sr-Cyrl-CS"/>
        </w:rPr>
        <w:t xml:space="preserve">овлачење по овом уговору:  </w:t>
      </w:r>
    </w:p>
    <w:p w14:paraId="72585CBC" w14:textId="270D2F66" w:rsidR="00876034" w:rsidRPr="004B082A" w:rsidRDefault="00826E21" w:rsidP="00826E21">
      <w:pPr>
        <w:pStyle w:val="Paragrapha"/>
        <w:rPr>
          <w:lang w:val="sr-Cyrl-CS"/>
        </w:rPr>
      </w:pPr>
      <w:r w:rsidRPr="004B082A">
        <w:rPr>
          <w:lang w:val="sr-Cyrl-CS"/>
        </w:rPr>
        <w:t>(a)</w:t>
      </w:r>
      <w:r w:rsidRPr="004B082A">
        <w:rPr>
          <w:lang w:val="sr-Cyrl-CS"/>
        </w:rPr>
        <w:tab/>
      </w:r>
      <w:r w:rsidR="00876034" w:rsidRPr="004B082A">
        <w:rPr>
          <w:lang w:val="sr-Cyrl-CS"/>
        </w:rPr>
        <w:t xml:space="preserve">Зајмопримац је успоставио </w:t>
      </w:r>
      <w:r w:rsidR="005626E4" w:rsidRPr="004B082A">
        <w:rPr>
          <w:lang w:val="sr-Cyrl-CS"/>
        </w:rPr>
        <w:t>ц</w:t>
      </w:r>
      <w:r w:rsidR="00876034" w:rsidRPr="004B082A">
        <w:rPr>
          <w:lang w:val="sr-Cyrl-CS"/>
        </w:rPr>
        <w:t>ентралну јединицу за имплементацију пројекта, делујући преко МРЕ, са адекватним ресурсима и одговарајуће квалификованим осо</w:t>
      </w:r>
      <w:r w:rsidR="005626E4" w:rsidRPr="004B082A">
        <w:rPr>
          <w:lang w:val="sr-Cyrl-CS"/>
        </w:rPr>
        <w:t>бљем, у форми и садржају који је</w:t>
      </w:r>
      <w:r w:rsidR="00876034" w:rsidRPr="004B082A">
        <w:rPr>
          <w:lang w:val="sr-Cyrl-CS"/>
        </w:rPr>
        <w:t xml:space="preserve"> задовољавајући за Банку, и </w:t>
      </w:r>
      <w:r w:rsidR="005626E4" w:rsidRPr="004B082A">
        <w:rPr>
          <w:lang w:val="sr-Cyrl-CS"/>
        </w:rPr>
        <w:t>која је оперативна</w:t>
      </w:r>
      <w:r w:rsidR="00876034" w:rsidRPr="004B082A">
        <w:rPr>
          <w:lang w:val="sr-Cyrl-CS"/>
        </w:rPr>
        <w:t>;</w:t>
      </w:r>
    </w:p>
    <w:p w14:paraId="1452F89D" w14:textId="6B97D85A" w:rsidR="0044351B" w:rsidRPr="004B082A" w:rsidRDefault="007E4CEC" w:rsidP="00826E21">
      <w:pPr>
        <w:pStyle w:val="Paragrapha"/>
        <w:rPr>
          <w:lang w:val="sr-Cyrl-CS"/>
        </w:rPr>
      </w:pPr>
      <w:r w:rsidRPr="004B082A">
        <w:rPr>
          <w:lang w:val="sr-Cyrl-CS"/>
        </w:rPr>
        <w:t>(б</w:t>
      </w:r>
      <w:r w:rsidR="00826E21" w:rsidRPr="004B082A">
        <w:rPr>
          <w:lang w:val="sr-Cyrl-CS"/>
        </w:rPr>
        <w:t>)</w:t>
      </w:r>
      <w:r w:rsidR="00826E21" w:rsidRPr="004B082A">
        <w:rPr>
          <w:lang w:val="sr-Cyrl-CS"/>
        </w:rPr>
        <w:tab/>
      </w:r>
      <w:r w:rsidR="00872897" w:rsidRPr="004B082A">
        <w:rPr>
          <w:lang w:val="sr-Cyrl-CS"/>
        </w:rPr>
        <w:t xml:space="preserve">Уговор о гранту </w:t>
      </w:r>
      <w:r w:rsidR="00BA2722" w:rsidRPr="004B082A">
        <w:rPr>
          <w:lang w:val="sr-Cyrl-CS"/>
        </w:rPr>
        <w:t>SECO</w:t>
      </w:r>
      <w:r w:rsidR="00DD7E68" w:rsidRPr="004B082A">
        <w:rPr>
          <w:lang w:val="sr-Cyrl-CS"/>
        </w:rPr>
        <w:t xml:space="preserve"> </w:t>
      </w:r>
      <w:r w:rsidR="00BA2722" w:rsidRPr="004B082A">
        <w:rPr>
          <w:lang w:val="sr-Cyrl-CS"/>
        </w:rPr>
        <w:t>и</w:t>
      </w:r>
      <w:r w:rsidR="00DD7E68" w:rsidRPr="004B082A">
        <w:rPr>
          <w:lang w:val="sr-Cyrl-CS"/>
        </w:rPr>
        <w:t xml:space="preserve"> </w:t>
      </w:r>
      <w:r w:rsidR="00BA2722" w:rsidRPr="004B082A">
        <w:rPr>
          <w:lang w:val="sr-Cyrl-CS"/>
        </w:rPr>
        <w:t xml:space="preserve">REEP Уговор о гранту </w:t>
      </w:r>
      <w:r w:rsidR="0044351B" w:rsidRPr="004B082A">
        <w:rPr>
          <w:lang w:val="sr-Cyrl-CS"/>
        </w:rPr>
        <w:t xml:space="preserve">су </w:t>
      </w:r>
      <w:r w:rsidR="005626E4" w:rsidRPr="004B082A">
        <w:rPr>
          <w:lang w:val="sr-Cyrl-CS"/>
        </w:rPr>
        <w:t>потписани</w:t>
      </w:r>
      <w:r w:rsidR="0044351B" w:rsidRPr="004B082A">
        <w:rPr>
          <w:lang w:val="sr-Cyrl-CS"/>
        </w:rPr>
        <w:t xml:space="preserve"> и достављени и испуњени су сви </w:t>
      </w:r>
      <w:r w:rsidR="005626E4" w:rsidRPr="004B082A">
        <w:rPr>
          <w:lang w:val="sr-Cyrl-CS"/>
        </w:rPr>
        <w:t>пред</w:t>
      </w:r>
      <w:r w:rsidR="0044351B" w:rsidRPr="004B082A">
        <w:rPr>
          <w:lang w:val="sr-Cyrl-CS"/>
        </w:rPr>
        <w:t xml:space="preserve">услови </w:t>
      </w:r>
      <w:r w:rsidR="005626E4" w:rsidRPr="004B082A">
        <w:rPr>
          <w:lang w:val="sr-Cyrl-CS"/>
        </w:rPr>
        <w:t>за њихову</w:t>
      </w:r>
      <w:r w:rsidR="0044351B" w:rsidRPr="004B082A">
        <w:rPr>
          <w:lang w:val="sr-Cyrl-CS"/>
        </w:rPr>
        <w:t xml:space="preserve"> ефектив</w:t>
      </w:r>
      <w:r w:rsidR="005626E4" w:rsidRPr="004B082A">
        <w:rPr>
          <w:lang w:val="sr-Cyrl-CS"/>
        </w:rPr>
        <w:t>ност или право</w:t>
      </w:r>
      <w:r w:rsidR="0044351B" w:rsidRPr="004B082A">
        <w:rPr>
          <w:lang w:val="sr-Cyrl-CS"/>
        </w:rPr>
        <w:t xml:space="preserve"> За</w:t>
      </w:r>
      <w:r w:rsidR="005626E4" w:rsidRPr="004B082A">
        <w:rPr>
          <w:lang w:val="sr-Cyrl-CS"/>
        </w:rPr>
        <w:t>јмопримца да изврши повлачења према</w:t>
      </w:r>
      <w:r w:rsidR="0044351B" w:rsidRPr="004B082A">
        <w:rPr>
          <w:lang w:val="sr-Cyrl-CS"/>
        </w:rPr>
        <w:t xml:space="preserve"> њима;</w:t>
      </w:r>
    </w:p>
    <w:p w14:paraId="7BAAEE4C" w14:textId="1D09C2C6" w:rsidR="000E1203" w:rsidRPr="004B082A" w:rsidRDefault="007E4CEC" w:rsidP="00826E21">
      <w:pPr>
        <w:pStyle w:val="Paragrapha"/>
        <w:rPr>
          <w:lang w:val="sr-Cyrl-CS"/>
        </w:rPr>
      </w:pPr>
      <w:r w:rsidRPr="004B082A">
        <w:rPr>
          <w:lang w:val="sr-Cyrl-CS"/>
        </w:rPr>
        <w:t>(ц</w:t>
      </w:r>
      <w:r w:rsidR="00826E21" w:rsidRPr="004B082A">
        <w:rPr>
          <w:lang w:val="sr-Cyrl-CS"/>
        </w:rPr>
        <w:t>)</w:t>
      </w:r>
      <w:r w:rsidR="00826E21" w:rsidRPr="004B082A">
        <w:rPr>
          <w:lang w:val="sr-Cyrl-CS"/>
        </w:rPr>
        <w:tab/>
      </w:r>
      <w:r w:rsidR="005626E4" w:rsidRPr="004B082A">
        <w:rPr>
          <w:lang w:val="sr-Cyrl-CS"/>
        </w:rPr>
        <w:t>У</w:t>
      </w:r>
      <w:r w:rsidR="000E1203" w:rsidRPr="004B082A">
        <w:rPr>
          <w:lang w:val="sr-Cyrl-CS"/>
        </w:rPr>
        <w:t>говори су закључени и достављени у форми и садржају који су задовољавајући за банку</w:t>
      </w:r>
      <w:r w:rsidR="0066434B" w:rsidRPr="004B082A">
        <w:rPr>
          <w:lang w:val="sr-Cyrl-CS"/>
        </w:rPr>
        <w:t>;</w:t>
      </w:r>
    </w:p>
    <w:p w14:paraId="64F3E23E" w14:textId="11835F2C" w:rsidR="00036879" w:rsidRPr="004B082A" w:rsidRDefault="007E4CEC" w:rsidP="00826E21">
      <w:pPr>
        <w:pStyle w:val="Paragrapha"/>
        <w:rPr>
          <w:lang w:val="sr-Cyrl-CS"/>
        </w:rPr>
      </w:pPr>
      <w:r w:rsidRPr="004B082A">
        <w:rPr>
          <w:lang w:val="sr-Cyrl-CS"/>
        </w:rPr>
        <w:t>(д</w:t>
      </w:r>
      <w:r w:rsidR="00826E21" w:rsidRPr="004B082A">
        <w:rPr>
          <w:lang w:val="sr-Cyrl-CS"/>
        </w:rPr>
        <w:t>)</w:t>
      </w:r>
      <w:r w:rsidR="003949D1" w:rsidRPr="004B082A">
        <w:rPr>
          <w:lang w:val="sr-Cyrl-CS"/>
        </w:rPr>
        <w:t xml:space="preserve"> </w:t>
      </w:r>
      <w:r w:rsidR="0057648A" w:rsidRPr="004B082A">
        <w:rPr>
          <w:lang w:val="sr-Cyrl-CS"/>
        </w:rPr>
        <w:tab/>
      </w:r>
      <w:r w:rsidR="005626E4" w:rsidRPr="004B082A">
        <w:rPr>
          <w:lang w:val="sr-Cyrl-CS"/>
        </w:rPr>
        <w:t>Зајмопримац је именовао</w:t>
      </w:r>
      <w:r w:rsidR="00036879" w:rsidRPr="004B082A">
        <w:rPr>
          <w:lang w:val="sr-Cyrl-CS"/>
        </w:rPr>
        <w:t xml:space="preserve"> независног инжењера</w:t>
      </w:r>
      <w:r w:rsidR="00B25C15" w:rsidRPr="004B082A">
        <w:rPr>
          <w:lang w:val="sr-Cyrl-CS"/>
        </w:rPr>
        <w:t>, који делује преко МРЕ</w:t>
      </w:r>
      <w:r w:rsidR="00036879" w:rsidRPr="004B082A">
        <w:rPr>
          <w:lang w:val="sr-Cyrl-CS"/>
        </w:rPr>
        <w:t xml:space="preserve">, </w:t>
      </w:r>
      <w:r w:rsidR="005626E4" w:rsidRPr="004B082A">
        <w:rPr>
          <w:lang w:val="sr-Cyrl-CS"/>
        </w:rPr>
        <w:t>да надгледа</w:t>
      </w:r>
      <w:r w:rsidR="00036879" w:rsidRPr="004B082A">
        <w:rPr>
          <w:lang w:val="sr-Cyrl-CS"/>
        </w:rPr>
        <w:t xml:space="preserve"> грађевинске радове на Пројекту</w:t>
      </w:r>
      <w:r w:rsidR="005626E4" w:rsidRPr="004B082A">
        <w:rPr>
          <w:lang w:val="sr-Cyrl-CS"/>
        </w:rPr>
        <w:t>, у форми и садржају који су задовољавајући за Банку</w:t>
      </w:r>
      <w:r w:rsidR="00B25C15" w:rsidRPr="004B082A">
        <w:rPr>
          <w:lang w:val="sr-Cyrl-CS"/>
        </w:rPr>
        <w:t>;</w:t>
      </w:r>
    </w:p>
    <w:p w14:paraId="01A0F8E9" w14:textId="333778E9" w:rsidR="0057648A" w:rsidRPr="004B082A" w:rsidRDefault="00826E21" w:rsidP="00826E21">
      <w:pPr>
        <w:pStyle w:val="Paragrapha"/>
        <w:rPr>
          <w:lang w:val="sr-Cyrl-CS"/>
        </w:rPr>
      </w:pPr>
      <w:r w:rsidRPr="004B082A">
        <w:rPr>
          <w:lang w:val="sr-Cyrl-CS"/>
        </w:rPr>
        <w:t>(e)</w:t>
      </w:r>
      <w:r w:rsidRPr="004B082A">
        <w:rPr>
          <w:lang w:val="sr-Cyrl-CS"/>
        </w:rPr>
        <w:tab/>
      </w:r>
      <w:r w:rsidR="0057648A" w:rsidRPr="004B082A">
        <w:rPr>
          <w:lang w:val="sr-Cyrl-CS"/>
        </w:rPr>
        <w:t>мишљење наведено у Одељку 5.03.(ц) овог уговора је достављено Банци у форми и садржају који је задовољавајући за Банку; и</w:t>
      </w:r>
    </w:p>
    <w:p w14:paraId="28A96885" w14:textId="62F55D5B" w:rsidR="006F41EA" w:rsidRPr="004B082A" w:rsidRDefault="007E4CEC" w:rsidP="00826E21">
      <w:pPr>
        <w:pStyle w:val="Paragrapha"/>
        <w:rPr>
          <w:lang w:val="sr-Cyrl-CS"/>
        </w:rPr>
      </w:pPr>
      <w:r w:rsidRPr="004B082A">
        <w:rPr>
          <w:lang w:val="sr-Cyrl-CS"/>
        </w:rPr>
        <w:t>(ф</w:t>
      </w:r>
      <w:r w:rsidR="00826E21" w:rsidRPr="004B082A">
        <w:rPr>
          <w:lang w:val="sr-Cyrl-CS"/>
        </w:rPr>
        <w:t>)</w:t>
      </w:r>
      <w:r w:rsidR="00826E21" w:rsidRPr="004B082A">
        <w:rPr>
          <w:lang w:val="sr-Cyrl-CS"/>
        </w:rPr>
        <w:tab/>
      </w:r>
      <w:r w:rsidR="006F41EA" w:rsidRPr="004B082A">
        <w:rPr>
          <w:lang w:val="sr-Cyrl-CS"/>
        </w:rPr>
        <w:t xml:space="preserve">Банка ће примити, у форми и садржају који је задовољавајући за Банку, све друге </w:t>
      </w:r>
      <w:r w:rsidR="005626E4" w:rsidRPr="004B082A">
        <w:rPr>
          <w:lang w:val="sr-Cyrl-CS"/>
        </w:rPr>
        <w:t>пред</w:t>
      </w:r>
      <w:r w:rsidR="006F41EA" w:rsidRPr="004B082A">
        <w:rPr>
          <w:lang w:val="sr-Cyrl-CS"/>
        </w:rPr>
        <w:t>услове које Банка може, по сопственом нахођењу, разумно захтевати.</w:t>
      </w:r>
    </w:p>
    <w:p w14:paraId="24BECAE3" w14:textId="41500207" w:rsidR="005E0B9D" w:rsidRPr="004B082A" w:rsidRDefault="00D826A9">
      <w:pPr>
        <w:pStyle w:val="Heading2"/>
        <w:rPr>
          <w:lang w:val="sr-Cyrl-CS"/>
        </w:rPr>
      </w:pPr>
      <w:bookmarkStart w:id="45" w:name="_Toc446419989"/>
      <w:bookmarkStart w:id="46" w:name="_Toc446740972"/>
      <w:bookmarkStart w:id="47" w:name="_Toc146535407"/>
      <w:r w:rsidRPr="004B082A">
        <w:rPr>
          <w:lang w:val="sr-Cyrl-CS"/>
        </w:rPr>
        <w:t>Одељак</w:t>
      </w:r>
      <w:r w:rsidR="005E0B9D" w:rsidRPr="004B082A">
        <w:rPr>
          <w:lang w:val="sr-Cyrl-CS"/>
        </w:rPr>
        <w:t xml:space="preserve"> 5.</w:t>
      </w:r>
      <w:r w:rsidR="00B14ECE" w:rsidRPr="004B082A">
        <w:rPr>
          <w:lang w:val="sr-Cyrl-CS"/>
        </w:rPr>
        <w:t>03</w:t>
      </w:r>
      <w:r w:rsidR="005E0B9D" w:rsidRPr="004B082A">
        <w:rPr>
          <w:lang w:val="sr-Cyrl-CS"/>
        </w:rPr>
        <w:t>.</w:t>
      </w:r>
      <w:r w:rsidR="005E0B9D" w:rsidRPr="004B082A">
        <w:rPr>
          <w:lang w:val="sr-Cyrl-CS"/>
        </w:rPr>
        <w:tab/>
      </w:r>
      <w:bookmarkEnd w:id="45"/>
      <w:bookmarkEnd w:id="46"/>
      <w:bookmarkEnd w:id="47"/>
      <w:r w:rsidRPr="004B082A">
        <w:rPr>
          <w:lang w:val="sr-Cyrl-CS"/>
        </w:rPr>
        <w:t>Правна мишљења</w:t>
      </w:r>
    </w:p>
    <w:p w14:paraId="204E42DE" w14:textId="2BFD5076" w:rsidR="00FA4B2E" w:rsidRPr="004B082A" w:rsidRDefault="005E0B9D" w:rsidP="007C2948">
      <w:pPr>
        <w:pStyle w:val="Paragrapha"/>
        <w:rPr>
          <w:lang w:val="sr-Cyrl-CS"/>
        </w:rPr>
      </w:pPr>
      <w:r w:rsidRPr="004B082A">
        <w:rPr>
          <w:lang w:val="sr-Cyrl-CS"/>
        </w:rPr>
        <w:t>(a)</w:t>
      </w:r>
      <w:r w:rsidR="0033058A" w:rsidRPr="004B082A">
        <w:rPr>
          <w:lang w:val="sr-Cyrl-CS"/>
        </w:rPr>
        <w:tab/>
      </w:r>
      <w:bookmarkStart w:id="48" w:name="_Toc446419990"/>
      <w:bookmarkStart w:id="49" w:name="_Toc446740973"/>
      <w:r w:rsidR="00EB6A5D" w:rsidRPr="004B082A">
        <w:rPr>
          <w:lang w:val="sr-Cyrl-CS"/>
        </w:rPr>
        <w:t>з</w:t>
      </w:r>
      <w:r w:rsidR="00F41EA8" w:rsidRPr="004B082A">
        <w:rPr>
          <w:lang w:val="sr-Cyrl-CS"/>
        </w:rPr>
        <w:t>а потребе О</w:t>
      </w:r>
      <w:r w:rsidR="00FA4B2E" w:rsidRPr="004B082A">
        <w:rPr>
          <w:lang w:val="sr-Cyrl-CS"/>
        </w:rPr>
        <w:t xml:space="preserve">дељка 9.03(а) Стандардних услова </w:t>
      </w:r>
      <w:r w:rsidR="00B158E7" w:rsidRPr="004B082A">
        <w:rPr>
          <w:lang w:val="sr-Cyrl-CS"/>
        </w:rPr>
        <w:t>пословања</w:t>
      </w:r>
      <w:r w:rsidR="00FA4B2E" w:rsidRPr="004B082A">
        <w:rPr>
          <w:lang w:val="sr-Cyrl-CS"/>
        </w:rPr>
        <w:t xml:space="preserve">, у форми и садржају </w:t>
      </w:r>
      <w:r w:rsidR="00F41EA8" w:rsidRPr="004B082A">
        <w:rPr>
          <w:lang w:val="sr-Cyrl-CS"/>
        </w:rPr>
        <w:t xml:space="preserve">који су прихватљиви </w:t>
      </w:r>
      <w:r w:rsidR="00FA4B2E" w:rsidRPr="004B082A">
        <w:rPr>
          <w:lang w:val="sr-Cyrl-CS"/>
        </w:rPr>
        <w:t xml:space="preserve">за Банку, </w:t>
      </w:r>
      <w:r w:rsidR="00EB6A5D" w:rsidRPr="004B082A">
        <w:rPr>
          <w:lang w:val="sr-Cyrl-CS"/>
        </w:rPr>
        <w:t>мишљење или мишљења правног саветника ће у име Зајмопримца дати Министарство правде, потврђујући да ј</w:t>
      </w:r>
      <w:r w:rsidR="00BD1FDE" w:rsidRPr="004B082A">
        <w:rPr>
          <w:lang w:val="sr-Cyrl-CS"/>
        </w:rPr>
        <w:t>е овај уговор Зајмопримац прописно овластио или ратификовао</w:t>
      </w:r>
      <w:r w:rsidR="00EB6A5D" w:rsidRPr="004B082A">
        <w:rPr>
          <w:lang w:val="sr-Cyrl-CS"/>
        </w:rPr>
        <w:t xml:space="preserve"> </w:t>
      </w:r>
      <w:r w:rsidR="00BD1FDE" w:rsidRPr="004B082A">
        <w:rPr>
          <w:lang w:val="sr-Cyrl-CS"/>
        </w:rPr>
        <w:t>и да је достављен</w:t>
      </w:r>
      <w:r w:rsidR="00EB6A5D" w:rsidRPr="004B082A">
        <w:rPr>
          <w:lang w:val="sr-Cyrl-CS"/>
        </w:rPr>
        <w:t xml:space="preserve"> у</w:t>
      </w:r>
      <w:r w:rsidR="00BD1FDE" w:rsidRPr="004B082A">
        <w:rPr>
          <w:lang w:val="sr-Cyrl-CS"/>
        </w:rPr>
        <w:t xml:space="preserve"> његово</w:t>
      </w:r>
      <w:r w:rsidR="00EB6A5D" w:rsidRPr="004B082A">
        <w:rPr>
          <w:lang w:val="sr-Cyrl-CS"/>
        </w:rPr>
        <w:t xml:space="preserve"> име и </w:t>
      </w:r>
      <w:r w:rsidR="00BD1FDE" w:rsidRPr="004B082A">
        <w:rPr>
          <w:lang w:val="sr-Cyrl-CS"/>
        </w:rPr>
        <w:t xml:space="preserve">да </w:t>
      </w:r>
      <w:r w:rsidR="00EB6A5D" w:rsidRPr="004B082A">
        <w:rPr>
          <w:lang w:val="sr-Cyrl-CS"/>
        </w:rPr>
        <w:t xml:space="preserve">представља важећу и правно обавезујућу обавезу Зајмопримца, </w:t>
      </w:r>
      <w:r w:rsidR="00BD1FDE" w:rsidRPr="004B082A">
        <w:rPr>
          <w:lang w:val="sr-Cyrl-CS"/>
        </w:rPr>
        <w:t>применљиву у складу са својим условима</w:t>
      </w:r>
      <w:r w:rsidR="00EB6A5D" w:rsidRPr="004B082A">
        <w:rPr>
          <w:lang w:val="sr-Cyrl-CS"/>
        </w:rPr>
        <w:t>.</w:t>
      </w:r>
    </w:p>
    <w:p w14:paraId="50AEB569" w14:textId="4EB73D80" w:rsidR="005A7713" w:rsidRPr="004B082A" w:rsidRDefault="00826E21" w:rsidP="007C2948">
      <w:pPr>
        <w:pStyle w:val="Paragrapha"/>
        <w:rPr>
          <w:lang w:val="sr-Cyrl-CS"/>
        </w:rPr>
      </w:pPr>
      <w:r w:rsidRPr="004B082A">
        <w:rPr>
          <w:lang w:val="sr-Cyrl-CS"/>
        </w:rPr>
        <w:t>(</w:t>
      </w:r>
      <w:r w:rsidR="00BC69C1" w:rsidRPr="004B082A">
        <w:rPr>
          <w:lang w:val="sr-Cyrl-CS"/>
        </w:rPr>
        <w:t>б</w:t>
      </w:r>
      <w:r w:rsidRPr="004B082A">
        <w:rPr>
          <w:lang w:val="sr-Cyrl-CS"/>
        </w:rPr>
        <w:t>)</w:t>
      </w:r>
      <w:r w:rsidRPr="004B082A">
        <w:rPr>
          <w:lang w:val="sr-Cyrl-CS"/>
        </w:rPr>
        <w:tab/>
      </w:r>
      <w:r w:rsidR="0036128E" w:rsidRPr="004B082A">
        <w:rPr>
          <w:lang w:val="sr-Cyrl-CS"/>
        </w:rPr>
        <w:t xml:space="preserve"> з</w:t>
      </w:r>
      <w:r w:rsidR="005A7713" w:rsidRPr="004B082A">
        <w:rPr>
          <w:lang w:val="sr-Cyrl-CS"/>
        </w:rPr>
        <w:t xml:space="preserve">а потребе Одељка 9.03(ц) Стандардних услова </w:t>
      </w:r>
      <w:r w:rsidR="00B158E7" w:rsidRPr="004B082A">
        <w:rPr>
          <w:lang w:val="sr-Cyrl-CS"/>
        </w:rPr>
        <w:t>пословања</w:t>
      </w:r>
      <w:r w:rsidR="005A7713" w:rsidRPr="004B082A">
        <w:rPr>
          <w:lang w:val="sr-Cyrl-CS"/>
        </w:rPr>
        <w:t xml:space="preserve">, у форми и садржају који су прихватљиви за Банку, мишљење или мишљења </w:t>
      </w:r>
      <w:r w:rsidR="0036128E" w:rsidRPr="004B082A">
        <w:rPr>
          <w:lang w:val="sr-Cyrl-CS"/>
        </w:rPr>
        <w:t xml:space="preserve">правног </w:t>
      </w:r>
      <w:r w:rsidR="005A7713" w:rsidRPr="004B082A">
        <w:rPr>
          <w:lang w:val="sr-Cyrl-CS"/>
        </w:rPr>
        <w:t>саветника ће у име Зај</w:t>
      </w:r>
      <w:r w:rsidR="0036128E" w:rsidRPr="004B082A">
        <w:rPr>
          <w:lang w:val="sr-Cyrl-CS"/>
        </w:rPr>
        <w:t>мопримца (који делује преко МРЕ</w:t>
      </w:r>
      <w:r w:rsidR="005A7713" w:rsidRPr="004B082A">
        <w:rPr>
          <w:lang w:val="sr-Cyrl-CS"/>
        </w:rPr>
        <w:t>) дати Министарство правде потврђујући да је</w:t>
      </w:r>
      <w:r w:rsidR="0036128E" w:rsidRPr="004B082A">
        <w:rPr>
          <w:lang w:val="sr-Cyrl-CS"/>
        </w:rPr>
        <w:t xml:space="preserve"> Зајмопримац</w:t>
      </w:r>
      <w:r w:rsidR="005A7713" w:rsidRPr="004B082A">
        <w:rPr>
          <w:lang w:val="sr-Cyrl-CS"/>
        </w:rPr>
        <w:t xml:space="preserve"> прописно овла</w:t>
      </w:r>
      <w:r w:rsidR="0036128E" w:rsidRPr="004B082A">
        <w:rPr>
          <w:lang w:val="sr-Cyrl-CS"/>
        </w:rPr>
        <w:t>стио или ратификовао Уговор о пројекту</w:t>
      </w:r>
      <w:r w:rsidR="005A7713" w:rsidRPr="004B082A">
        <w:rPr>
          <w:lang w:val="sr-Cyrl-CS"/>
        </w:rPr>
        <w:t xml:space="preserve"> и да је достављен у његово име </w:t>
      </w:r>
      <w:r w:rsidR="00BD1FDE" w:rsidRPr="004B082A">
        <w:rPr>
          <w:lang w:val="sr-Cyrl-CS"/>
        </w:rPr>
        <w:t xml:space="preserve">(који делује преко МРЕ) </w:t>
      </w:r>
      <w:r w:rsidR="005A7713" w:rsidRPr="004B082A">
        <w:rPr>
          <w:lang w:val="sr-Cyrl-CS"/>
        </w:rPr>
        <w:t>и да представља важећу и правно обавезујућу обавезу Зај</w:t>
      </w:r>
      <w:r w:rsidR="0036128E" w:rsidRPr="004B082A">
        <w:rPr>
          <w:lang w:val="sr-Cyrl-CS"/>
        </w:rPr>
        <w:t>мопримца (који делује преко МРЕ</w:t>
      </w:r>
      <w:r w:rsidR="005A7713" w:rsidRPr="004B082A">
        <w:rPr>
          <w:lang w:val="sr-Cyrl-CS"/>
        </w:rPr>
        <w:t>), применљ</w:t>
      </w:r>
      <w:r w:rsidR="00BD1FDE" w:rsidRPr="004B082A">
        <w:rPr>
          <w:lang w:val="sr-Cyrl-CS"/>
        </w:rPr>
        <w:t>иву у складу са својим условима</w:t>
      </w:r>
      <w:r w:rsidR="005A7713" w:rsidRPr="004B082A">
        <w:rPr>
          <w:lang w:val="sr-Cyrl-CS"/>
        </w:rPr>
        <w:t>.</w:t>
      </w:r>
    </w:p>
    <w:p w14:paraId="7D4F0D49" w14:textId="0BBB7C2B" w:rsidR="00C93781" w:rsidRPr="004B082A" w:rsidRDefault="00826E21" w:rsidP="00110B1B">
      <w:pPr>
        <w:pStyle w:val="Paragrapha"/>
        <w:rPr>
          <w:lang w:val="sr-Cyrl-CS"/>
        </w:rPr>
      </w:pPr>
      <w:r w:rsidRPr="004B082A">
        <w:rPr>
          <w:lang w:val="sr-Cyrl-CS"/>
        </w:rPr>
        <w:t>(</w:t>
      </w:r>
      <w:r w:rsidR="00BC69C1" w:rsidRPr="004B082A">
        <w:rPr>
          <w:lang w:val="sr-Cyrl-CS"/>
        </w:rPr>
        <w:t>ц</w:t>
      </w:r>
      <w:r w:rsidRPr="004B082A">
        <w:rPr>
          <w:lang w:val="sr-Cyrl-CS"/>
        </w:rPr>
        <w:t>)</w:t>
      </w:r>
      <w:r w:rsidRPr="004B082A">
        <w:rPr>
          <w:lang w:val="sr-Cyrl-CS"/>
        </w:rPr>
        <w:tab/>
        <w:t xml:space="preserve"> </w:t>
      </w:r>
      <w:r w:rsidR="006C1390" w:rsidRPr="004B082A">
        <w:rPr>
          <w:lang w:val="sr-Cyrl-CS"/>
        </w:rPr>
        <w:t>з</w:t>
      </w:r>
      <w:r w:rsidR="00BD1FDE" w:rsidRPr="004B082A">
        <w:rPr>
          <w:lang w:val="sr-Cyrl-CS"/>
        </w:rPr>
        <w:t>а потребе О</w:t>
      </w:r>
      <w:r w:rsidR="00C93781" w:rsidRPr="004B082A">
        <w:rPr>
          <w:lang w:val="sr-Cyrl-CS"/>
        </w:rPr>
        <w:t xml:space="preserve">дељка 5.02.(е) овог </w:t>
      </w:r>
      <w:r w:rsidR="00BD1FDE" w:rsidRPr="004B082A">
        <w:rPr>
          <w:lang w:val="sr-Cyrl-CS"/>
        </w:rPr>
        <w:t>уговора</w:t>
      </w:r>
      <w:r w:rsidR="00C93781" w:rsidRPr="004B082A">
        <w:rPr>
          <w:lang w:val="sr-Cyrl-CS"/>
        </w:rPr>
        <w:t>, у форми и садржају</w:t>
      </w:r>
      <w:r w:rsidR="007324AC" w:rsidRPr="004B082A">
        <w:rPr>
          <w:lang w:val="sr-Cyrl-CS"/>
        </w:rPr>
        <w:t xml:space="preserve"> који су прихватљиви</w:t>
      </w:r>
      <w:r w:rsidR="00C93781" w:rsidRPr="004B082A">
        <w:rPr>
          <w:lang w:val="sr-Cyrl-CS"/>
        </w:rPr>
        <w:t xml:space="preserve"> за Бан</w:t>
      </w:r>
      <w:r w:rsidR="0021188A" w:rsidRPr="004B082A">
        <w:rPr>
          <w:lang w:val="sr-Cyrl-CS"/>
        </w:rPr>
        <w:t>ку, мишљење или мишљења правног саветника</w:t>
      </w:r>
      <w:r w:rsidR="00BD1FDE" w:rsidRPr="004B082A">
        <w:rPr>
          <w:lang w:val="sr-Cyrl-CS"/>
        </w:rPr>
        <w:t xml:space="preserve"> даће</w:t>
      </w:r>
      <w:r w:rsidR="00C93781" w:rsidRPr="004B082A">
        <w:rPr>
          <w:lang w:val="sr-Cyrl-CS"/>
        </w:rPr>
        <w:t xml:space="preserve"> Државно правобранилаштво </w:t>
      </w:r>
      <w:r w:rsidR="0021188A" w:rsidRPr="004B082A">
        <w:rPr>
          <w:lang w:val="sr-Cyrl-CS"/>
        </w:rPr>
        <w:t>(</w:t>
      </w:r>
      <w:r w:rsidR="00B158E7" w:rsidRPr="004B082A">
        <w:rPr>
          <w:i/>
          <w:iCs/>
          <w:lang w:val="sr-Cyrl-CS"/>
        </w:rPr>
        <w:t>Државно правобранилаштво Републике Србије</w:t>
      </w:r>
      <w:r w:rsidR="0021188A" w:rsidRPr="004B082A">
        <w:rPr>
          <w:lang w:val="sr-Cyrl-CS"/>
        </w:rPr>
        <w:t xml:space="preserve">) </w:t>
      </w:r>
      <w:r w:rsidR="00C93781" w:rsidRPr="004B082A">
        <w:rPr>
          <w:lang w:val="sr-Cyrl-CS"/>
        </w:rPr>
        <w:t xml:space="preserve">у име Зајмопримца </w:t>
      </w:r>
      <w:r w:rsidR="0021188A" w:rsidRPr="004B082A">
        <w:rPr>
          <w:lang w:val="sr-Cyrl-CS"/>
        </w:rPr>
        <w:t>(поступајући преко МРЕ</w:t>
      </w:r>
      <w:r w:rsidR="00C93781" w:rsidRPr="004B082A">
        <w:rPr>
          <w:lang w:val="sr-Cyrl-CS"/>
        </w:rPr>
        <w:t>), и</w:t>
      </w:r>
      <w:r w:rsidR="00BD1FDE" w:rsidRPr="004B082A">
        <w:rPr>
          <w:lang w:val="sr-Cyrl-CS"/>
        </w:rPr>
        <w:t xml:space="preserve"> </w:t>
      </w:r>
      <w:r w:rsidR="00C93781" w:rsidRPr="004B082A">
        <w:rPr>
          <w:lang w:val="sr-Cyrl-CS"/>
        </w:rPr>
        <w:t xml:space="preserve">у име сваког од </w:t>
      </w:r>
      <w:r w:rsidR="00486CBA" w:rsidRPr="004B082A">
        <w:rPr>
          <w:lang w:val="sr-Cyrl-CS"/>
        </w:rPr>
        <w:t>П</w:t>
      </w:r>
      <w:r w:rsidR="00C93781" w:rsidRPr="004B082A">
        <w:rPr>
          <w:lang w:val="sr-Cyrl-CS"/>
        </w:rPr>
        <w:t>ројектних субјеката у вез</w:t>
      </w:r>
      <w:r w:rsidR="0021188A" w:rsidRPr="004B082A">
        <w:rPr>
          <w:lang w:val="sr-Cyrl-CS"/>
        </w:rPr>
        <w:t>и са Уговором у којем је Пројектни субјекат</w:t>
      </w:r>
      <w:r w:rsidR="00C93781" w:rsidRPr="004B082A">
        <w:rPr>
          <w:lang w:val="sr-Cyrl-CS"/>
        </w:rPr>
        <w:t xml:space="preserve"> </w:t>
      </w:r>
      <w:r w:rsidR="00BD1FDE" w:rsidRPr="004B082A">
        <w:rPr>
          <w:lang w:val="sr-Cyrl-CS"/>
        </w:rPr>
        <w:t xml:space="preserve">уговорна </w:t>
      </w:r>
      <w:r w:rsidR="00C93781" w:rsidRPr="004B082A">
        <w:rPr>
          <w:lang w:val="sr-Cyrl-CS"/>
        </w:rPr>
        <w:t>стра</w:t>
      </w:r>
      <w:r w:rsidR="0021188A" w:rsidRPr="004B082A">
        <w:rPr>
          <w:lang w:val="sr-Cyrl-CS"/>
        </w:rPr>
        <w:t xml:space="preserve">на, потврђујући да је сваки од </w:t>
      </w:r>
      <w:r w:rsidR="00BD1FDE" w:rsidRPr="004B082A">
        <w:rPr>
          <w:lang w:val="sr-Cyrl-CS"/>
        </w:rPr>
        <w:t>У</w:t>
      </w:r>
      <w:r w:rsidR="00C93781" w:rsidRPr="004B082A">
        <w:rPr>
          <w:lang w:val="sr-Cyrl-CS"/>
        </w:rPr>
        <w:t>говора прописно овлашћен и достављен у име Зај</w:t>
      </w:r>
      <w:r w:rsidR="0021188A" w:rsidRPr="004B082A">
        <w:rPr>
          <w:lang w:val="sr-Cyrl-CS"/>
        </w:rPr>
        <w:t xml:space="preserve">мопримца (који делује </w:t>
      </w:r>
      <w:r w:rsidR="0021188A" w:rsidRPr="004B082A">
        <w:rPr>
          <w:lang w:val="sr-Cyrl-CS"/>
        </w:rPr>
        <w:lastRenderedPageBreak/>
        <w:t>преко МРЕ</w:t>
      </w:r>
      <w:r w:rsidR="00C93781" w:rsidRPr="004B082A">
        <w:rPr>
          <w:lang w:val="sr-Cyrl-CS"/>
        </w:rPr>
        <w:t>) и о</w:t>
      </w:r>
      <w:r w:rsidR="0021188A" w:rsidRPr="004B082A">
        <w:rPr>
          <w:lang w:val="sr-Cyrl-CS"/>
        </w:rPr>
        <w:t>дговарајућег Пројектног субјекта</w:t>
      </w:r>
      <w:r w:rsidR="00C93781" w:rsidRPr="004B082A">
        <w:rPr>
          <w:lang w:val="sr-Cyrl-CS"/>
        </w:rPr>
        <w:t xml:space="preserve"> и представља важеће и правно обавезујуће обавезе Зај</w:t>
      </w:r>
      <w:r w:rsidR="0021188A" w:rsidRPr="004B082A">
        <w:rPr>
          <w:lang w:val="sr-Cyrl-CS"/>
        </w:rPr>
        <w:t>мопримца (који делује преко МРЕ) и тог Пројектног субјекта</w:t>
      </w:r>
      <w:r w:rsidR="00C93781" w:rsidRPr="004B082A">
        <w:rPr>
          <w:lang w:val="sr-Cyrl-CS"/>
        </w:rPr>
        <w:t>, које се спроводи у складу са њиховим условима.</w:t>
      </w:r>
    </w:p>
    <w:p w14:paraId="688835B9" w14:textId="77777777" w:rsidR="00D826A9" w:rsidRPr="004B082A" w:rsidRDefault="00D826A9" w:rsidP="00110B1B">
      <w:pPr>
        <w:pStyle w:val="Paragrapha"/>
        <w:rPr>
          <w:lang w:val="sr-Cyrl-CS"/>
        </w:rPr>
      </w:pPr>
    </w:p>
    <w:p w14:paraId="7330DD08" w14:textId="7FBEAE24" w:rsidR="00D826A9" w:rsidRPr="004B082A" w:rsidRDefault="00D826A9" w:rsidP="00D826A9">
      <w:pPr>
        <w:pStyle w:val="Heading2"/>
        <w:tabs>
          <w:tab w:val="left" w:pos="1620"/>
        </w:tabs>
        <w:spacing w:before="0"/>
        <w:rPr>
          <w:lang w:val="sr-Cyrl-CS"/>
        </w:rPr>
      </w:pPr>
      <w:bookmarkStart w:id="50" w:name="_Toc144993897"/>
      <w:bookmarkStart w:id="51" w:name="_Toc446419991"/>
      <w:bookmarkStart w:id="52" w:name="_Toc446740974"/>
      <w:bookmarkStart w:id="53" w:name="_Toc146535409"/>
      <w:bookmarkEnd w:id="48"/>
      <w:bookmarkEnd w:id="49"/>
      <w:r w:rsidRPr="004B082A">
        <w:rPr>
          <w:lang w:val="sr-Cyrl-CS"/>
        </w:rPr>
        <w:t>Одељак 5.04.</w:t>
      </w:r>
      <w:r w:rsidRPr="004B082A">
        <w:rPr>
          <w:lang w:val="sr-Cyrl-CS"/>
        </w:rPr>
        <w:tab/>
        <w:t>Раскид због неступања на снагу</w:t>
      </w:r>
      <w:bookmarkEnd w:id="50"/>
    </w:p>
    <w:p w14:paraId="349C65A2" w14:textId="0A0E7A9E" w:rsidR="00D826A9" w:rsidRPr="004B082A" w:rsidRDefault="00D826A9" w:rsidP="00D826A9">
      <w:pPr>
        <w:pStyle w:val="Paragrapha"/>
        <w:rPr>
          <w:lang w:val="sr-Cyrl-CS"/>
        </w:rPr>
      </w:pPr>
      <w:r w:rsidRPr="004B082A">
        <w:rPr>
          <w:lang w:val="sr-Cyrl-CS"/>
        </w:rPr>
        <w:tab/>
        <w:t>Датум који п</w:t>
      </w:r>
      <w:r w:rsidR="00486CBA" w:rsidRPr="004B082A">
        <w:rPr>
          <w:lang w:val="sr-Cyrl-CS"/>
        </w:rPr>
        <w:t>ада 180 дана након датума овог у</w:t>
      </w:r>
      <w:r w:rsidRPr="004B082A">
        <w:rPr>
          <w:lang w:val="sr-Cyrl-CS"/>
        </w:rPr>
        <w:t xml:space="preserve">говора одређен је за потребе Одељка 9.04 Стандардних услова пословања. </w:t>
      </w:r>
    </w:p>
    <w:p w14:paraId="3DADC15E" w14:textId="47B07992" w:rsidR="005E0B9D" w:rsidRPr="004B082A" w:rsidRDefault="00DB3053">
      <w:pPr>
        <w:pStyle w:val="Heading1"/>
        <w:rPr>
          <w:lang w:val="sr-Cyrl-CS"/>
        </w:rPr>
      </w:pPr>
      <w:r w:rsidRPr="004B082A">
        <w:rPr>
          <w:lang w:val="sr-Cyrl-CS"/>
        </w:rPr>
        <w:t>ЧЛАН</w:t>
      </w:r>
      <w:r w:rsidR="005E0B9D" w:rsidRPr="004B082A">
        <w:rPr>
          <w:lang w:val="sr-Cyrl-CS"/>
        </w:rPr>
        <w:t xml:space="preserve"> VI</w:t>
      </w:r>
      <w:bookmarkEnd w:id="51"/>
      <w:bookmarkEnd w:id="52"/>
      <w:bookmarkEnd w:id="53"/>
      <w:r w:rsidR="00F53606" w:rsidRPr="004B082A">
        <w:rPr>
          <w:lang w:val="sr-Cyrl-CS"/>
        </w:rPr>
        <w:t xml:space="preserve"> – </w:t>
      </w:r>
      <w:r w:rsidRPr="004B082A">
        <w:rPr>
          <w:lang w:val="sr-Cyrl-CS"/>
        </w:rPr>
        <w:t>РАЗНО</w:t>
      </w:r>
    </w:p>
    <w:p w14:paraId="4DE00FF2" w14:textId="19266FBB" w:rsidR="005E0B9D" w:rsidRPr="004B082A" w:rsidRDefault="00DB3053">
      <w:pPr>
        <w:pStyle w:val="Heading2"/>
        <w:rPr>
          <w:lang w:val="sr-Cyrl-CS"/>
        </w:rPr>
      </w:pPr>
      <w:bookmarkStart w:id="54" w:name="_Toc446419992"/>
      <w:bookmarkStart w:id="55" w:name="_Toc446740975"/>
      <w:bookmarkStart w:id="56" w:name="_Toc146535410"/>
      <w:r w:rsidRPr="004B082A">
        <w:rPr>
          <w:lang w:val="sr-Cyrl-CS"/>
        </w:rPr>
        <w:t>Одељак</w:t>
      </w:r>
      <w:r w:rsidR="005E0B9D" w:rsidRPr="004B082A">
        <w:rPr>
          <w:lang w:val="sr-Cyrl-CS"/>
        </w:rPr>
        <w:t xml:space="preserve"> 6.01.</w:t>
      </w:r>
      <w:r w:rsidR="005E0B9D" w:rsidRPr="004B082A">
        <w:rPr>
          <w:lang w:val="sr-Cyrl-CS"/>
        </w:rPr>
        <w:tab/>
      </w:r>
      <w:bookmarkEnd w:id="54"/>
      <w:bookmarkEnd w:id="55"/>
      <w:bookmarkEnd w:id="56"/>
      <w:r w:rsidR="00772547" w:rsidRPr="004B082A">
        <w:rPr>
          <w:lang w:val="sr-Cyrl-CS"/>
        </w:rPr>
        <w:t>Обавештења</w:t>
      </w:r>
    </w:p>
    <w:p w14:paraId="27D0A283" w14:textId="119A03A8" w:rsidR="005E0B9D" w:rsidRPr="004B082A" w:rsidRDefault="00F500F9">
      <w:pPr>
        <w:pStyle w:val="Paragrapha"/>
        <w:rPr>
          <w:lang w:val="sr-Cyrl-CS"/>
        </w:rPr>
      </w:pPr>
      <w:r w:rsidRPr="004B082A">
        <w:rPr>
          <w:lang w:val="sr-Cyrl-CS"/>
        </w:rPr>
        <w:t>(a)</w:t>
      </w:r>
      <w:r w:rsidR="005E0B9D" w:rsidRPr="004B082A">
        <w:rPr>
          <w:lang w:val="sr-Cyrl-CS"/>
        </w:rPr>
        <w:tab/>
      </w:r>
      <w:r w:rsidR="00772547" w:rsidRPr="004B082A">
        <w:rPr>
          <w:lang w:val="sr-Cyrl-CS"/>
        </w:rPr>
        <w:t>Следеће адресе су наведене за потребе Одељка 10.01 Стандардних услова пословања, а обавештења ће се сматрати испорученим ако су достављена лично, поштом или у пдф или сличном формату електронском поштом:</w:t>
      </w:r>
    </w:p>
    <w:p w14:paraId="09F74F23" w14:textId="655BA3B8" w:rsidR="005E0B9D" w:rsidRPr="004B082A" w:rsidRDefault="00F75ECC">
      <w:pPr>
        <w:pStyle w:val="Paragrapha"/>
        <w:keepNext/>
        <w:rPr>
          <w:lang w:val="sr-Cyrl-CS"/>
        </w:rPr>
      </w:pPr>
      <w:r w:rsidRPr="004B082A">
        <w:rPr>
          <w:lang w:val="sr-Cyrl-CS"/>
        </w:rPr>
        <w:t>За Зајмопримца</w:t>
      </w:r>
      <w:r w:rsidR="005E0B9D" w:rsidRPr="004B082A">
        <w:rPr>
          <w:lang w:val="sr-Cyrl-CS"/>
        </w:rPr>
        <w:t>:</w:t>
      </w:r>
    </w:p>
    <w:p w14:paraId="6FA3B97E" w14:textId="77777777" w:rsidR="005E0B9D" w:rsidRPr="004B082A" w:rsidRDefault="005E0B9D">
      <w:pPr>
        <w:keepNext/>
        <w:rPr>
          <w:lang w:val="sr-Cyrl-CS"/>
        </w:rPr>
      </w:pPr>
    </w:p>
    <w:p w14:paraId="7710176C" w14:textId="618965DD" w:rsidR="000B2EF6" w:rsidRPr="004B082A" w:rsidRDefault="000B2EF6" w:rsidP="00E93573">
      <w:pPr>
        <w:rPr>
          <w:lang w:val="sr-Cyrl-CS"/>
        </w:rPr>
      </w:pPr>
      <w:r w:rsidRPr="004B082A">
        <w:rPr>
          <w:lang w:val="sr-Cyrl-CS"/>
        </w:rPr>
        <w:tab/>
      </w:r>
      <w:r w:rsidR="00F75ECC" w:rsidRPr="004B082A">
        <w:rPr>
          <w:lang w:val="sr-Cyrl-CS"/>
        </w:rPr>
        <w:t>Република Србија</w:t>
      </w:r>
    </w:p>
    <w:p w14:paraId="3F5F85CB" w14:textId="09B02B42" w:rsidR="000B2EF6" w:rsidRPr="004B082A" w:rsidRDefault="000B2EF6" w:rsidP="00E93573">
      <w:pPr>
        <w:rPr>
          <w:lang w:val="sr-Cyrl-CS"/>
        </w:rPr>
      </w:pPr>
      <w:r w:rsidRPr="004B082A">
        <w:rPr>
          <w:lang w:val="sr-Cyrl-CS"/>
        </w:rPr>
        <w:tab/>
      </w:r>
      <w:r w:rsidR="00F75ECC" w:rsidRPr="004B082A">
        <w:rPr>
          <w:lang w:val="sr-Cyrl-CS"/>
        </w:rPr>
        <w:t>Министарство финансија</w:t>
      </w:r>
    </w:p>
    <w:p w14:paraId="4E9C8474" w14:textId="46043BC3" w:rsidR="000B2EF6" w:rsidRPr="004B082A" w:rsidRDefault="000B2EF6" w:rsidP="00E93573">
      <w:pPr>
        <w:rPr>
          <w:lang w:val="sr-Cyrl-CS"/>
        </w:rPr>
      </w:pPr>
      <w:r w:rsidRPr="004B082A">
        <w:rPr>
          <w:lang w:val="sr-Cyrl-CS"/>
        </w:rPr>
        <w:tab/>
      </w:r>
      <w:r w:rsidR="00F75ECC" w:rsidRPr="004B082A">
        <w:rPr>
          <w:lang w:val="sr-Cyrl-CS"/>
        </w:rPr>
        <w:t>Кнеза Милоша</w:t>
      </w:r>
      <w:r w:rsidRPr="004B082A">
        <w:rPr>
          <w:lang w:val="sr-Cyrl-CS"/>
        </w:rPr>
        <w:t xml:space="preserve"> 20</w:t>
      </w:r>
    </w:p>
    <w:p w14:paraId="65922975" w14:textId="0B2FB113" w:rsidR="000B2EF6" w:rsidRPr="004B082A" w:rsidRDefault="000B2EF6" w:rsidP="00E93573">
      <w:pPr>
        <w:rPr>
          <w:szCs w:val="24"/>
          <w:lang w:val="sr-Cyrl-CS"/>
        </w:rPr>
      </w:pPr>
      <w:r w:rsidRPr="004B082A">
        <w:rPr>
          <w:lang w:val="sr-Cyrl-CS"/>
        </w:rPr>
        <w:tab/>
        <w:t xml:space="preserve">11000, </w:t>
      </w:r>
      <w:r w:rsidR="00F75ECC" w:rsidRPr="004B082A">
        <w:rPr>
          <w:lang w:val="sr-Cyrl-CS"/>
        </w:rPr>
        <w:t>Београд</w:t>
      </w:r>
    </w:p>
    <w:p w14:paraId="334D6D1C" w14:textId="77777777" w:rsidR="005E0B9D" w:rsidRPr="004B082A" w:rsidRDefault="000B2EF6" w:rsidP="003D05CB">
      <w:pPr>
        <w:keepNext/>
        <w:rPr>
          <w:lang w:val="sr-Cyrl-CS"/>
        </w:rPr>
      </w:pPr>
      <w:r w:rsidRPr="004B082A">
        <w:rPr>
          <w:szCs w:val="24"/>
          <w:lang w:val="sr-Cyrl-CS"/>
        </w:rPr>
        <w:tab/>
      </w:r>
    </w:p>
    <w:p w14:paraId="3C5F8B76" w14:textId="6697909C" w:rsidR="005E0B9D" w:rsidRPr="004B082A" w:rsidRDefault="005E0B9D">
      <w:pPr>
        <w:keepNext/>
        <w:rPr>
          <w:lang w:val="sr-Cyrl-CS"/>
        </w:rPr>
      </w:pPr>
      <w:r w:rsidRPr="004B082A">
        <w:rPr>
          <w:lang w:val="sr-Cyrl-CS"/>
        </w:rPr>
        <w:tab/>
      </w:r>
      <w:r w:rsidR="00F16108" w:rsidRPr="004B082A">
        <w:rPr>
          <w:lang w:val="sr-Cyrl-CS"/>
        </w:rPr>
        <w:t>За:</w:t>
      </w:r>
      <w:r w:rsidR="00F16108" w:rsidRPr="004B082A">
        <w:rPr>
          <w:lang w:val="sr-Cyrl-CS"/>
        </w:rPr>
        <w:tab/>
      </w:r>
      <w:r w:rsidR="00F16108" w:rsidRPr="004B082A">
        <w:rPr>
          <w:lang w:val="sr-Cyrl-CS"/>
        </w:rPr>
        <w:tab/>
      </w:r>
      <w:r w:rsidR="00F16108" w:rsidRPr="004B082A">
        <w:rPr>
          <w:lang w:val="sr-Cyrl-CS"/>
        </w:rPr>
        <w:tab/>
        <w:t>Министра финансија</w:t>
      </w:r>
    </w:p>
    <w:p w14:paraId="387601DD" w14:textId="32A8E903" w:rsidR="000B2EF6" w:rsidRPr="004B082A" w:rsidRDefault="000B2EF6" w:rsidP="000B2EF6">
      <w:pPr>
        <w:keepNext/>
        <w:rPr>
          <w:lang w:val="sr-Cyrl-CS"/>
        </w:rPr>
      </w:pPr>
      <w:r w:rsidRPr="004B082A">
        <w:rPr>
          <w:lang w:val="sr-Cyrl-CS"/>
        </w:rPr>
        <w:tab/>
      </w:r>
      <w:r w:rsidR="00F16108" w:rsidRPr="004B082A">
        <w:rPr>
          <w:lang w:val="sr-Cyrl-CS"/>
        </w:rPr>
        <w:t>Teлефон</w:t>
      </w:r>
      <w:r w:rsidRPr="004B082A">
        <w:rPr>
          <w:lang w:val="sr-Cyrl-CS"/>
        </w:rPr>
        <w:t>:</w:t>
      </w:r>
      <w:r w:rsidRPr="004B082A">
        <w:rPr>
          <w:lang w:val="sr-Cyrl-CS"/>
        </w:rPr>
        <w:tab/>
      </w:r>
      <w:r w:rsidRPr="004B082A">
        <w:rPr>
          <w:lang w:val="sr-Cyrl-CS"/>
        </w:rPr>
        <w:tab/>
        <w:t xml:space="preserve">+381 11 </w:t>
      </w:r>
      <w:r w:rsidR="00E53728" w:rsidRPr="004B082A">
        <w:rPr>
          <w:lang w:val="sr-Cyrl-CS"/>
        </w:rPr>
        <w:t>765 2012</w:t>
      </w:r>
    </w:p>
    <w:p w14:paraId="7DC7F783" w14:textId="6CEE5577" w:rsidR="005E0B9D" w:rsidRPr="004B082A" w:rsidRDefault="005E0B9D">
      <w:pPr>
        <w:keepNext/>
        <w:rPr>
          <w:lang w:val="sr-Cyrl-CS"/>
        </w:rPr>
      </w:pPr>
      <w:r w:rsidRPr="004B082A">
        <w:rPr>
          <w:lang w:val="sr-Cyrl-CS"/>
        </w:rPr>
        <w:tab/>
      </w:r>
      <w:r w:rsidR="00CF2DA7" w:rsidRPr="004B082A">
        <w:rPr>
          <w:lang w:val="sr-Cyrl-CS"/>
        </w:rPr>
        <w:t>Email</w:t>
      </w:r>
      <w:r w:rsidRPr="004B082A">
        <w:rPr>
          <w:lang w:val="sr-Cyrl-CS"/>
        </w:rPr>
        <w:t>:</w:t>
      </w:r>
      <w:r w:rsidRPr="004B082A">
        <w:rPr>
          <w:lang w:val="sr-Cyrl-CS"/>
        </w:rPr>
        <w:tab/>
      </w:r>
      <w:r w:rsidRPr="004B082A">
        <w:rPr>
          <w:lang w:val="sr-Cyrl-CS"/>
        </w:rPr>
        <w:tab/>
      </w:r>
      <w:r w:rsidR="000B2EF6" w:rsidRPr="004B082A">
        <w:rPr>
          <w:lang w:val="sr-Cyrl-CS"/>
        </w:rPr>
        <w:t>kabine</w:t>
      </w:r>
      <w:r w:rsidR="00B076B6" w:rsidRPr="004B082A">
        <w:rPr>
          <w:lang w:val="sr-Cyrl-CS"/>
        </w:rPr>
        <w:t>t@mfin</w:t>
      </w:r>
      <w:r w:rsidR="000B2EF6" w:rsidRPr="004B082A">
        <w:rPr>
          <w:lang w:val="sr-Cyrl-CS"/>
        </w:rPr>
        <w:t>.gov.rs</w:t>
      </w:r>
    </w:p>
    <w:p w14:paraId="79E8CDD5" w14:textId="77777777" w:rsidR="005E0B9D" w:rsidRPr="004B082A" w:rsidRDefault="005E0B9D" w:rsidP="00752E5F">
      <w:pPr>
        <w:keepNext/>
        <w:rPr>
          <w:lang w:val="sr-Cyrl-CS"/>
        </w:rPr>
      </w:pPr>
      <w:r w:rsidRPr="004B082A">
        <w:rPr>
          <w:lang w:val="sr-Cyrl-CS"/>
        </w:rPr>
        <w:tab/>
      </w:r>
    </w:p>
    <w:p w14:paraId="732D60AF" w14:textId="77777777" w:rsidR="005E0B9D" w:rsidRPr="004B082A" w:rsidRDefault="005E0B9D">
      <w:pPr>
        <w:rPr>
          <w:lang w:val="sr-Cyrl-CS"/>
        </w:rPr>
      </w:pPr>
    </w:p>
    <w:p w14:paraId="2EE3009A" w14:textId="0AB3579C" w:rsidR="00CF2DA7" w:rsidRPr="004B082A" w:rsidRDefault="00CF2DA7" w:rsidP="00CF2DA7">
      <w:pPr>
        <w:keepNext/>
        <w:keepLines/>
        <w:rPr>
          <w:lang w:val="sr-Cyrl-CS"/>
        </w:rPr>
      </w:pPr>
      <w:r w:rsidRPr="004B082A" w:rsidDel="00CF2DA7">
        <w:rPr>
          <w:lang w:val="sr-Cyrl-CS"/>
        </w:rPr>
        <w:t xml:space="preserve"> </w:t>
      </w:r>
      <w:r w:rsidR="00F16108" w:rsidRPr="004B082A">
        <w:rPr>
          <w:lang w:val="sr-Cyrl-CS"/>
        </w:rPr>
        <w:t>За ЕБРД</w:t>
      </w:r>
      <w:r w:rsidRPr="004B082A">
        <w:rPr>
          <w:lang w:val="sr-Cyrl-CS"/>
        </w:rPr>
        <w:t>:</w:t>
      </w:r>
    </w:p>
    <w:p w14:paraId="559AE47E" w14:textId="77777777" w:rsidR="00CF2DA7" w:rsidRPr="004B082A" w:rsidRDefault="00CF2DA7" w:rsidP="00CF2DA7">
      <w:pPr>
        <w:keepNext/>
        <w:keepLines/>
        <w:rPr>
          <w:lang w:val="sr-Cyrl-CS"/>
        </w:rPr>
      </w:pPr>
    </w:p>
    <w:p w14:paraId="525B4168" w14:textId="77777777" w:rsidR="00F16108" w:rsidRPr="004B082A" w:rsidRDefault="00405F62" w:rsidP="00F16108">
      <w:pPr>
        <w:tabs>
          <w:tab w:val="left" w:pos="540"/>
        </w:tabs>
        <w:rPr>
          <w:lang w:val="sr-Cyrl-CS"/>
        </w:rPr>
      </w:pPr>
      <w:r w:rsidRPr="004B082A">
        <w:rPr>
          <w:lang w:val="sr-Cyrl-CS"/>
        </w:rPr>
        <w:tab/>
      </w:r>
      <w:r w:rsidR="00F16108" w:rsidRPr="004B082A">
        <w:rPr>
          <w:lang w:val="sr-Cyrl-CS"/>
        </w:rPr>
        <w:t>Европска банка за обнову и развој</w:t>
      </w:r>
    </w:p>
    <w:p w14:paraId="11E915B1" w14:textId="77777777" w:rsidR="00F16108" w:rsidRPr="004B082A" w:rsidRDefault="00F16108" w:rsidP="00F16108">
      <w:pPr>
        <w:tabs>
          <w:tab w:val="left" w:pos="540"/>
        </w:tabs>
        <w:rPr>
          <w:lang w:val="sr-Cyrl-CS"/>
        </w:rPr>
      </w:pPr>
      <w:r w:rsidRPr="004B082A">
        <w:rPr>
          <w:lang w:val="sr-Cyrl-CS"/>
        </w:rPr>
        <w:t xml:space="preserve">         5 Bank Street</w:t>
      </w:r>
    </w:p>
    <w:p w14:paraId="35F1D1C9" w14:textId="77777777" w:rsidR="00F16108" w:rsidRPr="004B082A" w:rsidRDefault="00F16108" w:rsidP="00F16108">
      <w:pPr>
        <w:tabs>
          <w:tab w:val="left" w:pos="540"/>
        </w:tabs>
        <w:rPr>
          <w:lang w:val="sr-Cyrl-CS"/>
        </w:rPr>
      </w:pPr>
      <w:r w:rsidRPr="004B082A">
        <w:rPr>
          <w:lang w:val="sr-Cyrl-CS"/>
        </w:rPr>
        <w:t xml:space="preserve">         London E14 4BG</w:t>
      </w:r>
    </w:p>
    <w:p w14:paraId="1909E57D" w14:textId="77777777" w:rsidR="00F16108" w:rsidRPr="004B082A" w:rsidRDefault="00F16108" w:rsidP="00F16108">
      <w:pPr>
        <w:tabs>
          <w:tab w:val="left" w:pos="540"/>
        </w:tabs>
        <w:rPr>
          <w:lang w:val="sr-Cyrl-CS"/>
        </w:rPr>
      </w:pPr>
      <w:r w:rsidRPr="004B082A">
        <w:rPr>
          <w:lang w:val="sr-Cyrl-CS"/>
        </w:rPr>
        <w:t xml:space="preserve">         Уједињено Краљевство</w:t>
      </w:r>
    </w:p>
    <w:p w14:paraId="7A7F4BAF" w14:textId="36B3F155" w:rsidR="00CF2DA7" w:rsidRPr="004B082A" w:rsidRDefault="00C538E0" w:rsidP="00F16108">
      <w:pPr>
        <w:rPr>
          <w:lang w:val="sr-Cyrl-CS"/>
        </w:rPr>
      </w:pPr>
      <w:r w:rsidRPr="004B082A">
        <w:rPr>
          <w:lang w:val="sr-Cyrl-CS"/>
        </w:rPr>
        <w:tab/>
      </w:r>
      <w:r w:rsidR="00F16108" w:rsidRPr="004B082A">
        <w:rPr>
          <w:lang w:val="sr-Cyrl-CS"/>
        </w:rPr>
        <w:t xml:space="preserve">За: </w:t>
      </w:r>
      <w:r w:rsidR="00F16108" w:rsidRPr="004B082A">
        <w:rPr>
          <w:lang w:val="sr-Cyrl-CS"/>
        </w:rPr>
        <w:tab/>
      </w:r>
      <w:r w:rsidR="00966D80" w:rsidRPr="004B082A">
        <w:rPr>
          <w:lang w:val="sr-Cyrl-CS"/>
        </w:rPr>
        <w:tab/>
      </w:r>
      <w:r w:rsidR="00966D80" w:rsidRPr="004B082A">
        <w:rPr>
          <w:lang w:val="sr-Cyrl-CS"/>
        </w:rPr>
        <w:tab/>
      </w:r>
      <w:r w:rsidR="0085148C" w:rsidRPr="004B082A">
        <w:rPr>
          <w:lang w:val="sr-Cyrl-CS"/>
        </w:rPr>
        <w:t>Банкарске услуге</w:t>
      </w:r>
      <w:r w:rsidR="00F16108" w:rsidRPr="004B082A">
        <w:rPr>
          <w:lang w:val="sr-Cyrl-CS"/>
        </w:rPr>
        <w:t xml:space="preserve"> / Оперативни број</w:t>
      </w:r>
      <w:r w:rsidR="00CF2DA7" w:rsidRPr="004B082A">
        <w:rPr>
          <w:lang w:val="sr-Cyrl-CS"/>
        </w:rPr>
        <w:t xml:space="preserve"> </w:t>
      </w:r>
      <w:r w:rsidR="000B2EF6" w:rsidRPr="004B082A">
        <w:rPr>
          <w:lang w:val="sr-Cyrl-CS"/>
        </w:rPr>
        <w:t>53021</w:t>
      </w:r>
    </w:p>
    <w:p w14:paraId="00877DBA" w14:textId="77777777" w:rsidR="00CF2DA7" w:rsidRPr="004B082A" w:rsidRDefault="00CF2DA7" w:rsidP="00CF2DA7">
      <w:pPr>
        <w:widowControl w:val="0"/>
        <w:ind w:left="567"/>
        <w:rPr>
          <w:lang w:val="sr-Cyrl-CS"/>
        </w:rPr>
      </w:pPr>
    </w:p>
    <w:p w14:paraId="68EEF381" w14:textId="775D3484" w:rsidR="00CF2DA7" w:rsidRPr="004B082A" w:rsidRDefault="00F16108" w:rsidP="00CF2DA7">
      <w:pPr>
        <w:widowControl w:val="0"/>
        <w:rPr>
          <w:lang w:val="sr-Cyrl-CS"/>
        </w:rPr>
      </w:pPr>
      <w:r w:rsidRPr="004B082A">
        <w:rPr>
          <w:lang w:val="sr-Cyrl-CS"/>
        </w:rPr>
        <w:tab/>
        <w:t>Teлефон:</w:t>
      </w:r>
      <w:r w:rsidRPr="004B082A">
        <w:rPr>
          <w:lang w:val="sr-Cyrl-CS"/>
        </w:rPr>
        <w:tab/>
      </w:r>
      <w:r w:rsidRPr="004B082A">
        <w:rPr>
          <w:lang w:val="sr-Cyrl-CS"/>
        </w:rPr>
        <w:tab/>
      </w:r>
      <w:r w:rsidR="00CF2DA7" w:rsidRPr="004B082A">
        <w:rPr>
          <w:lang w:val="sr-Cyrl-CS"/>
        </w:rPr>
        <w:t>+44 20 7338 6000</w:t>
      </w:r>
    </w:p>
    <w:p w14:paraId="320078C7" w14:textId="199164F8" w:rsidR="00CF2DA7" w:rsidRPr="004B082A" w:rsidRDefault="00CF2DA7" w:rsidP="00CF2DA7">
      <w:pPr>
        <w:widowControl w:val="0"/>
        <w:rPr>
          <w:lang w:val="sr-Cyrl-CS"/>
        </w:rPr>
      </w:pPr>
      <w:r w:rsidRPr="004B082A">
        <w:rPr>
          <w:lang w:val="sr-Cyrl-CS"/>
        </w:rPr>
        <w:tab/>
        <w:t xml:space="preserve">Email: </w:t>
      </w:r>
      <w:r w:rsidRPr="004B082A">
        <w:rPr>
          <w:lang w:val="sr-Cyrl-CS"/>
        </w:rPr>
        <w:tab/>
      </w:r>
      <w:r w:rsidRPr="004B082A">
        <w:rPr>
          <w:lang w:val="sr-Cyrl-CS"/>
        </w:rPr>
        <w:tab/>
      </w:r>
      <w:hyperlink r:id="rId15" w:history="1">
        <w:r w:rsidR="007F42D9" w:rsidRPr="004B082A">
          <w:rPr>
            <w:rStyle w:val="Hyperlink"/>
            <w:lang w:val="sr-Cyrl-CS"/>
          </w:rPr>
          <w:t>bankingservices@ebrd.com</w:t>
        </w:r>
      </w:hyperlink>
    </w:p>
    <w:p w14:paraId="5333ED62" w14:textId="0EDE6FC5" w:rsidR="005A1008" w:rsidRPr="004B082A" w:rsidRDefault="0013158D" w:rsidP="0013158D">
      <w:pPr>
        <w:rPr>
          <w:lang w:val="sr-Cyrl-CS"/>
        </w:rPr>
      </w:pPr>
      <w:r w:rsidRPr="004B082A">
        <w:rPr>
          <w:lang w:val="sr-Cyrl-CS"/>
        </w:rPr>
        <w:br w:type="page"/>
      </w:r>
    </w:p>
    <w:p w14:paraId="0AA51306" w14:textId="68C6EDC1" w:rsidR="005A1008" w:rsidRPr="004B082A" w:rsidRDefault="005A1008" w:rsidP="0013158D">
      <w:pPr>
        <w:rPr>
          <w:lang w:val="sr-Cyrl-CS"/>
        </w:rPr>
      </w:pPr>
      <w:r w:rsidRPr="004B082A">
        <w:rPr>
          <w:b/>
          <w:lang w:val="sr-Cyrl-CS"/>
        </w:rPr>
        <w:lastRenderedPageBreak/>
        <w:t>У ПОТВРДУ НАВЕДЕНОГ</w:t>
      </w:r>
      <w:r w:rsidRPr="004B082A">
        <w:rPr>
          <w:lang w:val="sr-Cyrl-CS"/>
        </w:rPr>
        <w:t>, уговорне стране, делујући преко својих прописно овлашћених представника</w:t>
      </w:r>
      <w:r w:rsidR="003A3498" w:rsidRPr="004B082A">
        <w:rPr>
          <w:lang w:val="sr-Cyrl-CS"/>
        </w:rPr>
        <w:t xml:space="preserve">, </w:t>
      </w:r>
      <w:r w:rsidR="00C63767" w:rsidRPr="004B082A">
        <w:rPr>
          <w:lang w:val="sr-Cyrl-CS"/>
        </w:rPr>
        <w:t>су потписале</w:t>
      </w:r>
      <w:r w:rsidR="003A3498" w:rsidRPr="004B082A">
        <w:rPr>
          <w:lang w:val="sr-Cyrl-CS"/>
        </w:rPr>
        <w:t xml:space="preserve"> овај уговор у шест</w:t>
      </w:r>
      <w:r w:rsidRPr="004B082A">
        <w:rPr>
          <w:lang w:val="sr-Cyrl-CS"/>
        </w:rPr>
        <w:t xml:space="preserve"> примерка и доставиле га у Београд</w:t>
      </w:r>
      <w:r w:rsidR="00B158E7" w:rsidRPr="004B082A">
        <w:rPr>
          <w:lang w:val="sr-Cyrl-CS"/>
        </w:rPr>
        <w:t>у</w:t>
      </w:r>
      <w:r w:rsidRPr="004B082A">
        <w:rPr>
          <w:lang w:val="sr-Cyrl-CS"/>
        </w:rPr>
        <w:t xml:space="preserve">, Република </w:t>
      </w:r>
      <w:r w:rsidR="00C63767" w:rsidRPr="004B082A">
        <w:rPr>
          <w:lang w:val="sr-Cyrl-CS"/>
        </w:rPr>
        <w:t>Србија на дан и у години који је први напред наведен</w:t>
      </w:r>
      <w:r w:rsidRPr="004B082A">
        <w:rPr>
          <w:lang w:val="sr-Cyrl-CS"/>
        </w:rPr>
        <w:t>.</w:t>
      </w:r>
    </w:p>
    <w:p w14:paraId="6167303D" w14:textId="07B3D0B4" w:rsidR="005A1008" w:rsidRPr="004B082A" w:rsidRDefault="005A1008" w:rsidP="005A1008">
      <w:pPr>
        <w:pStyle w:val="Paragrapha"/>
        <w:keepNext/>
        <w:spacing w:before="480"/>
        <w:rPr>
          <w:b/>
          <w:lang w:val="sr-Cyrl-CS"/>
        </w:rPr>
      </w:pPr>
      <w:r w:rsidRPr="004B082A">
        <w:rPr>
          <w:b/>
          <w:lang w:val="sr-Cyrl-CS"/>
        </w:rPr>
        <w:t>РЕПУБЛИКА СРБИЈА</w:t>
      </w:r>
    </w:p>
    <w:p w14:paraId="4EB27172" w14:textId="77777777" w:rsidR="005A1008" w:rsidRPr="004B082A" w:rsidRDefault="005A1008" w:rsidP="005A1008">
      <w:pPr>
        <w:keepNext/>
        <w:rPr>
          <w:b/>
          <w:lang w:val="sr-Cyrl-CS"/>
        </w:rPr>
      </w:pPr>
    </w:p>
    <w:p w14:paraId="2EB701B9" w14:textId="0D73571E" w:rsidR="005A1008" w:rsidRPr="004B082A" w:rsidRDefault="005A1008" w:rsidP="005A1008">
      <w:pPr>
        <w:spacing w:before="240"/>
        <w:rPr>
          <w:lang w:val="sr-Cyrl-CS"/>
        </w:rPr>
      </w:pPr>
      <w:r w:rsidRPr="004B082A">
        <w:rPr>
          <w:lang w:val="sr-Cyrl-CS"/>
        </w:rPr>
        <w:t>Потписује:</w:t>
      </w:r>
      <w:r w:rsidRPr="004B082A">
        <w:rPr>
          <w:lang w:val="sr-Cyrl-CS"/>
        </w:rPr>
        <w:tab/>
      </w:r>
      <w:r w:rsidR="00D3254E" w:rsidRPr="004B082A">
        <w:rPr>
          <w:lang w:val="sr-Cyrl-CS"/>
        </w:rPr>
        <w:t xml:space="preserve">     </w:t>
      </w:r>
      <w:r w:rsidRPr="004B082A">
        <w:rPr>
          <w:lang w:val="sr-Cyrl-CS"/>
        </w:rPr>
        <w:t>______________________________</w:t>
      </w:r>
    </w:p>
    <w:p w14:paraId="61CE8B0E" w14:textId="65C82C8E" w:rsidR="005E0B9D" w:rsidRPr="004B082A" w:rsidRDefault="005A1008">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CS"/>
        </w:rPr>
      </w:pPr>
      <w:r w:rsidRPr="004B082A">
        <w:rPr>
          <w:lang w:val="sr-Cyrl-CS"/>
        </w:rPr>
        <w:tab/>
      </w:r>
      <w:r w:rsidR="00D3254E" w:rsidRPr="004B082A">
        <w:rPr>
          <w:lang w:val="sr-Cyrl-CS"/>
        </w:rPr>
        <w:tab/>
      </w:r>
      <w:r w:rsidRPr="004B082A">
        <w:rPr>
          <w:lang w:val="sr-Cyrl-CS"/>
        </w:rPr>
        <w:t>Име</w:t>
      </w:r>
      <w:r w:rsidR="005E0B9D" w:rsidRPr="004B082A">
        <w:rPr>
          <w:lang w:val="sr-Cyrl-CS"/>
        </w:rPr>
        <w:t>:</w:t>
      </w:r>
      <w:r w:rsidR="007E3033" w:rsidRPr="004B082A">
        <w:rPr>
          <w:lang w:val="sr-Cyrl-CS"/>
        </w:rPr>
        <w:t xml:space="preserve"> </w:t>
      </w:r>
      <w:r w:rsidR="00CD1FD1" w:rsidRPr="004B082A">
        <w:rPr>
          <w:lang w:val="sr-Cyrl-CS"/>
        </w:rPr>
        <w:t>СИНИША МАЛИ</w:t>
      </w:r>
      <w:r w:rsidR="005E0B9D" w:rsidRPr="004B082A">
        <w:rPr>
          <w:lang w:val="sr-Cyrl-CS"/>
        </w:rPr>
        <w:tab/>
      </w:r>
    </w:p>
    <w:p w14:paraId="4BB98050" w14:textId="168B3B97" w:rsidR="005E0B9D" w:rsidRPr="004B082A" w:rsidRDefault="005A1008">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CS"/>
        </w:rPr>
      </w:pPr>
      <w:r w:rsidRPr="004B082A">
        <w:rPr>
          <w:lang w:val="sr-Cyrl-CS"/>
        </w:rPr>
        <w:tab/>
      </w:r>
      <w:r w:rsidR="00D3254E" w:rsidRPr="004B082A">
        <w:rPr>
          <w:lang w:val="sr-Cyrl-CS"/>
        </w:rPr>
        <w:tab/>
      </w:r>
      <w:r w:rsidRPr="004B082A">
        <w:rPr>
          <w:lang w:val="sr-Cyrl-CS"/>
        </w:rPr>
        <w:t>Звање</w:t>
      </w:r>
      <w:r w:rsidR="005E0B9D" w:rsidRPr="004B082A">
        <w:rPr>
          <w:lang w:val="sr-Cyrl-CS"/>
        </w:rPr>
        <w:t>:</w:t>
      </w:r>
      <w:r w:rsidR="00CD1FD1" w:rsidRPr="004B082A">
        <w:rPr>
          <w:lang w:val="sr-Cyrl-CS"/>
        </w:rPr>
        <w:t xml:space="preserve"> МИНИСТАР ФИНАНСИЈА</w:t>
      </w:r>
      <w:r w:rsidR="005E0B9D" w:rsidRPr="004B082A">
        <w:rPr>
          <w:lang w:val="sr-Cyrl-CS"/>
        </w:rPr>
        <w:tab/>
      </w:r>
    </w:p>
    <w:p w14:paraId="267C49F1" w14:textId="77777777" w:rsidR="005E0B9D" w:rsidRPr="004B082A"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CS"/>
        </w:rPr>
      </w:pPr>
    </w:p>
    <w:p w14:paraId="092D63F8" w14:textId="77777777" w:rsidR="005E0B9D" w:rsidRPr="004B082A"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CS"/>
        </w:rPr>
      </w:pPr>
    </w:p>
    <w:p w14:paraId="58C69310" w14:textId="77777777" w:rsidR="005A1008" w:rsidRPr="004B082A" w:rsidRDefault="005A1008" w:rsidP="005A1008">
      <w:pPr>
        <w:spacing w:before="120"/>
        <w:rPr>
          <w:b/>
          <w:lang w:val="sr-Cyrl-CS"/>
        </w:rPr>
      </w:pPr>
      <w:r w:rsidRPr="004B082A">
        <w:rPr>
          <w:b/>
          <w:lang w:val="sr-Cyrl-CS"/>
        </w:rPr>
        <w:t>ЕВРОПСКА БАНКА</w:t>
      </w:r>
    </w:p>
    <w:p w14:paraId="5504AE98" w14:textId="77777777" w:rsidR="005A1008" w:rsidRPr="004B082A" w:rsidRDefault="005A1008" w:rsidP="005A1008">
      <w:pPr>
        <w:rPr>
          <w:b/>
          <w:lang w:val="sr-Cyrl-CS"/>
        </w:rPr>
      </w:pPr>
      <w:r w:rsidRPr="004B082A">
        <w:rPr>
          <w:b/>
          <w:lang w:val="sr-Cyrl-CS"/>
        </w:rPr>
        <w:t>ЗА ОБНОВУ И РАЗВОЈ</w:t>
      </w:r>
    </w:p>
    <w:p w14:paraId="2FAAD8A2" w14:textId="77777777" w:rsidR="005A1008" w:rsidRPr="004B082A" w:rsidRDefault="005A1008" w:rsidP="005A1008">
      <w:pPr>
        <w:spacing w:before="120"/>
        <w:rPr>
          <w:lang w:val="sr-Cyrl-CS"/>
        </w:rPr>
      </w:pPr>
    </w:p>
    <w:p w14:paraId="48458968" w14:textId="1D94ECF6" w:rsidR="005A1008" w:rsidRPr="004B082A" w:rsidRDefault="005A1008" w:rsidP="005A1008">
      <w:pPr>
        <w:spacing w:before="120"/>
        <w:rPr>
          <w:lang w:val="sr-Cyrl-CS"/>
        </w:rPr>
      </w:pPr>
      <w:r w:rsidRPr="004B082A">
        <w:rPr>
          <w:lang w:val="sr-Cyrl-CS"/>
        </w:rPr>
        <w:t>Потписује:</w:t>
      </w:r>
      <w:r w:rsidR="00966D80" w:rsidRPr="004B082A">
        <w:rPr>
          <w:lang w:val="sr-Cyrl-CS"/>
        </w:rPr>
        <w:t xml:space="preserve">    </w:t>
      </w:r>
      <w:r w:rsidR="00D3254E" w:rsidRPr="004B082A">
        <w:rPr>
          <w:lang w:val="sr-Cyrl-CS"/>
        </w:rPr>
        <w:t xml:space="preserve"> </w:t>
      </w:r>
      <w:r w:rsidR="00966D80" w:rsidRPr="004B082A">
        <w:rPr>
          <w:lang w:val="sr-Cyrl-CS"/>
        </w:rPr>
        <w:t xml:space="preserve"> </w:t>
      </w:r>
      <w:r w:rsidRPr="004B082A">
        <w:rPr>
          <w:lang w:val="sr-Cyrl-CS"/>
        </w:rPr>
        <w:t>_________________________</w:t>
      </w:r>
      <w:r w:rsidR="00EE34FE" w:rsidRPr="004B082A">
        <w:rPr>
          <w:lang w:val="sr-Cyrl-CS"/>
        </w:rPr>
        <w:t>_____</w:t>
      </w:r>
    </w:p>
    <w:p w14:paraId="2EB52A5B" w14:textId="0494BE27" w:rsidR="005A1008" w:rsidRPr="004B082A" w:rsidRDefault="005A1008" w:rsidP="00D3254E">
      <w:pPr>
        <w:tabs>
          <w:tab w:val="clear" w:pos="567"/>
          <w:tab w:val="left" w:pos="180"/>
        </w:tabs>
        <w:rPr>
          <w:lang w:val="sr-Cyrl-CS"/>
        </w:rPr>
      </w:pPr>
      <w:r w:rsidRPr="004B082A">
        <w:rPr>
          <w:lang w:val="sr-Cyrl-CS"/>
        </w:rPr>
        <w:tab/>
      </w:r>
      <w:r w:rsidR="00D3254E" w:rsidRPr="004B082A">
        <w:rPr>
          <w:lang w:val="sr-Cyrl-CS"/>
        </w:rPr>
        <w:tab/>
        <w:t xml:space="preserve">      </w:t>
      </w:r>
      <w:r w:rsidR="00CD1FD1" w:rsidRPr="004B082A">
        <w:rPr>
          <w:lang w:val="sr-Cyrl-CS"/>
        </w:rPr>
        <w:t xml:space="preserve">Име: </w:t>
      </w:r>
      <w:r w:rsidR="00B158E7" w:rsidRPr="004B082A">
        <w:rPr>
          <w:lang w:val="sr-Cyrl-CS"/>
        </w:rPr>
        <w:t>ODILE RENAUD-BASSO</w:t>
      </w:r>
    </w:p>
    <w:p w14:paraId="05E01753" w14:textId="7D0BBFDF" w:rsidR="005E0B9D" w:rsidRPr="004B082A" w:rsidRDefault="005A1008" w:rsidP="00D3254E">
      <w:pPr>
        <w:tabs>
          <w:tab w:val="clear" w:pos="567"/>
          <w:tab w:val="left" w:pos="180"/>
        </w:tabs>
        <w:rPr>
          <w:lang w:val="sr-Cyrl-CS"/>
        </w:rPr>
        <w:sectPr w:rsidR="005E0B9D" w:rsidRPr="004B082A" w:rsidSect="00F51787">
          <w:footerReference w:type="default" r:id="rId16"/>
          <w:endnotePr>
            <w:numFmt w:val="decimal"/>
          </w:endnotePr>
          <w:pgSz w:w="11906" w:h="16838"/>
          <w:pgMar w:top="1440" w:right="1701" w:bottom="1440" w:left="1701" w:header="720" w:footer="720" w:gutter="0"/>
          <w:cols w:space="720"/>
        </w:sectPr>
      </w:pPr>
      <w:r w:rsidRPr="004B082A">
        <w:rPr>
          <w:lang w:val="sr-Cyrl-CS"/>
        </w:rPr>
        <w:tab/>
      </w:r>
      <w:r w:rsidR="00D3254E" w:rsidRPr="004B082A">
        <w:rPr>
          <w:lang w:val="sr-Cyrl-CS"/>
        </w:rPr>
        <w:tab/>
        <w:t xml:space="preserve">      </w:t>
      </w:r>
      <w:r w:rsidRPr="004B082A">
        <w:rPr>
          <w:lang w:val="sr-Cyrl-CS"/>
        </w:rPr>
        <w:t xml:space="preserve">Звање: </w:t>
      </w:r>
      <w:r w:rsidR="00CD1FD1" w:rsidRPr="004B082A">
        <w:rPr>
          <w:lang w:val="sr-Cyrl-CS"/>
        </w:rPr>
        <w:t xml:space="preserve"> ПРЕДСЕДНИК</w:t>
      </w:r>
    </w:p>
    <w:p w14:paraId="2F09B406" w14:textId="77777777" w:rsidR="008739C6" w:rsidRPr="004B082A" w:rsidRDefault="008739C6" w:rsidP="008739C6">
      <w:pPr>
        <w:pStyle w:val="ScheduleHeading"/>
        <w:rPr>
          <w:lang w:val="sr-Cyrl-CS"/>
        </w:rPr>
      </w:pPr>
      <w:bookmarkStart w:id="57" w:name="_Toc144993900"/>
      <w:r w:rsidRPr="004B082A">
        <w:rPr>
          <w:lang w:val="sr-Cyrl-CS"/>
        </w:rPr>
        <w:lastRenderedPageBreak/>
        <w:t>ПРИЛОГ 1 – ОПИС ПРОЈЕКТА</w:t>
      </w:r>
      <w:bookmarkEnd w:id="57"/>
    </w:p>
    <w:p w14:paraId="6B6D187F" w14:textId="6ECF76EA" w:rsidR="00266D36" w:rsidRPr="004B082A" w:rsidRDefault="005E0B9D" w:rsidP="007A36E5">
      <w:pPr>
        <w:spacing w:before="240"/>
        <w:rPr>
          <w:lang w:val="sr-Cyrl-CS"/>
        </w:rPr>
      </w:pPr>
      <w:r w:rsidRPr="004B082A">
        <w:rPr>
          <w:lang w:val="sr-Cyrl-CS"/>
        </w:rPr>
        <w:t>1.</w:t>
      </w:r>
      <w:r w:rsidRPr="004B082A">
        <w:rPr>
          <w:lang w:val="sr-Cyrl-CS"/>
        </w:rPr>
        <w:tab/>
      </w:r>
      <w:r w:rsidR="00266D36" w:rsidRPr="004B082A">
        <w:rPr>
          <w:lang w:val="sr-Cyrl-CS"/>
        </w:rPr>
        <w:t xml:space="preserve">Сврха Пројекта је да помогне Зајмопримцу у инвестицијама у обновљиву даљинску енергију </w:t>
      </w:r>
      <w:r w:rsidR="00C63767" w:rsidRPr="004B082A">
        <w:rPr>
          <w:lang w:val="sr-Cyrl-CS"/>
        </w:rPr>
        <w:t>подржавајући интеграцију</w:t>
      </w:r>
      <w:r w:rsidR="00DF6FBD" w:rsidRPr="004B082A">
        <w:rPr>
          <w:lang w:val="sr-Cyrl-CS"/>
        </w:rPr>
        <w:t xml:space="preserve"> соларно – </w:t>
      </w:r>
      <w:r w:rsidR="00266D36" w:rsidRPr="004B082A">
        <w:rPr>
          <w:lang w:val="sr-Cyrl-CS"/>
        </w:rPr>
        <w:t>термалних, топлотних пумпи, отпадне топлоте и геотермалних технологија, као и комплементарних мера (замена и/или проширење мрежа, надог</w:t>
      </w:r>
      <w:r w:rsidR="00C63767" w:rsidRPr="004B082A">
        <w:rPr>
          <w:lang w:val="sr-Cyrl-CS"/>
        </w:rPr>
        <w:t>радња, замена и</w:t>
      </w:r>
      <w:r w:rsidR="00266D36" w:rsidRPr="004B082A">
        <w:rPr>
          <w:lang w:val="sr-Cyrl-CS"/>
        </w:rPr>
        <w:t>/или постављање подстаница) у постојеће системе даљинског грејања у неколико малих и средњих општина у Србији, укључујући: Ниш, Крагујевац, Бечеј, Панчево, Вршац, Крушевац, Богатић, Краљево, Нови Пазар и Параћин.</w:t>
      </w:r>
    </w:p>
    <w:p w14:paraId="3721CD3C" w14:textId="7C2966C2" w:rsidR="009773EA" w:rsidRPr="004B082A" w:rsidRDefault="005E0B9D" w:rsidP="000C06CD">
      <w:pPr>
        <w:spacing w:before="240"/>
        <w:rPr>
          <w:lang w:val="sr-Cyrl-CS"/>
        </w:rPr>
      </w:pPr>
      <w:r w:rsidRPr="004B082A">
        <w:rPr>
          <w:lang w:val="sr-Cyrl-CS"/>
        </w:rPr>
        <w:t>2.</w:t>
      </w:r>
      <w:r w:rsidRPr="004B082A">
        <w:rPr>
          <w:lang w:val="sr-Cyrl-CS"/>
        </w:rPr>
        <w:tab/>
      </w:r>
      <w:r w:rsidR="009773EA" w:rsidRPr="004B082A">
        <w:rPr>
          <w:lang w:val="sr-Cyrl-CS"/>
        </w:rPr>
        <w:t xml:space="preserve">Потпројекти су оцењени и одабрани кроз </w:t>
      </w:r>
      <w:r w:rsidR="000C06CD" w:rsidRPr="004B082A">
        <w:rPr>
          <w:lang w:val="sr-Cyrl-CS"/>
        </w:rPr>
        <w:t xml:space="preserve">Обновљиве изворе енергије у системима даљинског грејања у оквиру Програма Западног Балкана </w:t>
      </w:r>
      <w:r w:rsidR="009773EA" w:rsidRPr="004B082A">
        <w:rPr>
          <w:lang w:val="sr-Cyrl-CS"/>
        </w:rPr>
        <w:t>(„ReDEWeB</w:t>
      </w:r>
      <w:r w:rsidR="00605F92" w:rsidRPr="004B082A">
        <w:rPr>
          <w:lang w:val="sr-Cyrl-CS"/>
        </w:rPr>
        <w:t>”</w:t>
      </w:r>
      <w:r w:rsidR="00862CC6" w:rsidRPr="004B082A">
        <w:rPr>
          <w:lang w:val="sr-Cyrl-CS"/>
        </w:rPr>
        <w:t xml:space="preserve">) који је </w:t>
      </w:r>
      <w:r w:rsidR="009773EA" w:rsidRPr="004B082A">
        <w:rPr>
          <w:lang w:val="sr-Cyrl-CS"/>
        </w:rPr>
        <w:t xml:space="preserve">2019. </w:t>
      </w:r>
      <w:r w:rsidR="00605F92" w:rsidRPr="004B082A">
        <w:rPr>
          <w:lang w:val="sr-Cyrl-CS"/>
        </w:rPr>
        <w:t>године</w:t>
      </w:r>
      <w:r w:rsidR="00CA7D30" w:rsidRPr="004B082A">
        <w:rPr>
          <w:lang w:val="sr-Cyrl-CS"/>
        </w:rPr>
        <w:t xml:space="preserve"> установила ЕБРД</w:t>
      </w:r>
      <w:r w:rsidR="00605F92" w:rsidRPr="004B082A">
        <w:rPr>
          <w:lang w:val="sr-Cyrl-CS"/>
        </w:rPr>
        <w:t xml:space="preserve">. </w:t>
      </w:r>
      <w:r w:rsidR="009773EA" w:rsidRPr="004B082A">
        <w:rPr>
          <w:lang w:val="sr-Cyrl-CS"/>
        </w:rPr>
        <w:t xml:space="preserve">ReDEWeB је успостављен у партнерству са Владом Аустрије како би се подстакле реформе и створило окружење за финансирање </w:t>
      </w:r>
      <w:r w:rsidR="00862CC6" w:rsidRPr="004B082A">
        <w:rPr>
          <w:lang w:val="sr-Cyrl-CS"/>
        </w:rPr>
        <w:t xml:space="preserve"> </w:t>
      </w:r>
      <w:r w:rsidR="009773EA" w:rsidRPr="004B082A">
        <w:rPr>
          <w:lang w:val="sr-Cyrl-CS"/>
        </w:rPr>
        <w:t>инвестиција у</w:t>
      </w:r>
      <w:r w:rsidR="000C06CD" w:rsidRPr="004B082A">
        <w:rPr>
          <w:lang w:val="sr-Cyrl-CS"/>
        </w:rPr>
        <w:t xml:space="preserve"> </w:t>
      </w:r>
      <w:r w:rsidR="00C70631" w:rsidRPr="004B082A">
        <w:rPr>
          <w:lang w:val="sr-Cyrl-CS"/>
        </w:rPr>
        <w:t>О</w:t>
      </w:r>
      <w:r w:rsidR="000C06CD" w:rsidRPr="004B082A">
        <w:rPr>
          <w:lang w:val="sr-Cyrl-CS"/>
        </w:rPr>
        <w:t>бновљиве изворе енергије у системима даљинског грејања у оквиру Западног Балкана.</w:t>
      </w:r>
    </w:p>
    <w:p w14:paraId="0DCE1C10" w14:textId="3C623E92" w:rsidR="009E0690" w:rsidRPr="004B082A" w:rsidRDefault="009E0690" w:rsidP="00F2158C">
      <w:pPr>
        <w:spacing w:before="240"/>
        <w:rPr>
          <w:lang w:val="sr-Cyrl-CS"/>
        </w:rPr>
      </w:pPr>
      <w:r w:rsidRPr="004B082A">
        <w:rPr>
          <w:lang w:val="sr-Cyrl-CS"/>
        </w:rPr>
        <w:t xml:space="preserve">Очекује се да ће </w:t>
      </w:r>
      <w:r w:rsidR="00C70631" w:rsidRPr="004B082A">
        <w:rPr>
          <w:lang w:val="sr-Cyrl-CS"/>
        </w:rPr>
        <w:t>П</w:t>
      </w:r>
      <w:r w:rsidRPr="004B082A">
        <w:rPr>
          <w:lang w:val="sr-Cyrl-CS"/>
        </w:rPr>
        <w:t>ројекат бити суфинансиран инвестиционим грантовима и грантовима техничке помоћи SECO</w:t>
      </w:r>
      <w:r w:rsidR="00C70631" w:rsidRPr="004B082A">
        <w:rPr>
          <w:lang w:val="sr-Cyrl-CS"/>
        </w:rPr>
        <w:t>–</w:t>
      </w:r>
      <w:r w:rsidR="003D24C6" w:rsidRPr="004B082A">
        <w:rPr>
          <w:lang w:val="sr-Cyrl-CS"/>
        </w:rPr>
        <w:t xml:space="preserve">а </w:t>
      </w:r>
      <w:r w:rsidRPr="004B082A">
        <w:rPr>
          <w:lang w:val="sr-Cyrl-CS"/>
        </w:rPr>
        <w:t xml:space="preserve"> и ЕУ у оквиру REEP</w:t>
      </w:r>
      <w:r w:rsidR="00C70631" w:rsidRPr="004B082A">
        <w:rPr>
          <w:lang w:val="sr-Cyrl-CS"/>
        </w:rPr>
        <w:t>–</w:t>
      </w:r>
      <w:r w:rsidR="003D24C6" w:rsidRPr="004B082A">
        <w:rPr>
          <w:lang w:val="sr-Cyrl-CS"/>
        </w:rPr>
        <w:t>а</w:t>
      </w:r>
      <w:r w:rsidRPr="004B082A">
        <w:rPr>
          <w:lang w:val="sr-Cyrl-CS"/>
        </w:rPr>
        <w:t>.</w:t>
      </w:r>
    </w:p>
    <w:p w14:paraId="4B57EC84" w14:textId="50AA10E9" w:rsidR="00681E0D" w:rsidRPr="004B082A" w:rsidRDefault="005E0B9D" w:rsidP="00681E0D">
      <w:pPr>
        <w:spacing w:before="240"/>
        <w:rPr>
          <w:sz w:val="20"/>
          <w:lang w:val="sr-Cyrl-CS"/>
        </w:rPr>
        <w:sectPr w:rsidR="00681E0D" w:rsidRPr="004B082A" w:rsidSect="00F51787">
          <w:footerReference w:type="default" r:id="rId17"/>
          <w:endnotePr>
            <w:numFmt w:val="decimal"/>
          </w:endnotePr>
          <w:pgSz w:w="11907" w:h="16834"/>
          <w:pgMar w:top="1440" w:right="1701" w:bottom="1440" w:left="1701" w:header="720" w:footer="720" w:gutter="0"/>
          <w:cols w:space="2835"/>
          <w:noEndnote/>
        </w:sectPr>
      </w:pPr>
      <w:r w:rsidRPr="004B082A">
        <w:rPr>
          <w:lang w:val="sr-Cyrl-CS"/>
        </w:rPr>
        <w:t>3.</w:t>
      </w:r>
      <w:r w:rsidRPr="004B082A">
        <w:rPr>
          <w:lang w:val="sr-Cyrl-CS"/>
        </w:rPr>
        <w:tab/>
      </w:r>
      <w:r w:rsidR="00681E0D" w:rsidRPr="004B082A">
        <w:rPr>
          <w:lang w:val="sr-Cyrl-CS"/>
        </w:rPr>
        <w:t>Очекује се да ћ</w:t>
      </w:r>
      <w:r w:rsidR="007F42D9" w:rsidRPr="004B082A">
        <w:rPr>
          <w:lang w:val="sr-Cyrl-CS"/>
        </w:rPr>
        <w:t xml:space="preserve">е </w:t>
      </w:r>
      <w:r w:rsidR="00C70631" w:rsidRPr="004B082A">
        <w:rPr>
          <w:lang w:val="sr-Cyrl-CS"/>
        </w:rPr>
        <w:t>П</w:t>
      </w:r>
      <w:r w:rsidR="007F42D9" w:rsidRPr="004B082A">
        <w:rPr>
          <w:lang w:val="sr-Cyrl-CS"/>
        </w:rPr>
        <w:t>ројекат бити завршен до средине 2027</w:t>
      </w:r>
      <w:r w:rsidR="00681E0D" w:rsidRPr="004B082A">
        <w:rPr>
          <w:lang w:val="sr-Cyrl-CS"/>
        </w:rPr>
        <w:t>. године.</w:t>
      </w:r>
    </w:p>
    <w:p w14:paraId="68D7D73A" w14:textId="3B68ACF4" w:rsidR="00D0424A" w:rsidRPr="004B082A" w:rsidRDefault="00D0424A" w:rsidP="00D0424A">
      <w:pPr>
        <w:jc w:val="center"/>
        <w:rPr>
          <w:b/>
          <w:lang w:val="sr-Cyrl-CS"/>
        </w:rPr>
      </w:pPr>
      <w:r w:rsidRPr="004B082A">
        <w:rPr>
          <w:b/>
          <w:lang w:val="sr-Cyrl-CS"/>
        </w:rPr>
        <w:lastRenderedPageBreak/>
        <w:t>ПРИЛОГ 2 – КАТЕГОРИЈЕ И ПОВЛАЧЕЊЕ СРЕДСТАВА</w:t>
      </w:r>
    </w:p>
    <w:p w14:paraId="30AFD14A" w14:textId="7D0850E1" w:rsidR="0073303A" w:rsidRPr="004B082A" w:rsidRDefault="0073303A" w:rsidP="00B01626">
      <w:pPr>
        <w:tabs>
          <w:tab w:val="clear" w:pos="567"/>
          <w:tab w:val="left" w:pos="540"/>
        </w:tabs>
        <w:spacing w:before="240"/>
        <w:rPr>
          <w:lang w:val="sr-Cyrl-CS"/>
        </w:rPr>
      </w:pPr>
      <w:r w:rsidRPr="004B082A">
        <w:rPr>
          <w:lang w:val="sr-Cyrl-CS"/>
        </w:rPr>
        <w:t>1.</w:t>
      </w:r>
      <w:r w:rsidRPr="004B082A">
        <w:rPr>
          <w:lang w:val="sr-Cyrl-CS"/>
        </w:rPr>
        <w:tab/>
        <w:t xml:space="preserve">У табели испод су наведене </w:t>
      </w:r>
      <w:r w:rsidR="00C70631" w:rsidRPr="004B082A">
        <w:rPr>
          <w:lang w:val="sr-Cyrl-CS"/>
        </w:rPr>
        <w:t>К</w:t>
      </w:r>
      <w:r w:rsidRPr="004B082A">
        <w:rPr>
          <w:lang w:val="sr-Cyrl-CS"/>
        </w:rPr>
        <w:t xml:space="preserve">атегорије, износ </w:t>
      </w:r>
      <w:r w:rsidR="00C70631" w:rsidRPr="004B082A">
        <w:rPr>
          <w:lang w:val="sr-Cyrl-CS"/>
        </w:rPr>
        <w:t>З</w:t>
      </w:r>
      <w:r w:rsidRPr="004B082A">
        <w:rPr>
          <w:lang w:val="sr-Cyrl-CS"/>
        </w:rPr>
        <w:t xml:space="preserve">ајма који је додељен свакој </w:t>
      </w:r>
      <w:r w:rsidR="00C70631" w:rsidRPr="004B082A">
        <w:rPr>
          <w:lang w:val="sr-Cyrl-CS"/>
        </w:rPr>
        <w:t>К</w:t>
      </w:r>
      <w:r w:rsidRPr="004B082A">
        <w:rPr>
          <w:lang w:val="sr-Cyrl-CS"/>
        </w:rPr>
        <w:t xml:space="preserve">атегорији и проценат расхода који ће се финансирати у свакој </w:t>
      </w:r>
      <w:r w:rsidR="00C70631" w:rsidRPr="004B082A">
        <w:rPr>
          <w:lang w:val="sr-Cyrl-CS"/>
        </w:rPr>
        <w:t>К</w:t>
      </w:r>
      <w:r w:rsidRPr="004B082A">
        <w:rPr>
          <w:lang w:val="sr-Cyrl-CS"/>
        </w:rPr>
        <w:t>атегорији.</w:t>
      </w:r>
    </w:p>
    <w:p w14:paraId="3EE09258" w14:textId="7E3989D3" w:rsidR="0073303A" w:rsidRPr="004B082A" w:rsidRDefault="000172E9" w:rsidP="00D557EF">
      <w:pPr>
        <w:spacing w:before="240"/>
        <w:rPr>
          <w:lang w:val="sr-Cyrl-CS"/>
        </w:rPr>
      </w:pPr>
      <w:r w:rsidRPr="004B082A">
        <w:rPr>
          <w:lang w:val="sr-Cyrl-CS"/>
        </w:rPr>
        <w:t>2</w:t>
      </w:r>
      <w:r w:rsidR="005E0B9D" w:rsidRPr="004B082A">
        <w:rPr>
          <w:lang w:val="sr-Cyrl-CS"/>
        </w:rPr>
        <w:t>.</w:t>
      </w:r>
      <w:r w:rsidR="005E0B9D" w:rsidRPr="004B082A">
        <w:rPr>
          <w:lang w:val="sr-Cyrl-CS"/>
        </w:rPr>
        <w:tab/>
      </w:r>
      <w:r w:rsidR="0073303A" w:rsidRPr="004B082A">
        <w:rPr>
          <w:lang w:val="sr-Cyrl-CS"/>
        </w:rPr>
        <w:t>Ради избегавања сумње, повлачење</w:t>
      </w:r>
      <w:r w:rsidR="00C70631" w:rsidRPr="004B082A">
        <w:rPr>
          <w:lang w:val="sr-Cyrl-CS"/>
        </w:rPr>
        <w:t xml:space="preserve"> средстава</w:t>
      </w:r>
      <w:r w:rsidR="0073303A" w:rsidRPr="004B082A">
        <w:rPr>
          <w:lang w:val="sr-Cyrl-CS"/>
        </w:rPr>
        <w:t xml:space="preserve"> неће бити извршено све док овај уговор не ступи на снагу.</w:t>
      </w:r>
    </w:p>
    <w:p w14:paraId="6326507F" w14:textId="706FCF02" w:rsidR="0073303A" w:rsidRPr="004B082A" w:rsidRDefault="00D557EF">
      <w:pPr>
        <w:spacing w:before="240"/>
        <w:rPr>
          <w:lang w:val="sr-Cyrl-CS"/>
        </w:rPr>
      </w:pPr>
      <w:r w:rsidRPr="004B082A">
        <w:rPr>
          <w:lang w:val="sr-Cyrl-CS"/>
        </w:rPr>
        <w:t>3.</w:t>
      </w:r>
      <w:r w:rsidRPr="004B082A">
        <w:rPr>
          <w:lang w:val="sr-Cyrl-CS"/>
        </w:rPr>
        <w:tab/>
      </w:r>
      <w:r w:rsidR="0073303A" w:rsidRPr="004B082A">
        <w:rPr>
          <w:lang w:val="sr-Cyrl-CS"/>
        </w:rPr>
        <w:t>Без обзира на одредбе става 1. овог члана, повлачење средстава неће бити извршено у вези са расходима који су настали пре датума овог уговора.</w:t>
      </w:r>
    </w:p>
    <w:p w14:paraId="6FC9A8B3" w14:textId="532B9EC6" w:rsidR="0075096C" w:rsidRPr="004B082A" w:rsidRDefault="0075096C" w:rsidP="0075096C">
      <w:pPr>
        <w:spacing w:before="240"/>
        <w:rPr>
          <w:lang w:val="sr-Cyrl-CS"/>
        </w:rPr>
      </w:pPr>
      <w:r w:rsidRPr="004B082A">
        <w:rPr>
          <w:lang w:val="sr-Cyrl-CS"/>
        </w:rPr>
        <w:t>4.</w:t>
      </w:r>
      <w:r w:rsidRPr="004B082A">
        <w:rPr>
          <w:lang w:val="sr-Cyrl-CS"/>
        </w:rPr>
        <w:tab/>
        <w:t>Банка ће имати право да повуче</w:t>
      </w:r>
      <w:r w:rsidR="00C70631" w:rsidRPr="004B082A">
        <w:rPr>
          <w:lang w:val="sr-Cyrl-CS"/>
        </w:rPr>
        <w:t xml:space="preserve"> средства</w:t>
      </w:r>
      <w:r w:rsidRPr="004B082A">
        <w:rPr>
          <w:lang w:val="sr-Cyrl-CS"/>
        </w:rPr>
        <w:t xml:space="preserve"> у име Зајмопримца и плати себи, када доспе, </w:t>
      </w:r>
      <w:r w:rsidR="00C70631" w:rsidRPr="004B082A">
        <w:rPr>
          <w:lang w:val="sr-Cyrl-CS"/>
        </w:rPr>
        <w:t>У</w:t>
      </w:r>
      <w:r w:rsidRPr="004B082A">
        <w:rPr>
          <w:lang w:val="sr-Cyrl-CS"/>
        </w:rPr>
        <w:t xml:space="preserve">писну провизију. </w:t>
      </w:r>
    </w:p>
    <w:p w14:paraId="48473BB0" w14:textId="77777777" w:rsidR="0075096C" w:rsidRPr="004B082A" w:rsidRDefault="0075096C" w:rsidP="00D557EF">
      <w:pPr>
        <w:spacing w:before="240"/>
        <w:rPr>
          <w:lang w:val="sr-Cyrl-CS"/>
        </w:rPr>
      </w:pPr>
    </w:p>
    <w:p w14:paraId="74BEDBC3" w14:textId="77777777" w:rsidR="005E0B9D" w:rsidRPr="004B082A" w:rsidRDefault="005E0B9D">
      <w:pPr>
        <w:spacing w:before="240"/>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2348"/>
        <w:gridCol w:w="3139"/>
      </w:tblGrid>
      <w:tr w:rsidR="00C44F26" w:rsidRPr="004B082A" w14:paraId="7FF604FE" w14:textId="77777777" w:rsidTr="00F50D8E">
        <w:tc>
          <w:tcPr>
            <w:tcW w:w="3085" w:type="dxa"/>
            <w:shd w:val="clear" w:color="auto" w:fill="auto"/>
          </w:tcPr>
          <w:p w14:paraId="5901B263" w14:textId="2E971467" w:rsidR="00C44F26" w:rsidRPr="004B082A" w:rsidRDefault="006A6E8F" w:rsidP="00F50D8E">
            <w:pPr>
              <w:pStyle w:val="Default"/>
              <w:jc w:val="center"/>
              <w:rPr>
                <w:b/>
                <w:bCs/>
                <w:color w:val="auto"/>
                <w:sz w:val="23"/>
                <w:szCs w:val="23"/>
                <w:lang w:val="sr-Cyrl-CS"/>
              </w:rPr>
            </w:pPr>
            <w:r w:rsidRPr="004B082A">
              <w:rPr>
                <w:b/>
                <w:bCs/>
                <w:color w:val="auto"/>
                <w:sz w:val="23"/>
                <w:szCs w:val="23"/>
                <w:lang w:val="sr-Cyrl-CS"/>
              </w:rPr>
              <w:t>Категорија</w:t>
            </w:r>
          </w:p>
        </w:tc>
        <w:tc>
          <w:tcPr>
            <w:tcW w:w="2410" w:type="dxa"/>
            <w:shd w:val="clear" w:color="auto" w:fill="auto"/>
          </w:tcPr>
          <w:p w14:paraId="254A2BDA" w14:textId="77777777" w:rsidR="00C70631" w:rsidRPr="004B082A" w:rsidRDefault="009300A4" w:rsidP="00F50D8E">
            <w:pPr>
              <w:pStyle w:val="Default"/>
              <w:jc w:val="center"/>
              <w:rPr>
                <w:b/>
                <w:bCs/>
                <w:color w:val="auto"/>
                <w:sz w:val="23"/>
                <w:szCs w:val="23"/>
                <w:lang w:val="sr-Cyrl-CS"/>
              </w:rPr>
            </w:pPr>
            <w:r w:rsidRPr="004B082A">
              <w:rPr>
                <w:b/>
                <w:bCs/>
                <w:color w:val="auto"/>
                <w:sz w:val="23"/>
                <w:szCs w:val="23"/>
                <w:lang w:val="sr-Cyrl-CS"/>
              </w:rPr>
              <w:t xml:space="preserve">Износ </w:t>
            </w:r>
            <w:r w:rsidR="00C70631" w:rsidRPr="004B082A">
              <w:rPr>
                <w:b/>
                <w:bCs/>
                <w:color w:val="auto"/>
                <w:sz w:val="23"/>
                <w:szCs w:val="23"/>
                <w:lang w:val="sr-Cyrl-CS"/>
              </w:rPr>
              <w:t>З</w:t>
            </w:r>
            <w:r w:rsidRPr="004B082A">
              <w:rPr>
                <w:b/>
                <w:bCs/>
                <w:color w:val="auto"/>
                <w:sz w:val="23"/>
                <w:szCs w:val="23"/>
                <w:lang w:val="sr-Cyrl-CS"/>
              </w:rPr>
              <w:t xml:space="preserve">ајма </w:t>
            </w:r>
          </w:p>
          <w:p w14:paraId="31256532" w14:textId="192115B3" w:rsidR="00C44F26" w:rsidRPr="004B082A" w:rsidRDefault="009300A4" w:rsidP="00F50D8E">
            <w:pPr>
              <w:pStyle w:val="Default"/>
              <w:jc w:val="center"/>
              <w:rPr>
                <w:b/>
                <w:bCs/>
                <w:color w:val="auto"/>
                <w:sz w:val="23"/>
                <w:szCs w:val="23"/>
                <w:lang w:val="sr-Cyrl-CS"/>
              </w:rPr>
            </w:pPr>
            <w:r w:rsidRPr="004B082A">
              <w:rPr>
                <w:b/>
                <w:bCs/>
                <w:color w:val="auto"/>
                <w:sz w:val="23"/>
                <w:szCs w:val="23"/>
                <w:lang w:val="sr-Cyrl-CS"/>
              </w:rPr>
              <w:t>(евро</w:t>
            </w:r>
            <w:r w:rsidR="00C44F26" w:rsidRPr="004B082A">
              <w:rPr>
                <w:b/>
                <w:bCs/>
                <w:color w:val="auto"/>
                <w:sz w:val="23"/>
                <w:szCs w:val="23"/>
                <w:lang w:val="sr-Cyrl-CS"/>
              </w:rPr>
              <w:t>)</w:t>
            </w:r>
          </w:p>
        </w:tc>
        <w:tc>
          <w:tcPr>
            <w:tcW w:w="3226" w:type="dxa"/>
            <w:shd w:val="clear" w:color="auto" w:fill="auto"/>
          </w:tcPr>
          <w:p w14:paraId="02A7F1DB" w14:textId="3089EE5B" w:rsidR="00C44F26" w:rsidRPr="004B082A" w:rsidRDefault="009300A4" w:rsidP="00F50D8E">
            <w:pPr>
              <w:pStyle w:val="Default"/>
              <w:jc w:val="center"/>
              <w:rPr>
                <w:b/>
                <w:bCs/>
                <w:color w:val="auto"/>
                <w:sz w:val="23"/>
                <w:szCs w:val="23"/>
                <w:lang w:val="sr-Cyrl-CS"/>
              </w:rPr>
            </w:pPr>
            <w:r w:rsidRPr="004B082A">
              <w:rPr>
                <w:b/>
                <w:bCs/>
                <w:color w:val="auto"/>
                <w:sz w:val="23"/>
                <w:szCs w:val="23"/>
                <w:lang w:val="sr-Cyrl-CS"/>
              </w:rPr>
              <w:t>% трошкова који ће се финансирати</w:t>
            </w:r>
          </w:p>
        </w:tc>
      </w:tr>
      <w:tr w:rsidR="00C44F26" w:rsidRPr="004B082A" w14:paraId="549165B5" w14:textId="77777777" w:rsidTr="00C70631">
        <w:trPr>
          <w:trHeight w:val="827"/>
        </w:trPr>
        <w:tc>
          <w:tcPr>
            <w:tcW w:w="3085" w:type="dxa"/>
            <w:shd w:val="clear" w:color="auto" w:fill="auto"/>
          </w:tcPr>
          <w:p w14:paraId="2734790B" w14:textId="18C71C1B" w:rsidR="00643A51" w:rsidRPr="004B082A" w:rsidRDefault="00093166" w:rsidP="00B7171A">
            <w:pPr>
              <w:pStyle w:val="Default"/>
              <w:jc w:val="both"/>
              <w:rPr>
                <w:bCs/>
                <w:color w:val="auto"/>
                <w:sz w:val="23"/>
                <w:szCs w:val="23"/>
                <w:lang w:val="sr-Cyrl-CS"/>
              </w:rPr>
            </w:pPr>
            <w:r w:rsidRPr="004B082A">
              <w:rPr>
                <w:bCs/>
                <w:color w:val="auto"/>
                <w:sz w:val="23"/>
                <w:szCs w:val="23"/>
                <w:lang w:val="sr-Cyrl-CS"/>
              </w:rPr>
              <w:t xml:space="preserve">Capex </w:t>
            </w:r>
            <w:r w:rsidR="00643A51" w:rsidRPr="004B082A">
              <w:rPr>
                <w:bCs/>
                <w:color w:val="auto"/>
                <w:sz w:val="23"/>
                <w:szCs w:val="23"/>
                <w:lang w:val="sr-Cyrl-CS"/>
              </w:rPr>
              <w:t>(Капита</w:t>
            </w:r>
            <w:r w:rsidR="00FD32CB" w:rsidRPr="004B082A">
              <w:rPr>
                <w:bCs/>
                <w:color w:val="auto"/>
                <w:sz w:val="23"/>
                <w:szCs w:val="23"/>
                <w:lang w:val="sr-Cyrl-CS"/>
              </w:rPr>
              <w:t>лни издатак (инвестиција</w:t>
            </w:r>
            <w:r w:rsidR="00643A51" w:rsidRPr="004B082A">
              <w:rPr>
                <w:bCs/>
                <w:color w:val="auto"/>
                <w:sz w:val="23"/>
                <w:szCs w:val="23"/>
                <w:lang w:val="sr-Cyrl-CS"/>
              </w:rPr>
              <w:t>)</w:t>
            </w:r>
            <w:r w:rsidR="00C70631" w:rsidRPr="004B082A">
              <w:rPr>
                <w:bCs/>
                <w:color w:val="auto"/>
                <w:sz w:val="23"/>
                <w:szCs w:val="23"/>
                <w:lang w:val="sr-Cyrl-CS"/>
              </w:rPr>
              <w:t>)</w:t>
            </w:r>
            <w:r w:rsidR="00643A51" w:rsidRPr="004B082A">
              <w:rPr>
                <w:bCs/>
                <w:color w:val="auto"/>
                <w:sz w:val="23"/>
                <w:szCs w:val="23"/>
                <w:lang w:val="sr-Cyrl-CS"/>
              </w:rPr>
              <w:t xml:space="preserve"> у сваком од </w:t>
            </w:r>
            <w:r w:rsidR="00C70631" w:rsidRPr="004B082A">
              <w:rPr>
                <w:bCs/>
                <w:color w:val="auto"/>
                <w:sz w:val="23"/>
                <w:szCs w:val="23"/>
                <w:lang w:val="sr-Cyrl-CS"/>
              </w:rPr>
              <w:t>П</w:t>
            </w:r>
            <w:r w:rsidR="00643A51" w:rsidRPr="004B082A">
              <w:rPr>
                <w:bCs/>
                <w:color w:val="auto"/>
                <w:sz w:val="23"/>
                <w:szCs w:val="23"/>
                <w:lang w:val="sr-Cyrl-CS"/>
              </w:rPr>
              <w:t>отпројеката)</w:t>
            </w:r>
          </w:p>
        </w:tc>
        <w:tc>
          <w:tcPr>
            <w:tcW w:w="2410" w:type="dxa"/>
            <w:shd w:val="clear" w:color="auto" w:fill="auto"/>
          </w:tcPr>
          <w:p w14:paraId="231472AA" w14:textId="77777777" w:rsidR="00C44F26" w:rsidRPr="004B082A" w:rsidRDefault="00C44F26" w:rsidP="00F50D8E">
            <w:pPr>
              <w:pStyle w:val="Default"/>
              <w:jc w:val="center"/>
              <w:rPr>
                <w:bCs/>
                <w:color w:val="auto"/>
                <w:sz w:val="23"/>
                <w:szCs w:val="23"/>
                <w:lang w:val="sr-Cyrl-CS"/>
              </w:rPr>
            </w:pPr>
          </w:p>
          <w:p w14:paraId="627FAB2A" w14:textId="75D03374" w:rsidR="00C44F26" w:rsidRPr="004B082A" w:rsidRDefault="00C44F26" w:rsidP="00F50D8E">
            <w:pPr>
              <w:pStyle w:val="Default"/>
              <w:jc w:val="center"/>
              <w:rPr>
                <w:bCs/>
                <w:color w:val="auto"/>
                <w:sz w:val="23"/>
                <w:szCs w:val="23"/>
                <w:lang w:val="sr-Cyrl-CS"/>
              </w:rPr>
            </w:pPr>
            <w:r w:rsidRPr="004B082A">
              <w:rPr>
                <w:bCs/>
                <w:color w:val="auto"/>
                <w:sz w:val="23"/>
                <w:szCs w:val="23"/>
                <w:lang w:val="sr-Cyrl-CS"/>
              </w:rPr>
              <w:t>29</w:t>
            </w:r>
            <w:r w:rsidR="00093166" w:rsidRPr="004B082A">
              <w:rPr>
                <w:bCs/>
                <w:color w:val="auto"/>
                <w:sz w:val="23"/>
                <w:szCs w:val="23"/>
                <w:lang w:val="sr-Cyrl-CS"/>
              </w:rPr>
              <w:t>.</w:t>
            </w:r>
            <w:r w:rsidRPr="004B082A">
              <w:rPr>
                <w:bCs/>
                <w:color w:val="auto"/>
                <w:sz w:val="23"/>
                <w:szCs w:val="23"/>
                <w:lang w:val="sr-Cyrl-CS"/>
              </w:rPr>
              <w:t>7</w:t>
            </w:r>
            <w:r w:rsidR="00093166" w:rsidRPr="004B082A">
              <w:rPr>
                <w:bCs/>
                <w:color w:val="auto"/>
                <w:sz w:val="23"/>
                <w:szCs w:val="23"/>
                <w:lang w:val="sr-Cyrl-CS"/>
              </w:rPr>
              <w:t>00.</w:t>
            </w:r>
            <w:r w:rsidRPr="004B082A">
              <w:rPr>
                <w:bCs/>
                <w:color w:val="auto"/>
                <w:sz w:val="23"/>
                <w:szCs w:val="23"/>
                <w:lang w:val="sr-Cyrl-CS"/>
              </w:rPr>
              <w:t>000</w:t>
            </w:r>
          </w:p>
        </w:tc>
        <w:tc>
          <w:tcPr>
            <w:tcW w:w="3226" w:type="dxa"/>
            <w:shd w:val="clear" w:color="auto" w:fill="auto"/>
          </w:tcPr>
          <w:p w14:paraId="6DBAB589" w14:textId="59DE6C01" w:rsidR="00643A51" w:rsidRPr="004B082A" w:rsidRDefault="00643A51" w:rsidP="00C70631">
            <w:pPr>
              <w:jc w:val="center"/>
              <w:rPr>
                <w:sz w:val="20"/>
                <w:lang w:val="sr-Cyrl-CS"/>
              </w:rPr>
            </w:pPr>
            <w:r w:rsidRPr="004B082A">
              <w:rPr>
                <w:sz w:val="20"/>
                <w:lang w:val="sr-Cyrl-CS"/>
              </w:rPr>
              <w:t>100%</w:t>
            </w:r>
          </w:p>
          <w:p w14:paraId="75979DE6" w14:textId="661356A6" w:rsidR="00C44F26" w:rsidRPr="004B082A" w:rsidRDefault="00643A51" w:rsidP="00643A51">
            <w:pPr>
              <w:pStyle w:val="Default"/>
              <w:jc w:val="center"/>
              <w:rPr>
                <w:bCs/>
                <w:color w:val="auto"/>
                <w:sz w:val="23"/>
                <w:szCs w:val="23"/>
                <w:lang w:val="sr-Cyrl-CS"/>
              </w:rPr>
            </w:pPr>
            <w:r w:rsidRPr="004B082A">
              <w:rPr>
                <w:sz w:val="20"/>
                <w:lang w:val="sr-Cyrl-CS"/>
              </w:rPr>
              <w:t>(искључујући све порезе и царине)</w:t>
            </w:r>
          </w:p>
        </w:tc>
      </w:tr>
      <w:tr w:rsidR="00C44F26" w:rsidRPr="004B082A" w14:paraId="0CF56749" w14:textId="77777777" w:rsidTr="00F50D8E">
        <w:tc>
          <w:tcPr>
            <w:tcW w:w="3085" w:type="dxa"/>
            <w:shd w:val="clear" w:color="auto" w:fill="auto"/>
          </w:tcPr>
          <w:p w14:paraId="68F7B2FC" w14:textId="18B2B977" w:rsidR="00C44F26" w:rsidRPr="004B082A" w:rsidRDefault="00643A51" w:rsidP="00D557EF">
            <w:pPr>
              <w:pStyle w:val="Default"/>
              <w:jc w:val="both"/>
              <w:rPr>
                <w:bCs/>
                <w:color w:val="auto"/>
                <w:sz w:val="23"/>
                <w:szCs w:val="23"/>
                <w:lang w:val="sr-Cyrl-CS"/>
              </w:rPr>
            </w:pPr>
            <w:r w:rsidRPr="004B082A">
              <w:rPr>
                <w:bCs/>
                <w:color w:val="auto"/>
                <w:sz w:val="23"/>
                <w:szCs w:val="23"/>
                <w:lang w:val="sr-Cyrl-CS"/>
              </w:rPr>
              <w:t>Уписна провизија</w:t>
            </w:r>
          </w:p>
        </w:tc>
        <w:tc>
          <w:tcPr>
            <w:tcW w:w="2410" w:type="dxa"/>
            <w:shd w:val="clear" w:color="auto" w:fill="auto"/>
          </w:tcPr>
          <w:p w14:paraId="019A4C69" w14:textId="1711E9F7" w:rsidR="00C44F26" w:rsidRPr="004B082A" w:rsidRDefault="00093166" w:rsidP="00F50D8E">
            <w:pPr>
              <w:pStyle w:val="Default"/>
              <w:jc w:val="center"/>
              <w:rPr>
                <w:bCs/>
                <w:color w:val="auto"/>
                <w:sz w:val="23"/>
                <w:szCs w:val="23"/>
                <w:lang w:val="sr-Cyrl-CS"/>
              </w:rPr>
            </w:pPr>
            <w:r w:rsidRPr="004B082A">
              <w:rPr>
                <w:bCs/>
                <w:color w:val="auto"/>
                <w:sz w:val="23"/>
                <w:szCs w:val="23"/>
                <w:lang w:val="sr-Cyrl-CS"/>
              </w:rPr>
              <w:t>300.</w:t>
            </w:r>
            <w:r w:rsidR="00C44F26" w:rsidRPr="004B082A">
              <w:rPr>
                <w:bCs/>
                <w:color w:val="auto"/>
                <w:sz w:val="23"/>
                <w:szCs w:val="23"/>
                <w:lang w:val="sr-Cyrl-CS"/>
              </w:rPr>
              <w:t>000</w:t>
            </w:r>
          </w:p>
        </w:tc>
        <w:tc>
          <w:tcPr>
            <w:tcW w:w="3226" w:type="dxa"/>
            <w:shd w:val="clear" w:color="auto" w:fill="auto"/>
          </w:tcPr>
          <w:p w14:paraId="177209FA" w14:textId="77777777" w:rsidR="00C44F26" w:rsidRPr="004B082A" w:rsidRDefault="00C44F26" w:rsidP="00F50D8E">
            <w:pPr>
              <w:pStyle w:val="Default"/>
              <w:jc w:val="center"/>
              <w:rPr>
                <w:bCs/>
                <w:color w:val="auto"/>
                <w:sz w:val="23"/>
                <w:szCs w:val="23"/>
                <w:lang w:val="sr-Cyrl-CS"/>
              </w:rPr>
            </w:pPr>
            <w:r w:rsidRPr="004B082A">
              <w:rPr>
                <w:bCs/>
                <w:color w:val="auto"/>
                <w:sz w:val="23"/>
                <w:szCs w:val="23"/>
                <w:lang w:val="sr-Cyrl-CS"/>
              </w:rPr>
              <w:t>100%</w:t>
            </w:r>
          </w:p>
        </w:tc>
      </w:tr>
    </w:tbl>
    <w:p w14:paraId="3D88019F" w14:textId="77777777" w:rsidR="005E0B9D" w:rsidRPr="004B082A" w:rsidRDefault="005E0B9D" w:rsidP="00A9060D">
      <w:pPr>
        <w:pStyle w:val="ScheduleHeading"/>
        <w:jc w:val="both"/>
        <w:rPr>
          <w:lang w:val="sr-Cyrl-CS"/>
        </w:rPr>
      </w:pPr>
    </w:p>
    <w:sectPr w:rsidR="005E0B9D" w:rsidRPr="004B082A" w:rsidSect="00F51787">
      <w:headerReference w:type="default" r:id="rId18"/>
      <w:footerReference w:type="default" r:id="rId19"/>
      <w:endnotePr>
        <w:numFmt w:val="decimal"/>
      </w:endnotePr>
      <w:pgSz w:w="11906" w:h="16838"/>
      <w:pgMar w:top="1440" w:right="1701" w:bottom="144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A204E" w14:textId="77777777" w:rsidR="00147789" w:rsidRDefault="00147789"/>
  </w:endnote>
  <w:endnote w:type="continuationSeparator" w:id="0">
    <w:p w14:paraId="0805C8A8" w14:textId="77777777" w:rsidR="00147789" w:rsidRDefault="00147789"/>
  </w:endnote>
  <w:endnote w:type="continuationNotice" w:id="1">
    <w:p w14:paraId="5F1B62FE" w14:textId="77777777" w:rsidR="00147789" w:rsidRDefault="001477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4463127"/>
      <w:docPartObj>
        <w:docPartGallery w:val="Page Numbers (Bottom of Page)"/>
        <w:docPartUnique/>
      </w:docPartObj>
    </w:sdtPr>
    <w:sdtEndPr>
      <w:rPr>
        <w:noProof/>
      </w:rPr>
    </w:sdtEndPr>
    <w:sdtContent>
      <w:p w14:paraId="30EF63C2" w14:textId="1AB75CBD" w:rsidR="00E472D9" w:rsidRDefault="00E472D9">
        <w:pPr>
          <w:pStyle w:val="Footer"/>
        </w:pPr>
        <w:r>
          <w:fldChar w:fldCharType="begin"/>
        </w:r>
        <w:r>
          <w:instrText xml:space="preserve"> PAGE   \* MERGEFORMAT </w:instrText>
        </w:r>
        <w:r>
          <w:fldChar w:fldCharType="separate"/>
        </w:r>
        <w:r w:rsidR="008C1DED">
          <w:rPr>
            <w:noProof/>
          </w:rPr>
          <w:t>12</w:t>
        </w:r>
        <w:r>
          <w:rPr>
            <w:noProof/>
          </w:rPr>
          <w:fldChar w:fldCharType="end"/>
        </w:r>
      </w:p>
    </w:sdtContent>
  </w:sdt>
  <w:p w14:paraId="73A8F543" w14:textId="77777777" w:rsidR="00E472D9" w:rsidRDefault="00E472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9968889"/>
      <w:docPartObj>
        <w:docPartGallery w:val="Page Numbers (Bottom of Page)"/>
        <w:docPartUnique/>
      </w:docPartObj>
    </w:sdtPr>
    <w:sdtEndPr>
      <w:rPr>
        <w:noProof/>
      </w:rPr>
    </w:sdtEndPr>
    <w:sdtContent>
      <w:p w14:paraId="5B46D7AF" w14:textId="1A32BC7B" w:rsidR="00F51787" w:rsidRDefault="00F51787">
        <w:pPr>
          <w:pStyle w:val="Footer"/>
        </w:pPr>
        <w:r>
          <w:fldChar w:fldCharType="begin"/>
        </w:r>
        <w:r>
          <w:instrText xml:space="preserve"> PAGE   \* MERGEFORMAT </w:instrText>
        </w:r>
        <w:r>
          <w:fldChar w:fldCharType="separate"/>
        </w:r>
        <w:r w:rsidR="008C1DED">
          <w:rPr>
            <w:noProof/>
          </w:rPr>
          <w:t>13</w:t>
        </w:r>
        <w:r>
          <w:rPr>
            <w:noProof/>
          </w:rPr>
          <w:fldChar w:fldCharType="end"/>
        </w:r>
      </w:p>
    </w:sdtContent>
  </w:sdt>
  <w:p w14:paraId="3A25C317" w14:textId="117C6EF5" w:rsidR="00E93573" w:rsidRDefault="00E935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9874070"/>
      <w:docPartObj>
        <w:docPartGallery w:val="Page Numbers (Bottom of Page)"/>
        <w:docPartUnique/>
      </w:docPartObj>
    </w:sdtPr>
    <w:sdtEndPr>
      <w:rPr>
        <w:noProof/>
      </w:rPr>
    </w:sdtEndPr>
    <w:sdtContent>
      <w:p w14:paraId="51B93598" w14:textId="13323DDB" w:rsidR="00F51787" w:rsidRDefault="00F51787">
        <w:pPr>
          <w:pStyle w:val="Footer"/>
        </w:pPr>
        <w:r>
          <w:fldChar w:fldCharType="begin"/>
        </w:r>
        <w:r>
          <w:instrText xml:space="preserve"> PAGE   \* MERGEFORMAT </w:instrText>
        </w:r>
        <w:r>
          <w:fldChar w:fldCharType="separate"/>
        </w:r>
        <w:r w:rsidR="008C1DED">
          <w:rPr>
            <w:noProof/>
          </w:rPr>
          <w:t>21</w:t>
        </w:r>
        <w:r>
          <w:rPr>
            <w:noProof/>
          </w:rPr>
          <w:fldChar w:fldCharType="end"/>
        </w:r>
      </w:p>
    </w:sdtContent>
  </w:sdt>
  <w:p w14:paraId="7B1C406A" w14:textId="30F36D66" w:rsidR="00E93573" w:rsidRDefault="00E9357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088094"/>
      <w:docPartObj>
        <w:docPartGallery w:val="Page Numbers (Bottom of Page)"/>
        <w:docPartUnique/>
      </w:docPartObj>
    </w:sdtPr>
    <w:sdtEndPr>
      <w:rPr>
        <w:noProof/>
      </w:rPr>
    </w:sdtEndPr>
    <w:sdtContent>
      <w:p w14:paraId="43D975AB" w14:textId="6B1F3F3A" w:rsidR="00F51787" w:rsidRDefault="00F51787">
        <w:pPr>
          <w:pStyle w:val="Footer"/>
        </w:pPr>
        <w:r>
          <w:fldChar w:fldCharType="begin"/>
        </w:r>
        <w:r>
          <w:instrText xml:space="preserve"> PAGE   \* MERGEFORMAT </w:instrText>
        </w:r>
        <w:r>
          <w:fldChar w:fldCharType="separate"/>
        </w:r>
        <w:r w:rsidR="008C1DED">
          <w:rPr>
            <w:noProof/>
          </w:rPr>
          <w:t>23</w:t>
        </w:r>
        <w:r>
          <w:rPr>
            <w:noProof/>
          </w:rPr>
          <w:fldChar w:fldCharType="end"/>
        </w:r>
      </w:p>
    </w:sdtContent>
  </w:sdt>
  <w:p w14:paraId="4076D1C4" w14:textId="358FB886" w:rsidR="00E93573" w:rsidRPr="00B01626" w:rsidRDefault="00E93573" w:rsidP="002C6113">
    <w:pPr>
      <w:pStyle w:val="Footer"/>
      <w:jc w:val="both"/>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8295428"/>
      <w:docPartObj>
        <w:docPartGallery w:val="Page Numbers (Bottom of Page)"/>
        <w:docPartUnique/>
      </w:docPartObj>
    </w:sdtPr>
    <w:sdtEndPr>
      <w:rPr>
        <w:noProof/>
      </w:rPr>
    </w:sdtEndPr>
    <w:sdtContent>
      <w:p w14:paraId="4CEAE078" w14:textId="176F8247" w:rsidR="00F51787" w:rsidRDefault="00F51787">
        <w:pPr>
          <w:pStyle w:val="Footer"/>
        </w:pPr>
        <w:r>
          <w:fldChar w:fldCharType="begin"/>
        </w:r>
        <w:r>
          <w:instrText xml:space="preserve"> PAGE   \* MERGEFORMAT </w:instrText>
        </w:r>
        <w:r>
          <w:fldChar w:fldCharType="separate"/>
        </w:r>
        <w:r w:rsidR="008C1DED">
          <w:rPr>
            <w:noProof/>
          </w:rPr>
          <w:t>24</w:t>
        </w:r>
        <w:r>
          <w:rPr>
            <w:noProof/>
          </w:rPr>
          <w:fldChar w:fldCharType="end"/>
        </w:r>
      </w:p>
    </w:sdtContent>
  </w:sdt>
  <w:p w14:paraId="0B87C593" w14:textId="51A7A314" w:rsidR="00E93573" w:rsidRDefault="00E93573" w:rsidP="002C6113">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7195F" w14:textId="77777777" w:rsidR="00147789" w:rsidRDefault="00147789">
      <w:r>
        <w:separator/>
      </w:r>
    </w:p>
  </w:footnote>
  <w:footnote w:type="continuationSeparator" w:id="0">
    <w:p w14:paraId="756718D1" w14:textId="77777777" w:rsidR="00147789" w:rsidRDefault="00147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DB13" w14:textId="7FC0CF91" w:rsidR="00E93573" w:rsidRDefault="00E93573">
    <w:pPr>
      <w:pStyle w:val="Header"/>
    </w:pPr>
  </w:p>
  <w:p w14:paraId="646C164F" w14:textId="77777777" w:rsidR="00E93573" w:rsidRDefault="00E93573">
    <w:pPr>
      <w:pStyle w:val="Header"/>
    </w:pPr>
  </w:p>
  <w:p w14:paraId="21A0B369" w14:textId="77777777" w:rsidR="00E93573" w:rsidRDefault="00E935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2C091" w14:textId="77777777" w:rsidR="00E93573" w:rsidRDefault="00E935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261A1"/>
    <w:multiLevelType w:val="hybridMultilevel"/>
    <w:tmpl w:val="56685700"/>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1" w15:restartNumberingAfterBreak="0">
    <w:nsid w:val="12BD0F0D"/>
    <w:multiLevelType w:val="singleLevel"/>
    <w:tmpl w:val="16AAE2D8"/>
    <w:lvl w:ilvl="0">
      <w:start w:val="6"/>
      <w:numFmt w:val="lowerLetter"/>
      <w:lvlText w:val="(%1)"/>
      <w:lvlJc w:val="left"/>
      <w:pPr>
        <w:tabs>
          <w:tab w:val="num" w:pos="3405"/>
        </w:tabs>
        <w:ind w:left="3405" w:hanging="570"/>
      </w:pPr>
      <w:rPr>
        <w:rFonts w:hint="default"/>
      </w:rPr>
    </w:lvl>
  </w:abstractNum>
  <w:abstractNum w:abstractNumId="2" w15:restartNumberingAfterBreak="0">
    <w:nsid w:val="2ED96A1D"/>
    <w:multiLevelType w:val="hybridMultilevel"/>
    <w:tmpl w:val="6E7CE5E6"/>
    <w:lvl w:ilvl="0" w:tplc="04090019">
      <w:start w:val="1"/>
      <w:numFmt w:val="lowerLetter"/>
      <w:lvlText w:val="%1."/>
      <w:lvlJc w:val="left"/>
      <w:pPr>
        <w:ind w:left="4124" w:hanging="360"/>
      </w:pPr>
    </w:lvl>
    <w:lvl w:ilvl="1" w:tplc="04090019" w:tentative="1">
      <w:start w:val="1"/>
      <w:numFmt w:val="lowerLetter"/>
      <w:lvlText w:val="%2."/>
      <w:lvlJc w:val="left"/>
      <w:pPr>
        <w:ind w:left="4844" w:hanging="360"/>
      </w:pPr>
    </w:lvl>
    <w:lvl w:ilvl="2" w:tplc="0409001B" w:tentative="1">
      <w:start w:val="1"/>
      <w:numFmt w:val="lowerRoman"/>
      <w:lvlText w:val="%3."/>
      <w:lvlJc w:val="right"/>
      <w:pPr>
        <w:ind w:left="5564" w:hanging="180"/>
      </w:pPr>
    </w:lvl>
    <w:lvl w:ilvl="3" w:tplc="0409000F" w:tentative="1">
      <w:start w:val="1"/>
      <w:numFmt w:val="decimal"/>
      <w:lvlText w:val="%4."/>
      <w:lvlJc w:val="left"/>
      <w:pPr>
        <w:ind w:left="6284" w:hanging="360"/>
      </w:pPr>
    </w:lvl>
    <w:lvl w:ilvl="4" w:tplc="04090019" w:tentative="1">
      <w:start w:val="1"/>
      <w:numFmt w:val="lowerLetter"/>
      <w:lvlText w:val="%5."/>
      <w:lvlJc w:val="left"/>
      <w:pPr>
        <w:ind w:left="7004" w:hanging="360"/>
      </w:pPr>
    </w:lvl>
    <w:lvl w:ilvl="5" w:tplc="0409001B" w:tentative="1">
      <w:start w:val="1"/>
      <w:numFmt w:val="lowerRoman"/>
      <w:lvlText w:val="%6."/>
      <w:lvlJc w:val="right"/>
      <w:pPr>
        <w:ind w:left="7724" w:hanging="180"/>
      </w:pPr>
    </w:lvl>
    <w:lvl w:ilvl="6" w:tplc="0409000F" w:tentative="1">
      <w:start w:val="1"/>
      <w:numFmt w:val="decimal"/>
      <w:lvlText w:val="%7."/>
      <w:lvlJc w:val="left"/>
      <w:pPr>
        <w:ind w:left="8444" w:hanging="360"/>
      </w:pPr>
    </w:lvl>
    <w:lvl w:ilvl="7" w:tplc="04090019" w:tentative="1">
      <w:start w:val="1"/>
      <w:numFmt w:val="lowerLetter"/>
      <w:lvlText w:val="%8."/>
      <w:lvlJc w:val="left"/>
      <w:pPr>
        <w:ind w:left="9164" w:hanging="360"/>
      </w:pPr>
    </w:lvl>
    <w:lvl w:ilvl="8" w:tplc="0409001B" w:tentative="1">
      <w:start w:val="1"/>
      <w:numFmt w:val="lowerRoman"/>
      <w:lvlText w:val="%9."/>
      <w:lvlJc w:val="right"/>
      <w:pPr>
        <w:ind w:left="9884" w:hanging="180"/>
      </w:pPr>
    </w:lvl>
  </w:abstractNum>
  <w:abstractNum w:abstractNumId="3" w15:restartNumberingAfterBreak="0">
    <w:nsid w:val="618272C4"/>
    <w:multiLevelType w:val="hybridMultilevel"/>
    <w:tmpl w:val="177E8CCA"/>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4" w15:restartNumberingAfterBreak="0">
    <w:nsid w:val="62826640"/>
    <w:multiLevelType w:val="hybridMultilevel"/>
    <w:tmpl w:val="A8427936"/>
    <w:lvl w:ilvl="0" w:tplc="7E40042E">
      <w:start w:val="1"/>
      <w:numFmt w:val="decimal"/>
      <w:lvlText w:val="(%1)"/>
      <w:lvlJc w:val="left"/>
      <w:pPr>
        <w:ind w:left="1230" w:hanging="51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632F44EC"/>
    <w:multiLevelType w:val="hybridMultilevel"/>
    <w:tmpl w:val="8752B6B2"/>
    <w:lvl w:ilvl="0" w:tplc="274AC552">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79837A09"/>
    <w:multiLevelType w:val="hybridMultilevel"/>
    <w:tmpl w:val="0AEA0F56"/>
    <w:lvl w:ilvl="0" w:tplc="56A6A5BE">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66392C"/>
    <w:multiLevelType w:val="singleLevel"/>
    <w:tmpl w:val="2B72290E"/>
    <w:lvl w:ilvl="0">
      <w:start w:val="1"/>
      <w:numFmt w:val="decimal"/>
      <w:lvlText w:val="%1."/>
      <w:lvlJc w:val="left"/>
      <w:pPr>
        <w:tabs>
          <w:tab w:val="num" w:pos="720"/>
        </w:tabs>
        <w:ind w:left="720" w:hanging="720"/>
      </w:pPr>
      <w:rPr>
        <w:rFonts w:hint="default"/>
      </w:rPr>
    </w:lvl>
  </w:abstractNum>
  <w:num w:numId="1">
    <w:abstractNumId w:val="1"/>
  </w:num>
  <w:num w:numId="2">
    <w:abstractNumId w:val="0"/>
  </w:num>
  <w:num w:numId="3">
    <w:abstractNumId w:val="3"/>
  </w:num>
  <w:num w:numId="4">
    <w:abstractNumId w:val="4"/>
  </w:num>
  <w:num w:numId="5">
    <w:abstractNumId w:val="2"/>
  </w:num>
  <w:num w:numId="6">
    <w:abstractNumId w:val="5"/>
  </w:num>
  <w:num w:numId="7">
    <w:abstractNumId w:val="6"/>
  </w:num>
  <w:num w:numId="8">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ACB"/>
    <w:rsid w:val="00001D40"/>
    <w:rsid w:val="00005922"/>
    <w:rsid w:val="0000714F"/>
    <w:rsid w:val="00007347"/>
    <w:rsid w:val="0001120D"/>
    <w:rsid w:val="000113E3"/>
    <w:rsid w:val="00012BB7"/>
    <w:rsid w:val="00015825"/>
    <w:rsid w:val="000172E9"/>
    <w:rsid w:val="00023551"/>
    <w:rsid w:val="00024836"/>
    <w:rsid w:val="00030674"/>
    <w:rsid w:val="00030747"/>
    <w:rsid w:val="0003140C"/>
    <w:rsid w:val="00036879"/>
    <w:rsid w:val="00037139"/>
    <w:rsid w:val="00041D63"/>
    <w:rsid w:val="00042D11"/>
    <w:rsid w:val="00043192"/>
    <w:rsid w:val="00054650"/>
    <w:rsid w:val="00054898"/>
    <w:rsid w:val="00055523"/>
    <w:rsid w:val="000577C8"/>
    <w:rsid w:val="00060E8A"/>
    <w:rsid w:val="00065E5B"/>
    <w:rsid w:val="00065EE4"/>
    <w:rsid w:val="0006662A"/>
    <w:rsid w:val="00066EAE"/>
    <w:rsid w:val="00067C81"/>
    <w:rsid w:val="00071E5B"/>
    <w:rsid w:val="00077F42"/>
    <w:rsid w:val="00077FC1"/>
    <w:rsid w:val="000808C4"/>
    <w:rsid w:val="00083529"/>
    <w:rsid w:val="00083687"/>
    <w:rsid w:val="00084651"/>
    <w:rsid w:val="00084724"/>
    <w:rsid w:val="0008508D"/>
    <w:rsid w:val="00085D75"/>
    <w:rsid w:val="00086CDB"/>
    <w:rsid w:val="00091334"/>
    <w:rsid w:val="00093166"/>
    <w:rsid w:val="00096CC6"/>
    <w:rsid w:val="0009722E"/>
    <w:rsid w:val="000A1BF9"/>
    <w:rsid w:val="000A4833"/>
    <w:rsid w:val="000A6222"/>
    <w:rsid w:val="000B0663"/>
    <w:rsid w:val="000B1759"/>
    <w:rsid w:val="000B2EF6"/>
    <w:rsid w:val="000C06CD"/>
    <w:rsid w:val="000C12BC"/>
    <w:rsid w:val="000C3DAC"/>
    <w:rsid w:val="000C6D33"/>
    <w:rsid w:val="000D4969"/>
    <w:rsid w:val="000D4B86"/>
    <w:rsid w:val="000D7031"/>
    <w:rsid w:val="000E1203"/>
    <w:rsid w:val="000E1C6B"/>
    <w:rsid w:val="000E739D"/>
    <w:rsid w:val="000E762D"/>
    <w:rsid w:val="000F2F68"/>
    <w:rsid w:val="000F6037"/>
    <w:rsid w:val="0010260D"/>
    <w:rsid w:val="00103D71"/>
    <w:rsid w:val="00110B1B"/>
    <w:rsid w:val="00111923"/>
    <w:rsid w:val="001128D4"/>
    <w:rsid w:val="00113D06"/>
    <w:rsid w:val="00115450"/>
    <w:rsid w:val="00115A54"/>
    <w:rsid w:val="00115C0B"/>
    <w:rsid w:val="00115D6F"/>
    <w:rsid w:val="001238DF"/>
    <w:rsid w:val="0013158D"/>
    <w:rsid w:val="00134B0F"/>
    <w:rsid w:val="001354A2"/>
    <w:rsid w:val="001354D4"/>
    <w:rsid w:val="00135702"/>
    <w:rsid w:val="00137E6F"/>
    <w:rsid w:val="00142E2D"/>
    <w:rsid w:val="00142E36"/>
    <w:rsid w:val="00143F9D"/>
    <w:rsid w:val="001474EC"/>
    <w:rsid w:val="00147789"/>
    <w:rsid w:val="00147823"/>
    <w:rsid w:val="0015241C"/>
    <w:rsid w:val="0015790A"/>
    <w:rsid w:val="00160446"/>
    <w:rsid w:val="00170DA8"/>
    <w:rsid w:val="0017438E"/>
    <w:rsid w:val="00174E10"/>
    <w:rsid w:val="00180DCA"/>
    <w:rsid w:val="00182CD2"/>
    <w:rsid w:val="001852B4"/>
    <w:rsid w:val="00190B30"/>
    <w:rsid w:val="00191D3B"/>
    <w:rsid w:val="001921DD"/>
    <w:rsid w:val="00194634"/>
    <w:rsid w:val="00195EA1"/>
    <w:rsid w:val="001A1C42"/>
    <w:rsid w:val="001A69C8"/>
    <w:rsid w:val="001B2491"/>
    <w:rsid w:val="001B7016"/>
    <w:rsid w:val="001B749D"/>
    <w:rsid w:val="001C0B9A"/>
    <w:rsid w:val="001C179C"/>
    <w:rsid w:val="001C18EC"/>
    <w:rsid w:val="001C62EC"/>
    <w:rsid w:val="001D5A4E"/>
    <w:rsid w:val="001D7E92"/>
    <w:rsid w:val="001E4D4F"/>
    <w:rsid w:val="001E63E6"/>
    <w:rsid w:val="001F0D8F"/>
    <w:rsid w:val="001F32A0"/>
    <w:rsid w:val="001F69AA"/>
    <w:rsid w:val="002003AF"/>
    <w:rsid w:val="00201AE3"/>
    <w:rsid w:val="00202DA2"/>
    <w:rsid w:val="00202E64"/>
    <w:rsid w:val="00210CA2"/>
    <w:rsid w:val="0021188A"/>
    <w:rsid w:val="00216B75"/>
    <w:rsid w:val="00224CCB"/>
    <w:rsid w:val="00226DF8"/>
    <w:rsid w:val="002309D0"/>
    <w:rsid w:val="00243616"/>
    <w:rsid w:val="00243C82"/>
    <w:rsid w:val="00244A2C"/>
    <w:rsid w:val="00256A2A"/>
    <w:rsid w:val="002636FE"/>
    <w:rsid w:val="002644C3"/>
    <w:rsid w:val="00266D36"/>
    <w:rsid w:val="0027035A"/>
    <w:rsid w:val="002715B6"/>
    <w:rsid w:val="00274D2A"/>
    <w:rsid w:val="002811B1"/>
    <w:rsid w:val="00281729"/>
    <w:rsid w:val="002833CF"/>
    <w:rsid w:val="00284FA4"/>
    <w:rsid w:val="002874F4"/>
    <w:rsid w:val="00291324"/>
    <w:rsid w:val="002964D7"/>
    <w:rsid w:val="00296813"/>
    <w:rsid w:val="00297564"/>
    <w:rsid w:val="002A1FA9"/>
    <w:rsid w:val="002A3AB3"/>
    <w:rsid w:val="002A3E80"/>
    <w:rsid w:val="002B25EA"/>
    <w:rsid w:val="002B48E2"/>
    <w:rsid w:val="002B5518"/>
    <w:rsid w:val="002C17F6"/>
    <w:rsid w:val="002C6113"/>
    <w:rsid w:val="002C79F2"/>
    <w:rsid w:val="002D4EFA"/>
    <w:rsid w:val="002E0195"/>
    <w:rsid w:val="002E0333"/>
    <w:rsid w:val="002E2C80"/>
    <w:rsid w:val="002E568E"/>
    <w:rsid w:val="002F268E"/>
    <w:rsid w:val="002F2F45"/>
    <w:rsid w:val="002F3A14"/>
    <w:rsid w:val="002F48D6"/>
    <w:rsid w:val="002F6633"/>
    <w:rsid w:val="00301EA8"/>
    <w:rsid w:val="00301F30"/>
    <w:rsid w:val="00304612"/>
    <w:rsid w:val="00305A8F"/>
    <w:rsid w:val="00306675"/>
    <w:rsid w:val="00306E33"/>
    <w:rsid w:val="003142D4"/>
    <w:rsid w:val="003151B8"/>
    <w:rsid w:val="00316284"/>
    <w:rsid w:val="00322595"/>
    <w:rsid w:val="00323250"/>
    <w:rsid w:val="0033058A"/>
    <w:rsid w:val="00330C10"/>
    <w:rsid w:val="00333BEA"/>
    <w:rsid w:val="00335BD6"/>
    <w:rsid w:val="00342FA6"/>
    <w:rsid w:val="0034483D"/>
    <w:rsid w:val="00345A53"/>
    <w:rsid w:val="00352BD5"/>
    <w:rsid w:val="003540EF"/>
    <w:rsid w:val="00357E84"/>
    <w:rsid w:val="0036128E"/>
    <w:rsid w:val="003621D0"/>
    <w:rsid w:val="0036503C"/>
    <w:rsid w:val="003656AA"/>
    <w:rsid w:val="0037251D"/>
    <w:rsid w:val="00372DEB"/>
    <w:rsid w:val="0037701C"/>
    <w:rsid w:val="003801FC"/>
    <w:rsid w:val="003825E8"/>
    <w:rsid w:val="00382F84"/>
    <w:rsid w:val="0038433A"/>
    <w:rsid w:val="00386C47"/>
    <w:rsid w:val="00387555"/>
    <w:rsid w:val="00387655"/>
    <w:rsid w:val="003901F9"/>
    <w:rsid w:val="003949D1"/>
    <w:rsid w:val="00397B7D"/>
    <w:rsid w:val="003A3222"/>
    <w:rsid w:val="003A3498"/>
    <w:rsid w:val="003A7D80"/>
    <w:rsid w:val="003A7E10"/>
    <w:rsid w:val="003B5383"/>
    <w:rsid w:val="003C18E6"/>
    <w:rsid w:val="003C55E9"/>
    <w:rsid w:val="003C704E"/>
    <w:rsid w:val="003C77CF"/>
    <w:rsid w:val="003D05CB"/>
    <w:rsid w:val="003D1020"/>
    <w:rsid w:val="003D24C6"/>
    <w:rsid w:val="003D2ACB"/>
    <w:rsid w:val="003D3D49"/>
    <w:rsid w:val="003E06EF"/>
    <w:rsid w:val="003E327F"/>
    <w:rsid w:val="003E3FFD"/>
    <w:rsid w:val="003E4095"/>
    <w:rsid w:val="004054E4"/>
    <w:rsid w:val="00405F62"/>
    <w:rsid w:val="00406C57"/>
    <w:rsid w:val="00415241"/>
    <w:rsid w:val="00417E06"/>
    <w:rsid w:val="004229AB"/>
    <w:rsid w:val="004305A2"/>
    <w:rsid w:val="0043174A"/>
    <w:rsid w:val="00435E4D"/>
    <w:rsid w:val="0044351B"/>
    <w:rsid w:val="004446C1"/>
    <w:rsid w:val="0044772C"/>
    <w:rsid w:val="00453488"/>
    <w:rsid w:val="004549CD"/>
    <w:rsid w:val="00455B4E"/>
    <w:rsid w:val="0045607D"/>
    <w:rsid w:val="004657A6"/>
    <w:rsid w:val="00471ADE"/>
    <w:rsid w:val="0047200C"/>
    <w:rsid w:val="00473530"/>
    <w:rsid w:val="00474830"/>
    <w:rsid w:val="00475D90"/>
    <w:rsid w:val="004834B0"/>
    <w:rsid w:val="00484B56"/>
    <w:rsid w:val="00485F16"/>
    <w:rsid w:val="00486CBA"/>
    <w:rsid w:val="004877C7"/>
    <w:rsid w:val="00494148"/>
    <w:rsid w:val="00496683"/>
    <w:rsid w:val="004976AB"/>
    <w:rsid w:val="004977E0"/>
    <w:rsid w:val="004A05FE"/>
    <w:rsid w:val="004A15DA"/>
    <w:rsid w:val="004A4707"/>
    <w:rsid w:val="004B0442"/>
    <w:rsid w:val="004B058C"/>
    <w:rsid w:val="004B082A"/>
    <w:rsid w:val="004B2576"/>
    <w:rsid w:val="004B3210"/>
    <w:rsid w:val="004B34C6"/>
    <w:rsid w:val="004B551B"/>
    <w:rsid w:val="004C0C3B"/>
    <w:rsid w:val="004C27BC"/>
    <w:rsid w:val="004C2E9D"/>
    <w:rsid w:val="004C341D"/>
    <w:rsid w:val="004C4BD9"/>
    <w:rsid w:val="004C571D"/>
    <w:rsid w:val="004C68B9"/>
    <w:rsid w:val="004D1B77"/>
    <w:rsid w:val="004D56FB"/>
    <w:rsid w:val="004E01F5"/>
    <w:rsid w:val="004E356D"/>
    <w:rsid w:val="004E545D"/>
    <w:rsid w:val="004F1A2D"/>
    <w:rsid w:val="004F2BC8"/>
    <w:rsid w:val="004F4052"/>
    <w:rsid w:val="004F6597"/>
    <w:rsid w:val="004F71C2"/>
    <w:rsid w:val="005021AB"/>
    <w:rsid w:val="00503AC9"/>
    <w:rsid w:val="005172DC"/>
    <w:rsid w:val="0052278A"/>
    <w:rsid w:val="005232C3"/>
    <w:rsid w:val="00524587"/>
    <w:rsid w:val="00524C90"/>
    <w:rsid w:val="005254F9"/>
    <w:rsid w:val="00527855"/>
    <w:rsid w:val="00527C8E"/>
    <w:rsid w:val="00540D18"/>
    <w:rsid w:val="00542330"/>
    <w:rsid w:val="00542389"/>
    <w:rsid w:val="00542C59"/>
    <w:rsid w:val="00544419"/>
    <w:rsid w:val="00545038"/>
    <w:rsid w:val="00552595"/>
    <w:rsid w:val="005626E4"/>
    <w:rsid w:val="005637EC"/>
    <w:rsid w:val="00564642"/>
    <w:rsid w:val="00564DEC"/>
    <w:rsid w:val="00566774"/>
    <w:rsid w:val="00566CA8"/>
    <w:rsid w:val="00567C20"/>
    <w:rsid w:val="00567CAA"/>
    <w:rsid w:val="00571367"/>
    <w:rsid w:val="0057648A"/>
    <w:rsid w:val="00577C83"/>
    <w:rsid w:val="00577F47"/>
    <w:rsid w:val="00580A5D"/>
    <w:rsid w:val="005816CA"/>
    <w:rsid w:val="00583279"/>
    <w:rsid w:val="00583F66"/>
    <w:rsid w:val="00593362"/>
    <w:rsid w:val="00594CFD"/>
    <w:rsid w:val="00595130"/>
    <w:rsid w:val="00596791"/>
    <w:rsid w:val="00596D57"/>
    <w:rsid w:val="005972ED"/>
    <w:rsid w:val="005A0F5E"/>
    <w:rsid w:val="005A1008"/>
    <w:rsid w:val="005A100D"/>
    <w:rsid w:val="005A59F2"/>
    <w:rsid w:val="005A7713"/>
    <w:rsid w:val="005B4CEE"/>
    <w:rsid w:val="005B6A2E"/>
    <w:rsid w:val="005B6C53"/>
    <w:rsid w:val="005C227F"/>
    <w:rsid w:val="005C394B"/>
    <w:rsid w:val="005C4628"/>
    <w:rsid w:val="005C70A3"/>
    <w:rsid w:val="005C787E"/>
    <w:rsid w:val="005D1772"/>
    <w:rsid w:val="005D2318"/>
    <w:rsid w:val="005D456D"/>
    <w:rsid w:val="005D4A8C"/>
    <w:rsid w:val="005E0B9D"/>
    <w:rsid w:val="005F2FC8"/>
    <w:rsid w:val="005F7397"/>
    <w:rsid w:val="00601A6B"/>
    <w:rsid w:val="006022A6"/>
    <w:rsid w:val="0060488D"/>
    <w:rsid w:val="00605F92"/>
    <w:rsid w:val="00606A8F"/>
    <w:rsid w:val="006075BA"/>
    <w:rsid w:val="006111AD"/>
    <w:rsid w:val="00613F42"/>
    <w:rsid w:val="00623CC3"/>
    <w:rsid w:val="006253BF"/>
    <w:rsid w:val="0062547C"/>
    <w:rsid w:val="00635825"/>
    <w:rsid w:val="00637318"/>
    <w:rsid w:val="00640F80"/>
    <w:rsid w:val="00641133"/>
    <w:rsid w:val="00641309"/>
    <w:rsid w:val="00642A96"/>
    <w:rsid w:val="00642F52"/>
    <w:rsid w:val="00643A51"/>
    <w:rsid w:val="006456DD"/>
    <w:rsid w:val="0065019B"/>
    <w:rsid w:val="00652643"/>
    <w:rsid w:val="00653259"/>
    <w:rsid w:val="00654BAF"/>
    <w:rsid w:val="0066434B"/>
    <w:rsid w:val="00667819"/>
    <w:rsid w:val="00667825"/>
    <w:rsid w:val="00667954"/>
    <w:rsid w:val="00667EC7"/>
    <w:rsid w:val="006700BF"/>
    <w:rsid w:val="00674717"/>
    <w:rsid w:val="00681E0D"/>
    <w:rsid w:val="00685D6F"/>
    <w:rsid w:val="006928AB"/>
    <w:rsid w:val="0069475E"/>
    <w:rsid w:val="00694975"/>
    <w:rsid w:val="00694C14"/>
    <w:rsid w:val="0069520A"/>
    <w:rsid w:val="00696ED7"/>
    <w:rsid w:val="006A48B2"/>
    <w:rsid w:val="006A55C1"/>
    <w:rsid w:val="006A6095"/>
    <w:rsid w:val="006A6E8F"/>
    <w:rsid w:val="006B0F2E"/>
    <w:rsid w:val="006B2483"/>
    <w:rsid w:val="006B4B9F"/>
    <w:rsid w:val="006B5C92"/>
    <w:rsid w:val="006C1390"/>
    <w:rsid w:val="006C213D"/>
    <w:rsid w:val="006C2E29"/>
    <w:rsid w:val="006C574B"/>
    <w:rsid w:val="006C5BAE"/>
    <w:rsid w:val="006C696B"/>
    <w:rsid w:val="006D200B"/>
    <w:rsid w:val="006D2DE7"/>
    <w:rsid w:val="006D4D6E"/>
    <w:rsid w:val="006D5247"/>
    <w:rsid w:val="006D54E0"/>
    <w:rsid w:val="006D5FBC"/>
    <w:rsid w:val="006D7907"/>
    <w:rsid w:val="006E010E"/>
    <w:rsid w:val="006E6F49"/>
    <w:rsid w:val="006F3CF1"/>
    <w:rsid w:val="006F41EA"/>
    <w:rsid w:val="006F55BB"/>
    <w:rsid w:val="006F788F"/>
    <w:rsid w:val="00707BCA"/>
    <w:rsid w:val="007100FC"/>
    <w:rsid w:val="0071098A"/>
    <w:rsid w:val="00711496"/>
    <w:rsid w:val="00712275"/>
    <w:rsid w:val="00713F6F"/>
    <w:rsid w:val="00714B56"/>
    <w:rsid w:val="007157DE"/>
    <w:rsid w:val="0071698B"/>
    <w:rsid w:val="007241DF"/>
    <w:rsid w:val="00725557"/>
    <w:rsid w:val="007317C5"/>
    <w:rsid w:val="007324AC"/>
    <w:rsid w:val="0073303A"/>
    <w:rsid w:val="007344F0"/>
    <w:rsid w:val="00736196"/>
    <w:rsid w:val="0074211D"/>
    <w:rsid w:val="0074575A"/>
    <w:rsid w:val="00746674"/>
    <w:rsid w:val="007474B4"/>
    <w:rsid w:val="00747B97"/>
    <w:rsid w:val="00750496"/>
    <w:rsid w:val="0075096C"/>
    <w:rsid w:val="00752E5F"/>
    <w:rsid w:val="00753388"/>
    <w:rsid w:val="00762002"/>
    <w:rsid w:val="00764581"/>
    <w:rsid w:val="00766E5B"/>
    <w:rsid w:val="007675F9"/>
    <w:rsid w:val="00772547"/>
    <w:rsid w:val="00774409"/>
    <w:rsid w:val="00784E3B"/>
    <w:rsid w:val="007861FB"/>
    <w:rsid w:val="00794121"/>
    <w:rsid w:val="0079414D"/>
    <w:rsid w:val="00795912"/>
    <w:rsid w:val="007A36E5"/>
    <w:rsid w:val="007A4460"/>
    <w:rsid w:val="007A589B"/>
    <w:rsid w:val="007A6A1F"/>
    <w:rsid w:val="007A7DC4"/>
    <w:rsid w:val="007A7F76"/>
    <w:rsid w:val="007B02E9"/>
    <w:rsid w:val="007B187A"/>
    <w:rsid w:val="007B29D2"/>
    <w:rsid w:val="007B3860"/>
    <w:rsid w:val="007C1097"/>
    <w:rsid w:val="007C2948"/>
    <w:rsid w:val="007C3F07"/>
    <w:rsid w:val="007C4BB4"/>
    <w:rsid w:val="007C54EE"/>
    <w:rsid w:val="007D4971"/>
    <w:rsid w:val="007D53DE"/>
    <w:rsid w:val="007D6A00"/>
    <w:rsid w:val="007D6E2A"/>
    <w:rsid w:val="007E0D9A"/>
    <w:rsid w:val="007E3033"/>
    <w:rsid w:val="007E3745"/>
    <w:rsid w:val="007E4CEC"/>
    <w:rsid w:val="007E55BA"/>
    <w:rsid w:val="007E5624"/>
    <w:rsid w:val="007F38B6"/>
    <w:rsid w:val="007F3E41"/>
    <w:rsid w:val="007F42D9"/>
    <w:rsid w:val="007F5410"/>
    <w:rsid w:val="00802EA3"/>
    <w:rsid w:val="008043A6"/>
    <w:rsid w:val="008131E9"/>
    <w:rsid w:val="00814914"/>
    <w:rsid w:val="00822951"/>
    <w:rsid w:val="00823F7E"/>
    <w:rsid w:val="00824A4D"/>
    <w:rsid w:val="00826E21"/>
    <w:rsid w:val="00833FCD"/>
    <w:rsid w:val="008345AF"/>
    <w:rsid w:val="00841453"/>
    <w:rsid w:val="00842F13"/>
    <w:rsid w:val="00846344"/>
    <w:rsid w:val="00850455"/>
    <w:rsid w:val="0085148C"/>
    <w:rsid w:val="00854430"/>
    <w:rsid w:val="008603F5"/>
    <w:rsid w:val="00862C0C"/>
    <w:rsid w:val="00862CC6"/>
    <w:rsid w:val="00863A94"/>
    <w:rsid w:val="008721EB"/>
    <w:rsid w:val="00872897"/>
    <w:rsid w:val="008739C6"/>
    <w:rsid w:val="0087402F"/>
    <w:rsid w:val="00874A88"/>
    <w:rsid w:val="00876034"/>
    <w:rsid w:val="00880C68"/>
    <w:rsid w:val="00880FCB"/>
    <w:rsid w:val="00882848"/>
    <w:rsid w:val="00890461"/>
    <w:rsid w:val="00891A80"/>
    <w:rsid w:val="00893210"/>
    <w:rsid w:val="00895BAD"/>
    <w:rsid w:val="008A00FD"/>
    <w:rsid w:val="008A1289"/>
    <w:rsid w:val="008A2037"/>
    <w:rsid w:val="008A4CF2"/>
    <w:rsid w:val="008A7644"/>
    <w:rsid w:val="008B250B"/>
    <w:rsid w:val="008B3C01"/>
    <w:rsid w:val="008B41B1"/>
    <w:rsid w:val="008C1DED"/>
    <w:rsid w:val="008C49FF"/>
    <w:rsid w:val="008D5752"/>
    <w:rsid w:val="008E2070"/>
    <w:rsid w:val="008E480C"/>
    <w:rsid w:val="008E7EA9"/>
    <w:rsid w:val="008F0901"/>
    <w:rsid w:val="008F1541"/>
    <w:rsid w:val="008F24C3"/>
    <w:rsid w:val="009036A8"/>
    <w:rsid w:val="009042BB"/>
    <w:rsid w:val="0092276D"/>
    <w:rsid w:val="00923A77"/>
    <w:rsid w:val="009262E8"/>
    <w:rsid w:val="00926C0A"/>
    <w:rsid w:val="009300A4"/>
    <w:rsid w:val="0093243A"/>
    <w:rsid w:val="00933CF2"/>
    <w:rsid w:val="00933D7A"/>
    <w:rsid w:val="00936644"/>
    <w:rsid w:val="009477AF"/>
    <w:rsid w:val="00953E10"/>
    <w:rsid w:val="00956B93"/>
    <w:rsid w:val="009604C2"/>
    <w:rsid w:val="00962EAE"/>
    <w:rsid w:val="0096562A"/>
    <w:rsid w:val="00966D80"/>
    <w:rsid w:val="00974200"/>
    <w:rsid w:val="00976640"/>
    <w:rsid w:val="009773EA"/>
    <w:rsid w:val="00980E34"/>
    <w:rsid w:val="00986702"/>
    <w:rsid w:val="00986790"/>
    <w:rsid w:val="009927C6"/>
    <w:rsid w:val="00993678"/>
    <w:rsid w:val="009A66FD"/>
    <w:rsid w:val="009B2FDC"/>
    <w:rsid w:val="009B3756"/>
    <w:rsid w:val="009B3E63"/>
    <w:rsid w:val="009B558F"/>
    <w:rsid w:val="009C0BA5"/>
    <w:rsid w:val="009C2D81"/>
    <w:rsid w:val="009C2FF6"/>
    <w:rsid w:val="009C4FF4"/>
    <w:rsid w:val="009E0690"/>
    <w:rsid w:val="009E24BC"/>
    <w:rsid w:val="009F7375"/>
    <w:rsid w:val="00A0173E"/>
    <w:rsid w:val="00A02875"/>
    <w:rsid w:val="00A04985"/>
    <w:rsid w:val="00A04AD0"/>
    <w:rsid w:val="00A056F6"/>
    <w:rsid w:val="00A06E7A"/>
    <w:rsid w:val="00A07599"/>
    <w:rsid w:val="00A24FAB"/>
    <w:rsid w:val="00A277F1"/>
    <w:rsid w:val="00A36E4E"/>
    <w:rsid w:val="00A40E99"/>
    <w:rsid w:val="00A41A47"/>
    <w:rsid w:val="00A46F18"/>
    <w:rsid w:val="00A50D8E"/>
    <w:rsid w:val="00A53503"/>
    <w:rsid w:val="00A55B75"/>
    <w:rsid w:val="00A60D20"/>
    <w:rsid w:val="00A6504B"/>
    <w:rsid w:val="00A6709C"/>
    <w:rsid w:val="00A73A49"/>
    <w:rsid w:val="00A75A02"/>
    <w:rsid w:val="00A75F55"/>
    <w:rsid w:val="00A83B05"/>
    <w:rsid w:val="00A83E39"/>
    <w:rsid w:val="00A852FF"/>
    <w:rsid w:val="00A85EAE"/>
    <w:rsid w:val="00A87BC1"/>
    <w:rsid w:val="00A87CA7"/>
    <w:rsid w:val="00A9060D"/>
    <w:rsid w:val="00A90644"/>
    <w:rsid w:val="00A92398"/>
    <w:rsid w:val="00A94093"/>
    <w:rsid w:val="00A95B5B"/>
    <w:rsid w:val="00A96B47"/>
    <w:rsid w:val="00AA0C06"/>
    <w:rsid w:val="00AA2E78"/>
    <w:rsid w:val="00AB01C8"/>
    <w:rsid w:val="00AB42ED"/>
    <w:rsid w:val="00AB60F4"/>
    <w:rsid w:val="00AB745F"/>
    <w:rsid w:val="00AD1DA5"/>
    <w:rsid w:val="00AD413E"/>
    <w:rsid w:val="00AE6C36"/>
    <w:rsid w:val="00AF1A96"/>
    <w:rsid w:val="00B01626"/>
    <w:rsid w:val="00B017D9"/>
    <w:rsid w:val="00B02AFE"/>
    <w:rsid w:val="00B076B6"/>
    <w:rsid w:val="00B078E9"/>
    <w:rsid w:val="00B122A2"/>
    <w:rsid w:val="00B14ECE"/>
    <w:rsid w:val="00B158E7"/>
    <w:rsid w:val="00B22FE1"/>
    <w:rsid w:val="00B2369D"/>
    <w:rsid w:val="00B24F94"/>
    <w:rsid w:val="00B250DC"/>
    <w:rsid w:val="00B25C15"/>
    <w:rsid w:val="00B369E3"/>
    <w:rsid w:val="00B40B2C"/>
    <w:rsid w:val="00B502EA"/>
    <w:rsid w:val="00B55036"/>
    <w:rsid w:val="00B564D4"/>
    <w:rsid w:val="00B57525"/>
    <w:rsid w:val="00B60B6D"/>
    <w:rsid w:val="00B63B4F"/>
    <w:rsid w:val="00B65114"/>
    <w:rsid w:val="00B67EF7"/>
    <w:rsid w:val="00B71111"/>
    <w:rsid w:val="00B7171A"/>
    <w:rsid w:val="00B82A36"/>
    <w:rsid w:val="00B879CA"/>
    <w:rsid w:val="00B87F54"/>
    <w:rsid w:val="00B9026B"/>
    <w:rsid w:val="00B90FB9"/>
    <w:rsid w:val="00B929B0"/>
    <w:rsid w:val="00B932B2"/>
    <w:rsid w:val="00B96AA4"/>
    <w:rsid w:val="00BA26CE"/>
    <w:rsid w:val="00BA2722"/>
    <w:rsid w:val="00BB4F57"/>
    <w:rsid w:val="00BB5207"/>
    <w:rsid w:val="00BB520D"/>
    <w:rsid w:val="00BC0E5A"/>
    <w:rsid w:val="00BC607E"/>
    <w:rsid w:val="00BC69C1"/>
    <w:rsid w:val="00BC722E"/>
    <w:rsid w:val="00BC7E1E"/>
    <w:rsid w:val="00BD1F5C"/>
    <w:rsid w:val="00BD1FDE"/>
    <w:rsid w:val="00BD2757"/>
    <w:rsid w:val="00BD39D1"/>
    <w:rsid w:val="00BD467E"/>
    <w:rsid w:val="00BD4AE8"/>
    <w:rsid w:val="00BD5C13"/>
    <w:rsid w:val="00BE2939"/>
    <w:rsid w:val="00BE3BCB"/>
    <w:rsid w:val="00BE7055"/>
    <w:rsid w:val="00BE7617"/>
    <w:rsid w:val="00BF08D3"/>
    <w:rsid w:val="00BF5717"/>
    <w:rsid w:val="00BF579A"/>
    <w:rsid w:val="00C0228B"/>
    <w:rsid w:val="00C053A1"/>
    <w:rsid w:val="00C05FA5"/>
    <w:rsid w:val="00C06121"/>
    <w:rsid w:val="00C07BE4"/>
    <w:rsid w:val="00C14AE0"/>
    <w:rsid w:val="00C15C70"/>
    <w:rsid w:val="00C20474"/>
    <w:rsid w:val="00C20DA2"/>
    <w:rsid w:val="00C22499"/>
    <w:rsid w:val="00C304F7"/>
    <w:rsid w:val="00C369EA"/>
    <w:rsid w:val="00C44456"/>
    <w:rsid w:val="00C44F26"/>
    <w:rsid w:val="00C50365"/>
    <w:rsid w:val="00C514CE"/>
    <w:rsid w:val="00C5260E"/>
    <w:rsid w:val="00C538E0"/>
    <w:rsid w:val="00C55EA5"/>
    <w:rsid w:val="00C56BD8"/>
    <w:rsid w:val="00C56D1A"/>
    <w:rsid w:val="00C61CD8"/>
    <w:rsid w:val="00C62042"/>
    <w:rsid w:val="00C6307B"/>
    <w:rsid w:val="00C63767"/>
    <w:rsid w:val="00C642A4"/>
    <w:rsid w:val="00C65997"/>
    <w:rsid w:val="00C70631"/>
    <w:rsid w:val="00C822A0"/>
    <w:rsid w:val="00C828BC"/>
    <w:rsid w:val="00C84592"/>
    <w:rsid w:val="00C847F0"/>
    <w:rsid w:val="00C85322"/>
    <w:rsid w:val="00C85436"/>
    <w:rsid w:val="00C85F78"/>
    <w:rsid w:val="00C93781"/>
    <w:rsid w:val="00C94227"/>
    <w:rsid w:val="00C964DB"/>
    <w:rsid w:val="00C96FDD"/>
    <w:rsid w:val="00CA1BAE"/>
    <w:rsid w:val="00CA261C"/>
    <w:rsid w:val="00CA7D30"/>
    <w:rsid w:val="00CB5176"/>
    <w:rsid w:val="00CB56A4"/>
    <w:rsid w:val="00CB5B8B"/>
    <w:rsid w:val="00CB7685"/>
    <w:rsid w:val="00CC0F09"/>
    <w:rsid w:val="00CC1717"/>
    <w:rsid w:val="00CC1BFD"/>
    <w:rsid w:val="00CC451A"/>
    <w:rsid w:val="00CD0130"/>
    <w:rsid w:val="00CD1FD1"/>
    <w:rsid w:val="00CD2496"/>
    <w:rsid w:val="00CE08A1"/>
    <w:rsid w:val="00CE5FAC"/>
    <w:rsid w:val="00CF17A9"/>
    <w:rsid w:val="00CF2DA7"/>
    <w:rsid w:val="00CF4E4B"/>
    <w:rsid w:val="00D01412"/>
    <w:rsid w:val="00D0424A"/>
    <w:rsid w:val="00D04EE5"/>
    <w:rsid w:val="00D11C0B"/>
    <w:rsid w:val="00D137C1"/>
    <w:rsid w:val="00D2067D"/>
    <w:rsid w:val="00D22325"/>
    <w:rsid w:val="00D26B91"/>
    <w:rsid w:val="00D26DE1"/>
    <w:rsid w:val="00D27629"/>
    <w:rsid w:val="00D27EE9"/>
    <w:rsid w:val="00D3254E"/>
    <w:rsid w:val="00D326B6"/>
    <w:rsid w:val="00D328FF"/>
    <w:rsid w:val="00D341BB"/>
    <w:rsid w:val="00D34899"/>
    <w:rsid w:val="00D36C79"/>
    <w:rsid w:val="00D40461"/>
    <w:rsid w:val="00D437D9"/>
    <w:rsid w:val="00D452CB"/>
    <w:rsid w:val="00D463EC"/>
    <w:rsid w:val="00D503D1"/>
    <w:rsid w:val="00D54C91"/>
    <w:rsid w:val="00D557EF"/>
    <w:rsid w:val="00D57B97"/>
    <w:rsid w:val="00D610CD"/>
    <w:rsid w:val="00D67364"/>
    <w:rsid w:val="00D71164"/>
    <w:rsid w:val="00D72A96"/>
    <w:rsid w:val="00D739CF"/>
    <w:rsid w:val="00D826A9"/>
    <w:rsid w:val="00D82F81"/>
    <w:rsid w:val="00D905AE"/>
    <w:rsid w:val="00DA10F4"/>
    <w:rsid w:val="00DA1AAF"/>
    <w:rsid w:val="00DA3C18"/>
    <w:rsid w:val="00DB0B19"/>
    <w:rsid w:val="00DB0FB0"/>
    <w:rsid w:val="00DB3053"/>
    <w:rsid w:val="00DB3EDC"/>
    <w:rsid w:val="00DB6962"/>
    <w:rsid w:val="00DB6E59"/>
    <w:rsid w:val="00DB779F"/>
    <w:rsid w:val="00DB7C61"/>
    <w:rsid w:val="00DC04BD"/>
    <w:rsid w:val="00DD070F"/>
    <w:rsid w:val="00DD0B2F"/>
    <w:rsid w:val="00DD2DBE"/>
    <w:rsid w:val="00DD325B"/>
    <w:rsid w:val="00DD408E"/>
    <w:rsid w:val="00DD5208"/>
    <w:rsid w:val="00DD5CC2"/>
    <w:rsid w:val="00DD7E68"/>
    <w:rsid w:val="00DE093A"/>
    <w:rsid w:val="00DE546F"/>
    <w:rsid w:val="00DF2989"/>
    <w:rsid w:val="00DF6FBD"/>
    <w:rsid w:val="00E014E7"/>
    <w:rsid w:val="00E048FC"/>
    <w:rsid w:val="00E04B8C"/>
    <w:rsid w:val="00E109DA"/>
    <w:rsid w:val="00E10E14"/>
    <w:rsid w:val="00E15F9F"/>
    <w:rsid w:val="00E20842"/>
    <w:rsid w:val="00E24D35"/>
    <w:rsid w:val="00E26117"/>
    <w:rsid w:val="00E2773D"/>
    <w:rsid w:val="00E30B58"/>
    <w:rsid w:val="00E31A94"/>
    <w:rsid w:val="00E33175"/>
    <w:rsid w:val="00E33EA3"/>
    <w:rsid w:val="00E34984"/>
    <w:rsid w:val="00E41825"/>
    <w:rsid w:val="00E41BBD"/>
    <w:rsid w:val="00E43E98"/>
    <w:rsid w:val="00E472D9"/>
    <w:rsid w:val="00E53728"/>
    <w:rsid w:val="00E53792"/>
    <w:rsid w:val="00E54E64"/>
    <w:rsid w:val="00E57923"/>
    <w:rsid w:val="00E57B70"/>
    <w:rsid w:val="00E626B9"/>
    <w:rsid w:val="00E67484"/>
    <w:rsid w:val="00E72A4D"/>
    <w:rsid w:val="00E75D38"/>
    <w:rsid w:val="00E76796"/>
    <w:rsid w:val="00E85A4D"/>
    <w:rsid w:val="00E870C8"/>
    <w:rsid w:val="00E87552"/>
    <w:rsid w:val="00E87C3E"/>
    <w:rsid w:val="00E90738"/>
    <w:rsid w:val="00E91FCB"/>
    <w:rsid w:val="00E93573"/>
    <w:rsid w:val="00E94C52"/>
    <w:rsid w:val="00E97BCE"/>
    <w:rsid w:val="00EA217D"/>
    <w:rsid w:val="00EA2920"/>
    <w:rsid w:val="00EA7B83"/>
    <w:rsid w:val="00EB1C2E"/>
    <w:rsid w:val="00EB6A5D"/>
    <w:rsid w:val="00EC13BC"/>
    <w:rsid w:val="00EC7300"/>
    <w:rsid w:val="00ED0074"/>
    <w:rsid w:val="00ED1378"/>
    <w:rsid w:val="00ED50E7"/>
    <w:rsid w:val="00EE279B"/>
    <w:rsid w:val="00EE34FE"/>
    <w:rsid w:val="00EE3DB8"/>
    <w:rsid w:val="00EF124D"/>
    <w:rsid w:val="00EF3D6E"/>
    <w:rsid w:val="00EF588F"/>
    <w:rsid w:val="00EF79FD"/>
    <w:rsid w:val="00EF7BB1"/>
    <w:rsid w:val="00F011A2"/>
    <w:rsid w:val="00F076FD"/>
    <w:rsid w:val="00F12445"/>
    <w:rsid w:val="00F16108"/>
    <w:rsid w:val="00F176B3"/>
    <w:rsid w:val="00F17744"/>
    <w:rsid w:val="00F2158C"/>
    <w:rsid w:val="00F245B9"/>
    <w:rsid w:val="00F2657F"/>
    <w:rsid w:val="00F31AE8"/>
    <w:rsid w:val="00F40198"/>
    <w:rsid w:val="00F405E6"/>
    <w:rsid w:val="00F41EA8"/>
    <w:rsid w:val="00F47212"/>
    <w:rsid w:val="00F500F9"/>
    <w:rsid w:val="00F50D8E"/>
    <w:rsid w:val="00F51787"/>
    <w:rsid w:val="00F53606"/>
    <w:rsid w:val="00F53BC1"/>
    <w:rsid w:val="00F5448E"/>
    <w:rsid w:val="00F5458E"/>
    <w:rsid w:val="00F5600D"/>
    <w:rsid w:val="00F56BE4"/>
    <w:rsid w:val="00F56D6E"/>
    <w:rsid w:val="00F66A39"/>
    <w:rsid w:val="00F7154D"/>
    <w:rsid w:val="00F75ECC"/>
    <w:rsid w:val="00F84396"/>
    <w:rsid w:val="00F86FF7"/>
    <w:rsid w:val="00F91163"/>
    <w:rsid w:val="00F91A5A"/>
    <w:rsid w:val="00F95518"/>
    <w:rsid w:val="00FA0569"/>
    <w:rsid w:val="00FA4B2E"/>
    <w:rsid w:val="00FA6B43"/>
    <w:rsid w:val="00FB0AEF"/>
    <w:rsid w:val="00FB5507"/>
    <w:rsid w:val="00FB6ECA"/>
    <w:rsid w:val="00FC16EC"/>
    <w:rsid w:val="00FC1DA3"/>
    <w:rsid w:val="00FC7DC9"/>
    <w:rsid w:val="00FD1D46"/>
    <w:rsid w:val="00FD32CB"/>
    <w:rsid w:val="00FD3B2D"/>
    <w:rsid w:val="00FD71DA"/>
    <w:rsid w:val="00FE2803"/>
    <w:rsid w:val="00FE286E"/>
    <w:rsid w:val="00FE3E51"/>
    <w:rsid w:val="00FE715A"/>
    <w:rsid w:val="00FE7A85"/>
    <w:rsid w:val="00FE7F3C"/>
    <w:rsid w:val="00FF2DD3"/>
    <w:rsid w:val="00FF2FB7"/>
    <w:rsid w:val="00FF7081"/>
    <w:rsid w:val="00FF75AC"/>
    <w:rsid w:val="00FF775A"/>
    <w:rsid w:val="00FF78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2D81C"/>
  <w15:chartTrackingRefBased/>
  <w15:docId w15:val="{0552B8CB-3F61-4E02-B6C2-248B90ACE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rPr>
  </w:style>
  <w:style w:type="paragraph" w:styleId="Heading1">
    <w:name w:val="heading 1"/>
    <w:aliases w:val="Article Heading"/>
    <w:basedOn w:val="Normal"/>
    <w:next w:val="Heading2"/>
    <w:qFormat/>
    <w:pPr>
      <w:keepNext/>
      <w:spacing w:before="720"/>
      <w:jc w:val="center"/>
      <w:outlineLvl w:val="0"/>
    </w:pPr>
    <w:rPr>
      <w:b/>
      <w:caps/>
    </w:rPr>
  </w:style>
  <w:style w:type="paragraph" w:styleId="Heading2">
    <w:name w:val="heading 2"/>
    <w:aliases w:val="Section Heading 2,Section Heading"/>
    <w:basedOn w:val="Normal"/>
    <w:next w:val="Paragrapha"/>
    <w:qFormat/>
    <w:pPr>
      <w:keepNext/>
      <w:tabs>
        <w:tab w:val="clear" w:pos="567"/>
        <w:tab w:val="clear" w:pos="1134"/>
      </w:tabs>
      <w:spacing w:before="480"/>
      <w:ind w:left="1701" w:hanging="1701"/>
      <w:outlineLvl w:val="1"/>
    </w:pPr>
    <w:rPr>
      <w:b/>
    </w:rPr>
  </w:style>
  <w:style w:type="paragraph" w:styleId="Heading3">
    <w:name w:val="heading 3"/>
    <w:basedOn w:val="Normal"/>
    <w:next w:val="Normal"/>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tabs>
        <w:tab w:val="right" w:pos="8505"/>
      </w:tabs>
      <w:spacing w:after="480"/>
      <w:jc w:val="center"/>
    </w:pPr>
    <w:rPr>
      <w:b/>
      <w:caps/>
    </w:rPr>
  </w:style>
  <w:style w:type="paragraph" w:styleId="Footer">
    <w:name w:val="footer"/>
    <w:basedOn w:val="Normal"/>
    <w:link w:val="FooterChar"/>
    <w:uiPriority w:val="9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spacing w:before="480"/>
      <w:jc w:val="center"/>
    </w:pPr>
  </w:style>
  <w:style w:type="paragraph" w:customStyle="1" w:styleId="Paragrapha">
    <w:name w:val="Paragraph (a)"/>
    <w:basedOn w:val="Normal"/>
    <w:link w:val="ParagraphaChar"/>
    <w:pPr>
      <w:spacing w:before="240"/>
    </w:pPr>
  </w:style>
  <w:style w:type="paragraph" w:styleId="TOC4">
    <w:name w:val="toc 4"/>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pPr>
  </w:style>
  <w:style w:type="paragraph" w:styleId="TOC3">
    <w:name w:val="toc 3"/>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480"/>
    </w:pPr>
  </w:style>
  <w:style w:type="paragraph" w:customStyle="1" w:styleId="Definition">
    <w:name w:val="Definition"/>
    <w:basedOn w:val="Normal"/>
    <w:link w:val="DefinitionChar"/>
    <w:pPr>
      <w:tabs>
        <w:tab w:val="clear" w:pos="567"/>
        <w:tab w:val="clear" w:pos="1134"/>
        <w:tab w:val="clear" w:pos="1701"/>
        <w:tab w:val="clear" w:pos="2268"/>
      </w:tabs>
      <w:spacing w:before="240"/>
      <w:ind w:left="2835" w:hanging="2835"/>
    </w:pPr>
  </w:style>
  <w:style w:type="paragraph" w:styleId="TOC2">
    <w:name w:val="toc 2"/>
    <w:basedOn w:val="Normal"/>
    <w:next w:val="Normal"/>
    <w:autoRedefine/>
    <w:uiPriority w:val="39"/>
    <w:rsid w:val="00CB768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Definition"/>
    <w:pPr>
      <w:spacing w:before="0"/>
    </w:pPr>
  </w:style>
  <w:style w:type="paragraph" w:customStyle="1" w:styleId="Definition1a">
    <w:name w:val="Definition 1a"/>
    <w:basedOn w:val="Definition"/>
    <w:next w:val="Definition1b"/>
    <w:pPr>
      <w:keepNext/>
    </w:pPr>
  </w:style>
  <w:style w:type="paragraph" w:customStyle="1" w:styleId="Paragraph1">
    <w:name w:val="Paragraph (1)"/>
    <w:basedOn w:val="Normal"/>
    <w:pPr>
      <w:tabs>
        <w:tab w:val="clear" w:pos="567"/>
      </w:tabs>
      <w:spacing w:before="240"/>
      <w:ind w:left="567"/>
    </w:pPr>
  </w:style>
  <w:style w:type="paragraph" w:customStyle="1" w:styleId="ParagraphA0">
    <w:name w:val="Paragraph (A)"/>
    <w:basedOn w:val="Normal"/>
    <w:pPr>
      <w:tabs>
        <w:tab w:val="clear" w:pos="567"/>
        <w:tab w:val="clear" w:pos="1134"/>
      </w:tabs>
      <w:spacing w:before="240"/>
      <w:ind w:left="1134"/>
    </w:pPr>
  </w:style>
  <w:style w:type="paragraph" w:styleId="TOC1">
    <w:name w:val="toc 1"/>
    <w:basedOn w:val="Normal"/>
    <w:next w:val="Normal"/>
    <w:autoRedefine/>
    <w:uiPriority w:val="39"/>
    <w:rsid w:val="00CB768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TOC5">
    <w:name w:val="toc 5"/>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60"/>
    </w:pPr>
  </w:style>
  <w:style w:type="paragraph" w:styleId="TOC6">
    <w:name w:val="toc 6"/>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200"/>
    </w:pPr>
  </w:style>
  <w:style w:type="paragraph" w:styleId="TOC7">
    <w:name w:val="toc 7"/>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440"/>
    </w:pPr>
  </w:style>
  <w:style w:type="paragraph" w:styleId="TOC8">
    <w:name w:val="toc 8"/>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680"/>
    </w:pPr>
  </w:style>
  <w:style w:type="paragraph" w:styleId="TOC9">
    <w:name w:val="toc 9"/>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920"/>
    </w:pPr>
  </w:style>
  <w:style w:type="character" w:styleId="PageNumber">
    <w:name w:val="page number"/>
    <w:basedOn w:val="DefaultParagraphFont"/>
  </w:style>
  <w:style w:type="paragraph" w:customStyle="1" w:styleId="Section1">
    <w:name w:val="Section 1"/>
    <w:basedOn w:val="Normal"/>
    <w:rsid w:val="00FF7081"/>
    <w:pPr>
      <w:keepLines/>
      <w:spacing w:before="240" w:line="240" w:lineRule="atLeast"/>
    </w:pPr>
    <w:rPr>
      <w:rFonts w:ascii="Tms Rmn" w:hAnsi="Tms Rmn"/>
    </w:rPr>
  </w:style>
  <w:style w:type="paragraph" w:styleId="Header">
    <w:name w:val="head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paragraph" w:customStyle="1" w:styleId="Definition2">
    <w:name w:val="Definition 2"/>
    <w:basedOn w:val="Definition"/>
    <w:pPr>
      <w:tabs>
        <w:tab w:val="clear" w:pos="2835"/>
      </w:tabs>
      <w:ind w:firstLine="0"/>
    </w:pPr>
  </w:style>
  <w:style w:type="character" w:styleId="EndnoteReference">
    <w:name w:val="endnote reference"/>
    <w:semiHidden/>
    <w:rPr>
      <w:vanish/>
      <w:color w:val="008000"/>
      <w:vertAlign w:val="superscript"/>
    </w:rPr>
  </w:style>
  <w:style w:type="paragraph" w:styleId="EndnoteText">
    <w:name w:val="endnote text"/>
    <w:basedOn w:val="Normal"/>
    <w:link w:val="EndnoteTextChar"/>
    <w:pPr>
      <w:spacing w:before="240"/>
    </w:pPr>
    <w:rPr>
      <w:vanish/>
    </w:rPr>
  </w:style>
  <w:style w:type="paragraph" w:customStyle="1" w:styleId="Definition3">
    <w:name w:val="Definition 3"/>
    <w:basedOn w:val="Definition2"/>
    <w:pPr>
      <w:tabs>
        <w:tab w:val="clear" w:pos="3402"/>
      </w:tabs>
      <w:ind w:left="3402"/>
    </w:pPr>
  </w:style>
  <w:style w:type="paragraph" w:customStyle="1" w:styleId="Definition4">
    <w:name w:val="Definition 4"/>
    <w:basedOn w:val="Definition3"/>
    <w:pPr>
      <w:tabs>
        <w:tab w:val="clear" w:pos="3969"/>
      </w:tabs>
      <w:ind w:left="3969"/>
    </w:pPr>
  </w:style>
  <w:style w:type="paragraph" w:customStyle="1" w:styleId="Paragraphi">
    <w:name w:val="Paragraph (i)"/>
    <w:basedOn w:val="Normal"/>
    <w:pPr>
      <w:tabs>
        <w:tab w:val="clear" w:pos="567"/>
        <w:tab w:val="clear" w:pos="1134"/>
        <w:tab w:val="clear" w:pos="1701"/>
      </w:tabs>
      <w:spacing w:before="240"/>
      <w:ind w:left="1701"/>
    </w:pPr>
  </w:style>
  <w:style w:type="paragraph" w:customStyle="1" w:styleId="ScheduleHeading">
    <w:name w:val="Schedule Heading"/>
    <w:basedOn w:val="Title"/>
    <w:next w:val="Normal"/>
  </w:style>
  <w:style w:type="paragraph" w:customStyle="1" w:styleId="ExhibitHeading">
    <w:name w:val="Exhibit Heading"/>
    <w:basedOn w:val="Title"/>
    <w:next w:val="Normal"/>
  </w:style>
  <w:style w:type="paragraph" w:styleId="CommentText">
    <w:name w:val="annotation text"/>
    <w:basedOn w:val="Normal"/>
    <w:link w:val="CommentTextChar"/>
    <w:semiHidden/>
    <w:rsid w:val="00D71164"/>
    <w:pPr>
      <w:spacing w:before="240"/>
    </w:pPr>
  </w:style>
  <w:style w:type="character" w:styleId="CommentReference">
    <w:name w:val="annotation reference"/>
    <w:semiHidden/>
    <w:rsid w:val="00D71164"/>
    <w:rPr>
      <w:rFonts w:ascii="Times New Roman" w:hAnsi="Times New Roman"/>
      <w:b/>
      <w:i/>
      <w:vanish/>
      <w:color w:val="008000"/>
      <w:sz w:val="20"/>
    </w:rPr>
  </w:style>
  <w:style w:type="paragraph" w:styleId="BalloonText">
    <w:name w:val="Balloon Text"/>
    <w:basedOn w:val="Normal"/>
    <w:semiHidden/>
    <w:rsid w:val="00542C59"/>
    <w:rPr>
      <w:rFonts w:ascii="Tahoma" w:hAnsi="Tahoma" w:cs="Tahoma"/>
      <w:sz w:val="16"/>
      <w:szCs w:val="16"/>
    </w:rPr>
  </w:style>
  <w:style w:type="paragraph" w:styleId="DocumentMap">
    <w:name w:val="Document Map"/>
    <w:basedOn w:val="Normal"/>
    <w:semiHidden/>
    <w:rsid w:val="00B01626"/>
    <w:pPr>
      <w:shd w:val="clear" w:color="auto" w:fill="000080"/>
    </w:pPr>
    <w:rPr>
      <w:rFonts w:ascii="Tahoma" w:hAnsi="Tahoma" w:cs="Tahoma"/>
    </w:rPr>
  </w:style>
  <w:style w:type="paragraph" w:customStyle="1" w:styleId="CharChar1">
    <w:name w:val="Char Char1"/>
    <w:basedOn w:val="Normal"/>
    <w:rsid w:val="00BF5717"/>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character" w:customStyle="1" w:styleId="ParagraphaChar">
    <w:name w:val="Paragraph (a) Char"/>
    <w:link w:val="Paragrapha"/>
    <w:locked/>
    <w:rsid w:val="00015825"/>
    <w:rPr>
      <w:sz w:val="24"/>
    </w:rPr>
  </w:style>
  <w:style w:type="character" w:customStyle="1" w:styleId="EndnoteTextChar">
    <w:name w:val="Endnote Text Char"/>
    <w:link w:val="EndnoteText"/>
    <w:rsid w:val="003E3FFD"/>
    <w:rPr>
      <w:vanish/>
      <w:sz w:val="24"/>
    </w:rPr>
  </w:style>
  <w:style w:type="paragraph" w:customStyle="1" w:styleId="CharChar">
    <w:name w:val="Char Char"/>
    <w:basedOn w:val="Normal"/>
    <w:rsid w:val="00F500F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customStyle="1" w:styleId="Default">
    <w:name w:val="Default"/>
    <w:rsid w:val="006111AD"/>
    <w:pPr>
      <w:autoSpaceDE w:val="0"/>
      <w:autoSpaceDN w:val="0"/>
      <w:adjustRightInd w:val="0"/>
    </w:pPr>
    <w:rPr>
      <w:color w:val="000000"/>
      <w:sz w:val="24"/>
      <w:szCs w:val="24"/>
    </w:rPr>
  </w:style>
  <w:style w:type="character" w:styleId="Hyperlink">
    <w:name w:val="Hyperlink"/>
    <w:rsid w:val="00CF2DA7"/>
    <w:rPr>
      <w:color w:val="0000FF"/>
      <w:u w:val="single"/>
    </w:rPr>
  </w:style>
  <w:style w:type="character" w:customStyle="1" w:styleId="DefinitionChar">
    <w:name w:val="Definition Char"/>
    <w:link w:val="Definition"/>
    <w:rsid w:val="004C0C3B"/>
    <w:rPr>
      <w:sz w:val="24"/>
    </w:rPr>
  </w:style>
  <w:style w:type="paragraph" w:styleId="FootnoteText">
    <w:name w:val="footnote text"/>
    <w:basedOn w:val="Normal"/>
    <w:link w:val="FootnoteTextChar"/>
    <w:uiPriority w:val="99"/>
    <w:semiHidden/>
    <w:unhideWhenUsed/>
    <w:rsid w:val="00A06E7A"/>
    <w:rPr>
      <w:sz w:val="20"/>
    </w:rPr>
  </w:style>
  <w:style w:type="character" w:customStyle="1" w:styleId="FootnoteTextChar">
    <w:name w:val="Footnote Text Char"/>
    <w:basedOn w:val="DefaultParagraphFont"/>
    <w:link w:val="FootnoteText"/>
    <w:uiPriority w:val="99"/>
    <w:semiHidden/>
    <w:rsid w:val="00A06E7A"/>
  </w:style>
  <w:style w:type="character" w:styleId="FootnoteReference">
    <w:name w:val="footnote reference"/>
    <w:basedOn w:val="DefaultParagraphFont"/>
    <w:uiPriority w:val="99"/>
    <w:semiHidden/>
    <w:unhideWhenUsed/>
    <w:rsid w:val="00A06E7A"/>
    <w:rPr>
      <w:vertAlign w:val="superscript"/>
    </w:rPr>
  </w:style>
  <w:style w:type="paragraph" w:customStyle="1" w:styleId="HangingIndent">
    <w:name w:val="Hanging Indent"/>
    <w:basedOn w:val="Normal"/>
    <w:rsid w:val="007C1097"/>
    <w:pPr>
      <w:tabs>
        <w:tab w:val="clear" w:pos="567"/>
        <w:tab w:val="clear" w:pos="1134"/>
        <w:tab w:val="clear" w:pos="1701"/>
        <w:tab w:val="clear" w:pos="2268"/>
        <w:tab w:val="clear" w:pos="2835"/>
        <w:tab w:val="clear" w:pos="3402"/>
        <w:tab w:val="clear" w:pos="3969"/>
        <w:tab w:val="left" w:pos="3960"/>
      </w:tabs>
      <w:spacing w:before="240" w:line="240" w:lineRule="atLeast"/>
      <w:ind w:left="3402" w:hanging="3402"/>
    </w:pPr>
  </w:style>
  <w:style w:type="paragraph" w:styleId="CommentSubject">
    <w:name w:val="annotation subject"/>
    <w:basedOn w:val="CommentText"/>
    <w:next w:val="CommentText"/>
    <w:link w:val="CommentSubjectChar"/>
    <w:uiPriority w:val="99"/>
    <w:semiHidden/>
    <w:unhideWhenUsed/>
    <w:rsid w:val="006A48B2"/>
    <w:pPr>
      <w:spacing w:before="0"/>
    </w:pPr>
    <w:rPr>
      <w:b/>
      <w:bCs/>
      <w:sz w:val="20"/>
    </w:rPr>
  </w:style>
  <w:style w:type="character" w:customStyle="1" w:styleId="CommentTextChar">
    <w:name w:val="Comment Text Char"/>
    <w:basedOn w:val="DefaultParagraphFont"/>
    <w:link w:val="CommentText"/>
    <w:semiHidden/>
    <w:rsid w:val="006A48B2"/>
    <w:rPr>
      <w:sz w:val="24"/>
    </w:rPr>
  </w:style>
  <w:style w:type="character" w:customStyle="1" w:styleId="CommentSubjectChar">
    <w:name w:val="Comment Subject Char"/>
    <w:basedOn w:val="CommentTextChar"/>
    <w:link w:val="CommentSubject"/>
    <w:uiPriority w:val="99"/>
    <w:semiHidden/>
    <w:rsid w:val="006A48B2"/>
    <w:rPr>
      <w:b/>
      <w:bCs/>
      <w:sz w:val="24"/>
    </w:rPr>
  </w:style>
  <w:style w:type="paragraph" w:styleId="Revision">
    <w:name w:val="Revision"/>
    <w:hidden/>
    <w:uiPriority w:val="99"/>
    <w:semiHidden/>
    <w:rsid w:val="0015241C"/>
    <w:rPr>
      <w:sz w:val="24"/>
    </w:rPr>
  </w:style>
  <w:style w:type="paragraph" w:styleId="ListParagraph">
    <w:name w:val="List Paragraph"/>
    <w:basedOn w:val="Normal"/>
    <w:uiPriority w:val="34"/>
    <w:qFormat/>
    <w:rsid w:val="00595130"/>
    <w:pPr>
      <w:ind w:left="720"/>
      <w:contextualSpacing/>
    </w:pPr>
  </w:style>
  <w:style w:type="character" w:customStyle="1" w:styleId="hwtze">
    <w:name w:val="hwtze"/>
    <w:basedOn w:val="DefaultParagraphFont"/>
    <w:rsid w:val="005232C3"/>
  </w:style>
  <w:style w:type="character" w:customStyle="1" w:styleId="rynqvb">
    <w:name w:val="rynqvb"/>
    <w:basedOn w:val="DefaultParagraphFont"/>
    <w:rsid w:val="005232C3"/>
  </w:style>
  <w:style w:type="paragraph" w:styleId="BodyText">
    <w:name w:val="Body Text"/>
    <w:basedOn w:val="Normal"/>
    <w:link w:val="BodyTextChar"/>
    <w:uiPriority w:val="99"/>
    <w:unhideWhenUsed/>
    <w:rsid w:val="002C79F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jc w:val="left"/>
    </w:pPr>
    <w:rPr>
      <w:szCs w:val="24"/>
      <w:lang w:val="en-US" w:eastAsia="en-US"/>
    </w:rPr>
  </w:style>
  <w:style w:type="character" w:customStyle="1" w:styleId="BodyTextChar">
    <w:name w:val="Body Text Char"/>
    <w:basedOn w:val="DefaultParagraphFont"/>
    <w:link w:val="BodyText"/>
    <w:uiPriority w:val="99"/>
    <w:rsid w:val="002C79F2"/>
    <w:rPr>
      <w:sz w:val="24"/>
      <w:szCs w:val="24"/>
      <w:lang w:val="en-US" w:eastAsia="en-US"/>
    </w:rPr>
  </w:style>
  <w:style w:type="character" w:customStyle="1" w:styleId="FooterChar">
    <w:name w:val="Footer Char"/>
    <w:basedOn w:val="DefaultParagraphFont"/>
    <w:link w:val="Footer"/>
    <w:uiPriority w:val="99"/>
    <w:rsid w:val="00E472D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31474">
      <w:bodyDiv w:val="1"/>
      <w:marLeft w:val="0"/>
      <w:marRight w:val="0"/>
      <w:marTop w:val="0"/>
      <w:marBottom w:val="0"/>
      <w:divBdr>
        <w:top w:val="none" w:sz="0" w:space="0" w:color="auto"/>
        <w:left w:val="none" w:sz="0" w:space="0" w:color="auto"/>
        <w:bottom w:val="none" w:sz="0" w:space="0" w:color="auto"/>
        <w:right w:val="none" w:sz="0" w:space="0" w:color="auto"/>
      </w:divBdr>
    </w:div>
    <w:div w:id="142936340">
      <w:bodyDiv w:val="1"/>
      <w:marLeft w:val="0"/>
      <w:marRight w:val="0"/>
      <w:marTop w:val="0"/>
      <w:marBottom w:val="0"/>
      <w:divBdr>
        <w:top w:val="none" w:sz="0" w:space="0" w:color="auto"/>
        <w:left w:val="none" w:sz="0" w:space="0" w:color="auto"/>
        <w:bottom w:val="none" w:sz="0" w:space="0" w:color="auto"/>
        <w:right w:val="none" w:sz="0" w:space="0" w:color="auto"/>
      </w:divBdr>
      <w:divsChild>
        <w:div w:id="133253225">
          <w:marLeft w:val="0"/>
          <w:marRight w:val="0"/>
          <w:marTop w:val="0"/>
          <w:marBottom w:val="0"/>
          <w:divBdr>
            <w:top w:val="none" w:sz="0" w:space="0" w:color="auto"/>
            <w:left w:val="none" w:sz="0" w:space="0" w:color="auto"/>
            <w:bottom w:val="none" w:sz="0" w:space="0" w:color="auto"/>
            <w:right w:val="none" w:sz="0" w:space="0" w:color="auto"/>
          </w:divBdr>
        </w:div>
      </w:divsChild>
    </w:div>
    <w:div w:id="314605561">
      <w:bodyDiv w:val="1"/>
      <w:marLeft w:val="0"/>
      <w:marRight w:val="0"/>
      <w:marTop w:val="0"/>
      <w:marBottom w:val="0"/>
      <w:divBdr>
        <w:top w:val="none" w:sz="0" w:space="0" w:color="auto"/>
        <w:left w:val="none" w:sz="0" w:space="0" w:color="auto"/>
        <w:bottom w:val="none" w:sz="0" w:space="0" w:color="auto"/>
        <w:right w:val="none" w:sz="0" w:space="0" w:color="auto"/>
      </w:divBdr>
      <w:divsChild>
        <w:div w:id="1086268035">
          <w:marLeft w:val="0"/>
          <w:marRight w:val="0"/>
          <w:marTop w:val="0"/>
          <w:marBottom w:val="0"/>
          <w:divBdr>
            <w:top w:val="none" w:sz="0" w:space="0" w:color="auto"/>
            <w:left w:val="none" w:sz="0" w:space="0" w:color="auto"/>
            <w:bottom w:val="none" w:sz="0" w:space="0" w:color="auto"/>
            <w:right w:val="none" w:sz="0" w:space="0" w:color="auto"/>
          </w:divBdr>
        </w:div>
      </w:divsChild>
    </w:div>
    <w:div w:id="472407736">
      <w:bodyDiv w:val="1"/>
      <w:marLeft w:val="0"/>
      <w:marRight w:val="0"/>
      <w:marTop w:val="0"/>
      <w:marBottom w:val="0"/>
      <w:divBdr>
        <w:top w:val="none" w:sz="0" w:space="0" w:color="auto"/>
        <w:left w:val="none" w:sz="0" w:space="0" w:color="auto"/>
        <w:bottom w:val="none" w:sz="0" w:space="0" w:color="auto"/>
        <w:right w:val="none" w:sz="0" w:space="0" w:color="auto"/>
      </w:divBdr>
    </w:div>
    <w:div w:id="533272406">
      <w:bodyDiv w:val="1"/>
      <w:marLeft w:val="0"/>
      <w:marRight w:val="0"/>
      <w:marTop w:val="0"/>
      <w:marBottom w:val="0"/>
      <w:divBdr>
        <w:top w:val="none" w:sz="0" w:space="0" w:color="auto"/>
        <w:left w:val="none" w:sz="0" w:space="0" w:color="auto"/>
        <w:bottom w:val="none" w:sz="0" w:space="0" w:color="auto"/>
        <w:right w:val="none" w:sz="0" w:space="0" w:color="auto"/>
      </w:divBdr>
    </w:div>
    <w:div w:id="598417227">
      <w:bodyDiv w:val="1"/>
      <w:marLeft w:val="0"/>
      <w:marRight w:val="0"/>
      <w:marTop w:val="0"/>
      <w:marBottom w:val="0"/>
      <w:divBdr>
        <w:top w:val="none" w:sz="0" w:space="0" w:color="auto"/>
        <w:left w:val="none" w:sz="0" w:space="0" w:color="auto"/>
        <w:bottom w:val="none" w:sz="0" w:space="0" w:color="auto"/>
        <w:right w:val="none" w:sz="0" w:space="0" w:color="auto"/>
      </w:divBdr>
    </w:div>
    <w:div w:id="912662140">
      <w:bodyDiv w:val="1"/>
      <w:marLeft w:val="0"/>
      <w:marRight w:val="0"/>
      <w:marTop w:val="0"/>
      <w:marBottom w:val="0"/>
      <w:divBdr>
        <w:top w:val="none" w:sz="0" w:space="0" w:color="auto"/>
        <w:left w:val="none" w:sz="0" w:space="0" w:color="auto"/>
        <w:bottom w:val="none" w:sz="0" w:space="0" w:color="auto"/>
        <w:right w:val="none" w:sz="0" w:space="0" w:color="auto"/>
      </w:divBdr>
    </w:div>
    <w:div w:id="1467435242">
      <w:bodyDiv w:val="1"/>
      <w:marLeft w:val="0"/>
      <w:marRight w:val="0"/>
      <w:marTop w:val="0"/>
      <w:marBottom w:val="0"/>
      <w:divBdr>
        <w:top w:val="none" w:sz="0" w:space="0" w:color="auto"/>
        <w:left w:val="none" w:sz="0" w:space="0" w:color="auto"/>
        <w:bottom w:val="none" w:sz="0" w:space="0" w:color="auto"/>
        <w:right w:val="none" w:sz="0" w:space="0" w:color="auto"/>
      </w:divBdr>
    </w:div>
    <w:div w:id="1546790357">
      <w:bodyDiv w:val="1"/>
      <w:marLeft w:val="0"/>
      <w:marRight w:val="0"/>
      <w:marTop w:val="0"/>
      <w:marBottom w:val="0"/>
      <w:divBdr>
        <w:top w:val="none" w:sz="0" w:space="0" w:color="auto"/>
        <w:left w:val="none" w:sz="0" w:space="0" w:color="auto"/>
        <w:bottom w:val="none" w:sz="0" w:space="0" w:color="auto"/>
        <w:right w:val="none" w:sz="0" w:space="0" w:color="auto"/>
      </w:divBdr>
    </w:div>
    <w:div w:id="162838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bankingservices@ebrd.com" TargetMode="Externa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GE_x002d_1000 xmlns="75fdbbb2-3bde-422d-b22f-a11d0436ba84" xsi:nil="true"/>
    <TaxCatchAll xmlns="2cb48d6b-2a26-4592-ac40-5f05e5758a69" xsi:nil="true"/>
    <lcf76f155ced4ddcb4097134ff3c332f xmlns="75fdbbb2-3bde-422d-b22f-a11d0436ba8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9DFB00FC491244BCB8444FB35D0743" ma:contentTypeVersion="19" ma:contentTypeDescription="Create a new document." ma:contentTypeScope="" ma:versionID="58532eb9b754f46a9dc7258881cdc1a9">
  <xsd:schema xmlns:xsd="http://www.w3.org/2001/XMLSchema" xmlns:xs="http://www.w3.org/2001/XMLSchema" xmlns:p="http://schemas.microsoft.com/office/2006/metadata/properties" xmlns:ns2="75fdbbb2-3bde-422d-b22f-a11d0436ba84" xmlns:ns3="2cb48d6b-2a26-4592-ac40-5f05e5758a69" targetNamespace="http://schemas.microsoft.com/office/2006/metadata/properties" ma:root="true" ma:fieldsID="36b19df2a1999ad60e446c67a9a7b1fc" ns2:_="" ns3:_="">
    <xsd:import namespace="75fdbbb2-3bde-422d-b22f-a11d0436ba84"/>
    <xsd:import namespace="2cb48d6b-2a26-4592-ac40-5f05e5758a6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GE_x002d_1000" minOccurs="0"/>
                <xsd:element ref="ns3:SharedWithUsers" minOccurs="0"/>
                <xsd:element ref="ns3:SharedWithDetails" minOccurs="0"/>
                <xsd:element ref="ns2:MediaServiceDateTaken" minOccurs="0"/>
                <xsd:element ref="ns3:TaxCatchAll"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fdbbb2-3bde-422d-b22f-a11d0436ba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GE_x002d_1000" ma:index="13" nillable="true" ma:displayName="DTM No" ma:format="Dropdown" ma:internalName="GE_x002d_1000">
      <xsd:simpleType>
        <xsd:restriction base="dms:Text">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dd5f4a5-f25a-477f-9e2f-1995290100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b48d6b-2a26-4592-ac40-5f05e5758a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7e54b6cd-857e-4a04-a868-2fb55b361cf6}" ma:internalName="TaxCatchAll" ma:showField="CatchAllData" ma:web="2cb48d6b-2a26-4592-ac40-5f05e5758a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1d45786f-a737-4735-8af6-df12fb6939a2" origin="userSelected">
  <element uid="214105f6-acd4-485a-afa0-a0b988f7534c" value=""/>
</sisl>
</file>

<file path=customXml/itemProps1.xml><?xml version="1.0" encoding="utf-8"?>
<ds:datastoreItem xmlns:ds="http://schemas.openxmlformats.org/officeDocument/2006/customXml" ds:itemID="{510E2DD0-FF5C-4EF3-8E23-3E41F4B973D0}">
  <ds:schemaRefs>
    <ds:schemaRef ds:uri="http://schemas.microsoft.com/sharepoint/v3/contenttype/forms"/>
  </ds:schemaRefs>
</ds:datastoreItem>
</file>

<file path=customXml/itemProps2.xml><?xml version="1.0" encoding="utf-8"?>
<ds:datastoreItem xmlns:ds="http://schemas.openxmlformats.org/officeDocument/2006/customXml" ds:itemID="{35C32C81-AE55-48A8-B23A-68049CCB74F9}">
  <ds:schemaRefs>
    <ds:schemaRef ds:uri="http://schemas.openxmlformats.org/officeDocument/2006/bibliography"/>
  </ds:schemaRefs>
</ds:datastoreItem>
</file>

<file path=customXml/itemProps3.xml><?xml version="1.0" encoding="utf-8"?>
<ds:datastoreItem xmlns:ds="http://schemas.openxmlformats.org/officeDocument/2006/customXml" ds:itemID="{8699D468-B69A-4AA8-A723-B9920609BC01}">
  <ds:schemaRefs>
    <ds:schemaRef ds:uri="http://schemas.microsoft.com/office/2006/metadata/properties"/>
    <ds:schemaRef ds:uri="http://schemas.microsoft.com/office/infopath/2007/PartnerControls"/>
    <ds:schemaRef ds:uri="75fdbbb2-3bde-422d-b22f-a11d0436ba84"/>
    <ds:schemaRef ds:uri="2cb48d6b-2a26-4592-ac40-5f05e5758a69"/>
  </ds:schemaRefs>
</ds:datastoreItem>
</file>

<file path=customXml/itemProps4.xml><?xml version="1.0" encoding="utf-8"?>
<ds:datastoreItem xmlns:ds="http://schemas.openxmlformats.org/officeDocument/2006/customXml" ds:itemID="{949E4718-8E92-47D6-B642-DDFFD75F4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fdbbb2-3bde-422d-b22f-a11d0436ba84"/>
    <ds:schemaRef ds:uri="2cb48d6b-2a26-4592-ac40-5f05e5758a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0B03F9F-BF4A-4498-B273-251DBDA5FDA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2911</Words>
  <Characters>16593</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Sovereign Loan Agreement - STC-3</vt:lpstr>
    </vt:vector>
  </TitlesOfParts>
  <Company>EBRD</Company>
  <LinksUpToDate>false</LinksUpToDate>
  <CharactersWithSpaces>19466</CharactersWithSpaces>
  <SharedDoc>false</SharedDoc>
  <HLinks>
    <vt:vector size="6" baseType="variant">
      <vt:variant>
        <vt:i4>4128782</vt:i4>
      </vt:variant>
      <vt:variant>
        <vt:i4>75</vt:i4>
      </vt:variant>
      <vt:variant>
        <vt:i4>0</vt:i4>
      </vt:variant>
      <vt:variant>
        <vt:i4>5</vt:i4>
      </vt:variant>
      <vt:variant>
        <vt:lpwstr>mailto:oad@ebrd.com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Sovereign Loan Agreement - STC-3</dc:title>
  <dc:subject/>
  <dc:creator>Bill Rubin</dc:creator>
  <cp:keywords>[EBRD]</cp:keywords>
  <dc:description/>
  <cp:lastModifiedBy>Andjelka Opacic</cp:lastModifiedBy>
  <cp:revision>5</cp:revision>
  <cp:lastPrinted>2024-07-23T09:30:00Z</cp:lastPrinted>
  <dcterms:created xsi:type="dcterms:W3CDTF">2024-07-31T08:26:00Z</dcterms:created>
  <dcterms:modified xsi:type="dcterms:W3CDTF">2024-07-31T08:33:00Z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UFAA9qelww5tp43a5wO2WSmlsE1+re1tLE2tdiYQ22zIJnMF5XY7TfuwFFCrUgPNQ+AGJ1K7q5ed7YO7_x000d_
c4LV+64rNEz4yOuA5FnHmGxNashrX6GOoSH/D1kNur48KE5xg7KV4Bqhq4kyqAE0OjJTIl9JIos8_x000d_
YuCb6bMvgKtjuj2+GSSH5Suawbb6CqEQf4E81vZ1CGLGx319rmKdKGkkZ2+wWlMVugo2QjX3kTR2_x000d_
vGIhOcy4oPFFEICFJ</vt:lpwstr>
  </property>
  <property fmtid="{D5CDD505-2E9C-101B-9397-08002B2CF9AE}" pid="3" name="MAIL_MSG_ID2">
    <vt:lpwstr>ZoKBg8YzsV6qDMmufdU/A3n/tZr3WteE3TjCXE/VoXOHahpUhIfQXYI/Rkm_x000d_
VvDkA98HiOw0N6JiEdW+vKSGiJ0=</vt:lpwstr>
  </property>
  <property fmtid="{D5CDD505-2E9C-101B-9397-08002B2CF9AE}" pid="4" name="RESPONSE_SENDER_NAME">
    <vt:lpwstr>sAAAE9kkUq3pEoKMr35ffC8YSyuIKX341GU9fDsqZjd48Sw=</vt:lpwstr>
  </property>
  <property fmtid="{D5CDD505-2E9C-101B-9397-08002B2CF9AE}" pid="5" name="EMAIL_OWNER_ADDRESS">
    <vt:lpwstr>sAAAE34RQVAK31lSmwLtbdvk9TvAygzNojvR2Afx6BxdMtU=</vt:lpwstr>
  </property>
  <property fmtid="{D5CDD505-2E9C-101B-9397-08002B2CF9AE}" pid="6" name="docIndexRef">
    <vt:lpwstr>2351aa87-91de-4b7c-bff7-083583205ebf</vt:lpwstr>
  </property>
  <property fmtid="{D5CDD505-2E9C-101B-9397-08002B2CF9AE}" pid="7" name="bjSaver">
    <vt:lpwstr>pLVYEt51AfdMTT8yhSlNVCwnhaO+visl</vt:lpwstr>
  </property>
  <property fmtid="{D5CDD505-2E9C-101B-9397-08002B2CF9AE}" pid="8" name="bjDocumentLabelFieldCode">
    <vt:lpwstr> </vt:lpwstr>
  </property>
  <property fmtid="{D5CDD505-2E9C-101B-9397-08002B2CF9AE}" pid="9" name="ContentTypeId">
    <vt:lpwstr>0x010100839DFB00FC491244BCB8444FB35D0743</vt:lpwstr>
  </property>
  <property fmtid="{D5CDD505-2E9C-101B-9397-08002B2CF9AE}" pid="10" name="bjDocumentLabelXML">
    <vt:lpwstr>&lt;?xml version="1.0" encoding="us-ascii"?&gt;&lt;sisl xmlns:xsd="http://www.w3.org/2001/XMLSchema" xmlns:xsi="http://www.w3.org/2001/XMLSchema-instance" sislVersion="0" policy="1d45786f-a737-4735-8af6-df12fb6939a2" origin="userSelected" xmlns="http://www.boldonj</vt:lpwstr>
  </property>
  <property fmtid="{D5CDD505-2E9C-101B-9397-08002B2CF9AE}" pid="11" name="bjDocumentLabelXML-0">
    <vt:lpwstr>ames.com/2008/01/sie/internal/label"&gt;&lt;element uid="214105f6-acd4-485a-afa0-a0b988f7534c" value="" /&gt;&lt;/sisl&gt;</vt:lpwstr>
  </property>
  <property fmtid="{D5CDD505-2E9C-101B-9397-08002B2CF9AE}" pid="12" name="bjClsUserRVM">
    <vt:lpwstr>[]</vt:lpwstr>
  </property>
</Properties>
</file>