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B485EB" w14:textId="78E96F6A" w:rsidR="00706841" w:rsidRPr="00203E0A" w:rsidRDefault="48A77BA5" w:rsidP="0006737B">
      <w:pPr>
        <w:ind w:firstLine="720"/>
        <w:jc w:val="both"/>
        <w:rPr>
          <w:rFonts w:ascii="Times New Roman" w:hAnsi="Times New Roman"/>
          <w:sz w:val="24"/>
          <w:szCs w:val="24"/>
        </w:rPr>
      </w:pPr>
      <w:r w:rsidRPr="00203E0A">
        <w:rPr>
          <w:rFonts w:ascii="Times New Roman" w:hAnsi="Times New Roman"/>
          <w:sz w:val="24"/>
          <w:szCs w:val="24"/>
        </w:rPr>
        <w:t>На основу члана 38. став 1. Закона о планском систему Републике Србије („Службени гласник РС”, број 30/18)</w:t>
      </w:r>
      <w:r w:rsidR="004958A8">
        <w:rPr>
          <w:rFonts w:ascii="Times New Roman" w:hAnsi="Times New Roman"/>
          <w:sz w:val="24"/>
          <w:szCs w:val="24"/>
        </w:rPr>
        <w:t xml:space="preserve"> и члана 89. став 1. тачка 2</w:t>
      </w:r>
      <w:r w:rsidR="00E46B6A">
        <w:rPr>
          <w:rFonts w:ascii="Times New Roman" w:hAnsi="Times New Roman"/>
          <w:sz w:val="24"/>
          <w:szCs w:val="24"/>
        </w:rPr>
        <w:t>) Закона о безбедности и здрављу</w:t>
      </w:r>
      <w:r w:rsidR="004958A8">
        <w:rPr>
          <w:rFonts w:ascii="Times New Roman" w:hAnsi="Times New Roman"/>
          <w:sz w:val="24"/>
          <w:szCs w:val="24"/>
        </w:rPr>
        <w:t xml:space="preserve"> на раду </w:t>
      </w:r>
      <w:r w:rsidR="004958A8" w:rsidRPr="004958A8">
        <w:rPr>
          <w:rFonts w:ascii="Times New Roman" w:hAnsi="Times New Roman"/>
          <w:color w:val="000000"/>
          <w:sz w:val="24"/>
          <w:szCs w:val="24"/>
          <w:lang w:val="sr-Cyrl-CS"/>
        </w:rPr>
        <w:t>(„Службени гласник PC”, број</w:t>
      </w:r>
      <w:r w:rsidR="004958A8">
        <w:rPr>
          <w:rFonts w:ascii="Times New Roman" w:hAnsi="Times New Roman"/>
          <w:color w:val="000000"/>
          <w:sz w:val="24"/>
          <w:szCs w:val="24"/>
          <w:lang w:val="sr-Cyrl-CS"/>
        </w:rPr>
        <w:t xml:space="preserve"> 35/23</w:t>
      </w:r>
      <w:r w:rsidR="004958A8" w:rsidRPr="004958A8">
        <w:rPr>
          <w:rFonts w:ascii="Times New Roman" w:hAnsi="Times New Roman"/>
          <w:color w:val="000000"/>
          <w:sz w:val="24"/>
          <w:szCs w:val="24"/>
          <w:lang w:val="sr-Cyrl-CS"/>
        </w:rPr>
        <w:t>)</w:t>
      </w:r>
      <w:r w:rsidRPr="00203E0A">
        <w:rPr>
          <w:rFonts w:ascii="Times New Roman" w:hAnsi="Times New Roman"/>
          <w:sz w:val="24"/>
          <w:szCs w:val="24"/>
        </w:rPr>
        <w:t>,</w:t>
      </w:r>
    </w:p>
    <w:p w14:paraId="6D824164" w14:textId="5ECC9948" w:rsidR="005C334F" w:rsidRDefault="48A77BA5" w:rsidP="00156958">
      <w:pPr>
        <w:spacing w:line="264" w:lineRule="auto"/>
        <w:ind w:firstLine="720"/>
        <w:jc w:val="both"/>
        <w:rPr>
          <w:rFonts w:ascii="Times New Roman" w:hAnsi="Times New Roman"/>
          <w:sz w:val="24"/>
          <w:szCs w:val="24"/>
        </w:rPr>
      </w:pPr>
      <w:r w:rsidRPr="00203E0A">
        <w:rPr>
          <w:rFonts w:ascii="Times New Roman" w:hAnsi="Times New Roman"/>
          <w:sz w:val="24"/>
          <w:szCs w:val="24"/>
        </w:rPr>
        <w:t>Влада усваја</w:t>
      </w:r>
    </w:p>
    <w:p w14:paraId="6A213D90" w14:textId="77777777" w:rsidR="004958A8" w:rsidRPr="00203E0A" w:rsidRDefault="004958A8" w:rsidP="00156958">
      <w:pPr>
        <w:spacing w:line="264" w:lineRule="auto"/>
        <w:ind w:firstLine="720"/>
        <w:jc w:val="both"/>
        <w:rPr>
          <w:rFonts w:ascii="Times New Roman" w:hAnsi="Times New Roman" w:cs="Times New Roman"/>
          <w:sz w:val="24"/>
          <w:szCs w:val="24"/>
        </w:rPr>
      </w:pPr>
    </w:p>
    <w:p w14:paraId="2C3EED1D" w14:textId="641AAA25" w:rsidR="00BE11F9" w:rsidRPr="00203E0A" w:rsidRDefault="48A77BA5" w:rsidP="00DA0A2B">
      <w:pPr>
        <w:autoSpaceDE w:val="0"/>
        <w:autoSpaceDN w:val="0"/>
        <w:adjustRightInd w:val="0"/>
        <w:spacing w:after="0" w:line="240" w:lineRule="auto"/>
        <w:jc w:val="center"/>
        <w:rPr>
          <w:rFonts w:ascii="Times New Roman" w:hAnsi="Times New Roman" w:cs="Times New Roman"/>
          <w:b/>
          <w:bCs/>
          <w:sz w:val="24"/>
          <w:szCs w:val="24"/>
        </w:rPr>
      </w:pPr>
      <w:r w:rsidRPr="00203E0A">
        <w:rPr>
          <w:rFonts w:ascii="Times New Roman" w:hAnsi="Times New Roman" w:cs="Times New Roman"/>
          <w:b/>
          <w:bCs/>
          <w:sz w:val="24"/>
          <w:szCs w:val="24"/>
        </w:rPr>
        <w:t>СТРАТЕГИЈУ</w:t>
      </w:r>
    </w:p>
    <w:p w14:paraId="7C20F732" w14:textId="30A45ADF" w:rsidR="00F36C2B" w:rsidRPr="00203E0A" w:rsidRDefault="48A77BA5" w:rsidP="00DA0A2B">
      <w:pPr>
        <w:autoSpaceDE w:val="0"/>
        <w:autoSpaceDN w:val="0"/>
        <w:adjustRightInd w:val="0"/>
        <w:spacing w:after="0" w:line="240" w:lineRule="auto"/>
        <w:jc w:val="center"/>
        <w:rPr>
          <w:rFonts w:ascii="Times New Roman" w:hAnsi="Times New Roman" w:cs="Times New Roman"/>
          <w:b/>
          <w:bCs/>
          <w:sz w:val="24"/>
          <w:szCs w:val="24"/>
        </w:rPr>
      </w:pPr>
      <w:r w:rsidRPr="00203E0A">
        <w:rPr>
          <w:rFonts w:ascii="Times New Roman" w:hAnsi="Times New Roman" w:cs="Times New Roman"/>
          <w:b/>
          <w:bCs/>
          <w:sz w:val="24"/>
          <w:szCs w:val="24"/>
        </w:rPr>
        <w:t>БЕЗБЕДНОСТИ И ЗДРАВЉА НА РАДУ У РЕПУБЛИЦИ СРБИЈИ</w:t>
      </w:r>
    </w:p>
    <w:p w14:paraId="17B8346D" w14:textId="13475BFB" w:rsidR="00F36C2B" w:rsidRPr="00203E0A" w:rsidRDefault="48A77BA5" w:rsidP="00DA0A2B">
      <w:pPr>
        <w:autoSpaceDE w:val="0"/>
        <w:autoSpaceDN w:val="0"/>
        <w:adjustRightInd w:val="0"/>
        <w:spacing w:after="0" w:line="240" w:lineRule="auto"/>
        <w:jc w:val="center"/>
        <w:rPr>
          <w:rFonts w:ascii="Times New Roman" w:hAnsi="Times New Roman" w:cs="Times New Roman"/>
          <w:b/>
          <w:bCs/>
          <w:sz w:val="24"/>
          <w:szCs w:val="24"/>
        </w:rPr>
      </w:pPr>
      <w:r w:rsidRPr="00203E0A">
        <w:rPr>
          <w:rFonts w:ascii="Times New Roman" w:hAnsi="Times New Roman" w:cs="Times New Roman"/>
          <w:b/>
          <w:bCs/>
          <w:sz w:val="24"/>
          <w:szCs w:val="24"/>
        </w:rPr>
        <w:t xml:space="preserve">ЗА ПЕРИОД </w:t>
      </w:r>
      <w:r w:rsidRPr="003C6E11">
        <w:rPr>
          <w:rFonts w:ascii="Times New Roman" w:hAnsi="Times New Roman" w:cs="Times New Roman"/>
          <w:b/>
          <w:bCs/>
          <w:sz w:val="24"/>
          <w:szCs w:val="24"/>
        </w:rPr>
        <w:t>ОД 20</w:t>
      </w:r>
      <w:r w:rsidR="00164D3C" w:rsidRPr="003C6E11">
        <w:rPr>
          <w:rFonts w:ascii="Times New Roman" w:hAnsi="Times New Roman" w:cs="Times New Roman"/>
          <w:b/>
          <w:bCs/>
          <w:sz w:val="24"/>
          <w:szCs w:val="24"/>
        </w:rPr>
        <w:t>24</w:t>
      </w:r>
      <w:r w:rsidRPr="003C6E11">
        <w:rPr>
          <w:rFonts w:ascii="Times New Roman" w:hAnsi="Times New Roman" w:cs="Times New Roman"/>
          <w:b/>
          <w:bCs/>
          <w:sz w:val="24"/>
          <w:szCs w:val="24"/>
        </w:rPr>
        <w:t xml:space="preserve">. ДО </w:t>
      </w:r>
      <w:r w:rsidRPr="00203E0A">
        <w:rPr>
          <w:rFonts w:ascii="Times New Roman" w:hAnsi="Times New Roman" w:cs="Times New Roman"/>
          <w:b/>
          <w:bCs/>
          <w:sz w:val="24"/>
          <w:szCs w:val="24"/>
        </w:rPr>
        <w:t>2027. ГОДИНЕ</w:t>
      </w:r>
    </w:p>
    <w:p w14:paraId="10BFE56F" w14:textId="77777777" w:rsidR="00F36C2B" w:rsidRPr="00203E0A" w:rsidRDefault="48A77BA5" w:rsidP="00DA0A2B">
      <w:pPr>
        <w:autoSpaceDE w:val="0"/>
        <w:autoSpaceDN w:val="0"/>
        <w:adjustRightInd w:val="0"/>
        <w:spacing w:after="0" w:line="240" w:lineRule="auto"/>
        <w:jc w:val="center"/>
        <w:rPr>
          <w:rFonts w:ascii="Times New Roman" w:hAnsi="Times New Roman" w:cs="Times New Roman"/>
          <w:b/>
          <w:bCs/>
          <w:sz w:val="24"/>
          <w:szCs w:val="24"/>
        </w:rPr>
      </w:pPr>
      <w:r w:rsidRPr="00203E0A">
        <w:rPr>
          <w:rFonts w:ascii="Times New Roman" w:hAnsi="Times New Roman" w:cs="Times New Roman"/>
          <w:b/>
          <w:bCs/>
          <w:sz w:val="24"/>
          <w:szCs w:val="24"/>
        </w:rPr>
        <w:t xml:space="preserve">СА АКЦИОНИМ ПЛАНОМ ЗА ЊЕНО СПРОВОЂЕЊЕ </w:t>
      </w:r>
    </w:p>
    <w:p w14:paraId="6332DB59" w14:textId="77777777" w:rsidR="00F36C2B" w:rsidRPr="004958A8" w:rsidRDefault="00F36C2B" w:rsidP="00156958">
      <w:pPr>
        <w:spacing w:line="264" w:lineRule="auto"/>
        <w:jc w:val="both"/>
        <w:rPr>
          <w:rFonts w:ascii="Times New Roman" w:hAnsi="Times New Roman" w:cs="Times New Roman"/>
          <w:b/>
          <w:bCs/>
          <w:sz w:val="24"/>
          <w:szCs w:val="24"/>
        </w:rPr>
      </w:pPr>
    </w:p>
    <w:p w14:paraId="2C641DD8" w14:textId="4B350E1B" w:rsidR="007022B1" w:rsidRPr="00203E0A" w:rsidRDefault="48A77BA5" w:rsidP="00156958">
      <w:pPr>
        <w:spacing w:line="264" w:lineRule="auto"/>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1. УВОД</w:t>
      </w:r>
    </w:p>
    <w:p w14:paraId="5595796D" w14:textId="75B2E259" w:rsidR="00A44702" w:rsidRPr="00203E0A" w:rsidRDefault="48A77BA5" w:rsidP="00A44702">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С обзиром да je документу јавне политике у области</w:t>
      </w:r>
      <w:r w:rsidR="00C724B9">
        <w:rPr>
          <w:rFonts w:ascii="Times New Roman" w:hAnsi="Times New Roman" w:cs="Times New Roman"/>
          <w:sz w:val="24"/>
          <w:szCs w:val="24"/>
        </w:rPr>
        <w:t xml:space="preserve"> безбедности и здравља на раду тј. Стратегији</w:t>
      </w:r>
      <w:r w:rsidRPr="00203E0A">
        <w:rPr>
          <w:rFonts w:ascii="Times New Roman" w:hAnsi="Times New Roman" w:cs="Times New Roman"/>
          <w:sz w:val="24"/>
          <w:szCs w:val="24"/>
        </w:rPr>
        <w:t xml:space="preserve"> безбедности и здравља на раду у Републици Србији за период од 2018. до 2022. године са Акционим планом за њено спровођење („Сл</w:t>
      </w:r>
      <w:r w:rsidR="00CD00BF">
        <w:rPr>
          <w:rFonts w:ascii="Times New Roman" w:hAnsi="Times New Roman" w:cs="Times New Roman"/>
          <w:sz w:val="24"/>
          <w:szCs w:val="24"/>
        </w:rPr>
        <w:t>ужбени гласник РСˮ, број 96/18)</w:t>
      </w:r>
      <w:r w:rsidRPr="00203E0A">
        <w:rPr>
          <w:rFonts w:ascii="Times New Roman" w:hAnsi="Times New Roman" w:cs="Times New Roman"/>
          <w:sz w:val="24"/>
          <w:szCs w:val="24"/>
        </w:rPr>
        <w:t xml:space="preserve"> истекао рок,</w:t>
      </w:r>
      <w:r w:rsidR="00BD1FB6">
        <w:rPr>
          <w:rFonts w:ascii="Times New Roman" w:hAnsi="Times New Roman" w:cs="Times New Roman"/>
          <w:sz w:val="24"/>
          <w:szCs w:val="24"/>
          <w:lang w:val="sr-Latn-RS"/>
        </w:rPr>
        <w:t xml:space="preserve"> а</w:t>
      </w:r>
      <w:r w:rsidRPr="00203E0A">
        <w:rPr>
          <w:rFonts w:ascii="Times New Roman" w:hAnsi="Times New Roman" w:cs="Times New Roman"/>
          <w:sz w:val="24"/>
          <w:szCs w:val="24"/>
        </w:rPr>
        <w:t xml:space="preserve"> потребно је остварити континуитет у спровођењу политике безбедности и здравља на раду и наставити са усаглашавањем са стандардима у овој области који важе за државе чланице Европске уније, Министарство за рад, запошљавање, борачка и социјална питања, приступило је изради нове Стратегије безбедности и здравља на раду у Републици Србији за период </w:t>
      </w:r>
      <w:r w:rsidRPr="003C6E11">
        <w:rPr>
          <w:rFonts w:ascii="Times New Roman" w:hAnsi="Times New Roman" w:cs="Times New Roman"/>
          <w:sz w:val="24"/>
          <w:szCs w:val="24"/>
        </w:rPr>
        <w:t>од 202</w:t>
      </w:r>
      <w:r w:rsidR="00164D3C" w:rsidRPr="003C6E11">
        <w:rPr>
          <w:rFonts w:ascii="Times New Roman" w:hAnsi="Times New Roman" w:cs="Times New Roman"/>
          <w:sz w:val="24"/>
          <w:szCs w:val="24"/>
        </w:rPr>
        <w:t>4</w:t>
      </w:r>
      <w:r w:rsidRPr="003C6E11">
        <w:rPr>
          <w:rFonts w:ascii="Times New Roman" w:hAnsi="Times New Roman" w:cs="Times New Roman"/>
          <w:sz w:val="24"/>
          <w:szCs w:val="24"/>
        </w:rPr>
        <w:t xml:space="preserve">. </w:t>
      </w:r>
      <w:r w:rsidRPr="00203E0A">
        <w:rPr>
          <w:rFonts w:ascii="Times New Roman" w:hAnsi="Times New Roman" w:cs="Times New Roman"/>
          <w:sz w:val="24"/>
          <w:szCs w:val="24"/>
        </w:rPr>
        <w:t xml:space="preserve">до 2027. године са Акционим планом за њено спровођење. </w:t>
      </w:r>
    </w:p>
    <w:p w14:paraId="7584AEBB" w14:textId="3A16AF33" w:rsidR="00A44702" w:rsidRPr="00203E0A" w:rsidRDefault="48A77BA5" w:rsidP="00A44702">
      <w:pPr>
        <w:spacing w:after="120" w:line="264" w:lineRule="auto"/>
        <w:ind w:firstLine="720"/>
        <w:jc w:val="both"/>
        <w:rPr>
          <w:rFonts w:ascii="Times New Roman" w:hAnsi="Times New Roman" w:cs="Times New Roman"/>
          <w:strike/>
          <w:color w:val="FF0000"/>
          <w:sz w:val="24"/>
          <w:szCs w:val="24"/>
        </w:rPr>
      </w:pPr>
      <w:r w:rsidRPr="00203E0A">
        <w:rPr>
          <w:rFonts w:ascii="Times New Roman" w:hAnsi="Times New Roman" w:cs="Times New Roman"/>
          <w:sz w:val="24"/>
          <w:szCs w:val="24"/>
        </w:rPr>
        <w:t xml:space="preserve">Пандемија COVID-19 указала је на изузетан значај заштите и бриге о здрављу запослених и безбедности радних места. Такође, нови стратешки оквир Европске уније за безбедност и здравље на раду 2021-2027 недвосмислено потврђује и истиче значај унапређења високих здравствених и безбедносних стандарда за запослене у светлу нових околности и ризика. </w:t>
      </w:r>
    </w:p>
    <w:p w14:paraId="7E3025BB" w14:textId="52262F07" w:rsidR="00A44702" w:rsidRPr="00203E0A" w:rsidRDefault="48A77BA5" w:rsidP="00A44702">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Стога Стратегија безбедности и здравља на раду у Републици Србији за период од </w:t>
      </w:r>
      <w:r w:rsidRPr="003C6E11">
        <w:rPr>
          <w:rFonts w:ascii="Times New Roman" w:hAnsi="Times New Roman" w:cs="Times New Roman"/>
          <w:sz w:val="24"/>
          <w:szCs w:val="24"/>
        </w:rPr>
        <w:t>202</w:t>
      </w:r>
      <w:r w:rsidR="00164D3C" w:rsidRPr="003C6E11">
        <w:rPr>
          <w:rFonts w:ascii="Times New Roman" w:hAnsi="Times New Roman" w:cs="Times New Roman"/>
          <w:sz w:val="24"/>
          <w:szCs w:val="24"/>
        </w:rPr>
        <w:t>4</w:t>
      </w:r>
      <w:r w:rsidRPr="003C6E11">
        <w:rPr>
          <w:rFonts w:ascii="Times New Roman" w:hAnsi="Times New Roman" w:cs="Times New Roman"/>
          <w:sz w:val="24"/>
          <w:szCs w:val="24"/>
        </w:rPr>
        <w:t xml:space="preserve">. до </w:t>
      </w:r>
      <w:r w:rsidRPr="00203E0A">
        <w:rPr>
          <w:rFonts w:ascii="Times New Roman" w:hAnsi="Times New Roman" w:cs="Times New Roman"/>
          <w:sz w:val="24"/>
          <w:szCs w:val="24"/>
        </w:rPr>
        <w:t xml:space="preserve">2027. године са Акционим планом за њено спровођење (у даљем тексту: Стратегија) представља документ јавне политике којим се на целовит начин утврђују мере и активности у области безбедности и здравља на раду у Републици Србији. </w:t>
      </w:r>
    </w:p>
    <w:p w14:paraId="1824630F" w14:textId="55F47279" w:rsidR="00A44702" w:rsidRPr="00203E0A" w:rsidRDefault="00A44702" w:rsidP="00A44702">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Подршку изради Стратегије пружила је Међународна организац</w:t>
      </w:r>
      <w:r w:rsidR="00BD1FB6">
        <w:rPr>
          <w:rFonts w:ascii="Times New Roman" w:hAnsi="Times New Roman" w:cs="Times New Roman"/>
          <w:sz w:val="24"/>
          <w:szCs w:val="24"/>
        </w:rPr>
        <w:t>ија рада (МОР), у оквиру које је урађена</w:t>
      </w:r>
      <w:r w:rsidRPr="00203E0A">
        <w:rPr>
          <w:rFonts w:ascii="Times New Roman" w:hAnsi="Times New Roman" w:cs="Times New Roman"/>
          <w:sz w:val="24"/>
          <w:szCs w:val="24"/>
        </w:rPr>
        <w:t xml:space="preserve"> Ex-post анализа Стратегије безбедности и здравља на раду за период </w:t>
      </w:r>
      <w:r w:rsidR="00D8695F" w:rsidRPr="00203E0A">
        <w:rPr>
          <w:rFonts w:ascii="Times New Roman" w:hAnsi="Times New Roman" w:cs="Times New Roman"/>
          <w:sz w:val="24"/>
          <w:szCs w:val="24"/>
        </w:rPr>
        <w:t xml:space="preserve">од 2018. до </w:t>
      </w:r>
      <w:r w:rsidRPr="00203E0A">
        <w:rPr>
          <w:rFonts w:ascii="Times New Roman" w:hAnsi="Times New Roman" w:cs="Times New Roman"/>
          <w:sz w:val="24"/>
          <w:szCs w:val="24"/>
        </w:rPr>
        <w:t>2022. године. Стратегија, односно предвиђене мере и активности засноване су на анализи спровођења претходне Стратегије за период од 2018. до 2022. године, као и на идентификованим проблемима и изазовима који су се јавили током њене примене, а који се односе на појаву нових ризика, ризика у настајању и уочених и очекиваних промена који утичу на безбедност и здравље на раду укључујући дигиталну и зелену транзицију. Ова стратегија одржава</w:t>
      </w:r>
      <w:r w:rsidRPr="00203E0A">
        <w:rPr>
          <w:rFonts w:ascii="Arial Nova" w:hAnsi="Arial Nova"/>
        </w:rPr>
        <w:t xml:space="preserve"> </w:t>
      </w:r>
      <w:r w:rsidRPr="00203E0A">
        <w:rPr>
          <w:rFonts w:ascii="Times New Roman" w:hAnsi="Times New Roman" w:cs="Times New Roman"/>
          <w:sz w:val="24"/>
          <w:szCs w:val="24"/>
        </w:rPr>
        <w:t>континуитет и наслања се на приоритете и мере предвиђене претходном Стратегијом.</w:t>
      </w:r>
      <w:r w:rsidRPr="00203E0A">
        <w:rPr>
          <w:rFonts w:ascii="Times New Roman" w:hAnsi="Times New Roman" w:cs="Times New Roman"/>
          <w:sz w:val="24"/>
          <w:szCs w:val="24"/>
          <w:vertAlign w:val="superscript"/>
        </w:rPr>
        <w:footnoteReference w:id="1"/>
      </w:r>
    </w:p>
    <w:p w14:paraId="46F8EE1F" w14:textId="1F9238D9" w:rsidR="00A44702" w:rsidRPr="00D70F9E" w:rsidRDefault="48A77BA5" w:rsidP="00A44702">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Безбедност и здравље на раду, као основно право на раду које су усвојиле чланице МОР-a у јуну 2022. године, зајемчено је Уставом Републике Србије према коме свако </w:t>
      </w:r>
      <w:r w:rsidRPr="00D70F9E">
        <w:rPr>
          <w:rFonts w:ascii="Times New Roman" w:hAnsi="Times New Roman" w:cs="Times New Roman"/>
          <w:sz w:val="24"/>
          <w:szCs w:val="24"/>
        </w:rPr>
        <w:t xml:space="preserve">има право на поштовање достојанства своје личности на раду, безбедне и здраве услове </w:t>
      </w:r>
      <w:r w:rsidRPr="00D70F9E">
        <w:rPr>
          <w:rFonts w:ascii="Times New Roman" w:hAnsi="Times New Roman" w:cs="Times New Roman"/>
          <w:sz w:val="24"/>
          <w:szCs w:val="24"/>
        </w:rPr>
        <w:lastRenderedPageBreak/>
        <w:t xml:space="preserve">на раду, потребну заштиту на раду и нико се ових права не може одрећи. Женама, </w:t>
      </w:r>
      <w:r w:rsidR="00916186" w:rsidRPr="00D70F9E">
        <w:rPr>
          <w:rFonts w:ascii="Times New Roman" w:hAnsi="Times New Roman" w:cs="Times New Roman"/>
          <w:sz w:val="24"/>
          <w:szCs w:val="24"/>
        </w:rPr>
        <w:t xml:space="preserve">младима </w:t>
      </w:r>
      <w:r w:rsidRPr="00D70F9E">
        <w:rPr>
          <w:rFonts w:ascii="Times New Roman" w:hAnsi="Times New Roman" w:cs="Times New Roman"/>
          <w:sz w:val="24"/>
          <w:szCs w:val="24"/>
        </w:rPr>
        <w:t>и особама са инвалидитетом омогућују се посебна права безбедности и здравља на раду и посебни услови рада, у складу са законом</w:t>
      </w:r>
      <w:r w:rsidR="00C724B9" w:rsidRPr="00D70F9E">
        <w:rPr>
          <w:rFonts w:ascii="Times New Roman" w:hAnsi="Times New Roman" w:cs="Times New Roman"/>
          <w:sz w:val="24"/>
          <w:szCs w:val="24"/>
        </w:rPr>
        <w:t xml:space="preserve"> (члан 60. ст. 4. и 5)</w:t>
      </w:r>
      <w:r w:rsidRPr="00D70F9E">
        <w:rPr>
          <w:rFonts w:ascii="Times New Roman" w:hAnsi="Times New Roman" w:cs="Times New Roman"/>
          <w:sz w:val="24"/>
          <w:szCs w:val="24"/>
        </w:rPr>
        <w:t>. Стратегијом се стварају услови за безбедну и здраву радну средину за више од 2.8 милиона запослених у Републици Србији, односно спречавају се повреде и обољења на раду.</w:t>
      </w:r>
    </w:p>
    <w:p w14:paraId="56D3F387" w14:textId="77777777" w:rsidR="00A44702" w:rsidRPr="00D70F9E" w:rsidRDefault="48A77BA5" w:rsidP="00A44702">
      <w:pPr>
        <w:spacing w:after="120" w:line="264" w:lineRule="auto"/>
        <w:ind w:firstLine="720"/>
        <w:jc w:val="both"/>
        <w:rPr>
          <w:rFonts w:ascii="Times New Roman" w:hAnsi="Times New Roman" w:cs="Times New Roman"/>
          <w:sz w:val="24"/>
          <w:szCs w:val="24"/>
        </w:rPr>
      </w:pPr>
      <w:r w:rsidRPr="00D70F9E">
        <w:rPr>
          <w:rFonts w:ascii="Times New Roman" w:hAnsi="Times New Roman" w:cs="Times New Roman"/>
          <w:sz w:val="24"/>
          <w:szCs w:val="24"/>
        </w:rPr>
        <w:t>Безбедност и здравље на раду има за циљ промоцију и одржавање највишег степена физичког, менталног и социјалног благостања запослених свих занимања, превенцију оштећења здравља запослених чије је здравље нарушено условима рада, заштиту запослених од ризика насталих услед чинилаца штетних по здравље, рад на радном месту и у радној средини који су прилагођени физиолошким и психолошким способностима запослених. Укратко, циљ је прилагођавање посла запосленом и сваког запосленог његовом послу.</w:t>
      </w:r>
    </w:p>
    <w:p w14:paraId="1C325AD6" w14:textId="77777777" w:rsidR="00A44702" w:rsidRPr="00D70F9E" w:rsidRDefault="48A77BA5" w:rsidP="00A44702">
      <w:pPr>
        <w:spacing w:after="120" w:line="264" w:lineRule="auto"/>
        <w:ind w:firstLine="720"/>
        <w:jc w:val="both"/>
        <w:rPr>
          <w:rFonts w:ascii="Times New Roman" w:hAnsi="Times New Roman" w:cs="Times New Roman"/>
          <w:sz w:val="24"/>
          <w:szCs w:val="24"/>
        </w:rPr>
      </w:pPr>
      <w:r w:rsidRPr="00D70F9E">
        <w:rPr>
          <w:rFonts w:ascii="Times New Roman" w:hAnsi="Times New Roman" w:cs="Times New Roman"/>
          <w:sz w:val="24"/>
          <w:szCs w:val="24"/>
        </w:rPr>
        <w:t>Успостављени систем безбедности и здравља на раду ствара безбедну и здраву радну средину која омогућава запосленима да продуктивно раде до одласка у пензију. Посао треба да буде организован да се запосленима очува здравље у највећој могућој мери у складу са природом посла.</w:t>
      </w:r>
    </w:p>
    <w:p w14:paraId="52D38095" w14:textId="11F2B793" w:rsidR="00A44702" w:rsidRPr="00D70F9E" w:rsidRDefault="00A44702" w:rsidP="00A44702">
      <w:pPr>
        <w:spacing w:after="120" w:line="264" w:lineRule="auto"/>
        <w:ind w:firstLine="720"/>
        <w:jc w:val="both"/>
        <w:rPr>
          <w:rFonts w:ascii="Times New Roman" w:hAnsi="Times New Roman" w:cs="Times New Roman"/>
          <w:sz w:val="24"/>
          <w:szCs w:val="24"/>
        </w:rPr>
      </w:pPr>
      <w:r w:rsidRPr="00D70F9E">
        <w:rPr>
          <w:rFonts w:ascii="Times New Roman" w:hAnsi="Times New Roman" w:cs="Times New Roman"/>
          <w:sz w:val="24"/>
          <w:szCs w:val="24"/>
        </w:rPr>
        <w:t>Примена и потпуна имплементација</w:t>
      </w:r>
      <w:r w:rsidR="0033201A" w:rsidRPr="00D70F9E">
        <w:rPr>
          <w:rFonts w:ascii="Times New Roman" w:hAnsi="Times New Roman" w:cs="Times New Roman"/>
          <w:sz w:val="24"/>
          <w:szCs w:val="24"/>
        </w:rPr>
        <w:t xml:space="preserve"> безбедности и здравља на раду</w:t>
      </w:r>
      <w:r w:rsidR="0033201A" w:rsidRPr="00D70F9E">
        <w:rPr>
          <w:rFonts w:ascii="Times New Roman" w:hAnsi="Times New Roman" w:cs="Times New Roman"/>
          <w:sz w:val="24"/>
          <w:szCs w:val="24"/>
          <w:lang w:val="en-US"/>
        </w:rPr>
        <w:t xml:space="preserve"> </w:t>
      </w:r>
      <w:r w:rsidRPr="00D70F9E">
        <w:rPr>
          <w:rFonts w:ascii="Times New Roman" w:hAnsi="Times New Roman" w:cs="Times New Roman"/>
          <w:sz w:val="24"/>
          <w:szCs w:val="24"/>
        </w:rPr>
        <w:t>доприноси повећању продуктивности на радном месту, подстиче економски раст, запошљавање и побољшава функционисање тржишта рада. Према проценама Стратешког оквира ЕУ, несреће и болести стварају трошкове од преко 3,3% БДП-а годишње, док процене показују да је за сваки евро уложен</w:t>
      </w:r>
      <w:r w:rsidR="00F342ED" w:rsidRPr="00D70F9E">
        <w:rPr>
          <w:rFonts w:ascii="Times New Roman" w:hAnsi="Times New Roman" w:cs="Times New Roman"/>
          <w:sz w:val="24"/>
          <w:szCs w:val="24"/>
        </w:rPr>
        <w:t xml:space="preserve"> у безбедност и здравље на раду</w:t>
      </w:r>
      <w:r w:rsidRPr="00D70F9E">
        <w:rPr>
          <w:rFonts w:ascii="Times New Roman" w:hAnsi="Times New Roman" w:cs="Times New Roman"/>
          <w:sz w:val="24"/>
          <w:szCs w:val="24"/>
        </w:rPr>
        <w:t>, приход за послодавца око два пута већи.</w:t>
      </w:r>
      <w:r w:rsidRPr="00D70F9E">
        <w:rPr>
          <w:rFonts w:ascii="Times New Roman" w:hAnsi="Times New Roman" w:cs="Times New Roman"/>
          <w:sz w:val="24"/>
          <w:szCs w:val="24"/>
          <w:vertAlign w:val="superscript"/>
        </w:rPr>
        <w:footnoteReference w:id="2"/>
      </w:r>
    </w:p>
    <w:p w14:paraId="7D5AA1AC" w14:textId="77777777" w:rsidR="00C724B9" w:rsidRPr="00D70F9E" w:rsidRDefault="48A77BA5" w:rsidP="001B50DF">
      <w:pPr>
        <w:spacing w:after="120" w:line="264" w:lineRule="auto"/>
        <w:ind w:firstLine="720"/>
        <w:jc w:val="both"/>
        <w:rPr>
          <w:rFonts w:ascii="Times New Roman" w:hAnsi="Times New Roman" w:cs="Times New Roman"/>
          <w:sz w:val="24"/>
          <w:szCs w:val="24"/>
        </w:rPr>
      </w:pPr>
      <w:r w:rsidRPr="00D70F9E">
        <w:rPr>
          <w:rFonts w:ascii="Times New Roman" w:hAnsi="Times New Roman" w:cs="Times New Roman"/>
          <w:sz w:val="24"/>
          <w:szCs w:val="24"/>
        </w:rPr>
        <w:t xml:space="preserve">У процесу спровођења ове јавне политике, у њеном креирању и реализацији, морају активно бити укључени, поред доносиоца одлука, и представници социјалних партнера, удружења грађана, невладиних организација, научноистраживачких установа и стручних организација, који би својим активним учешћем дали допринос у реализацији овог стратешког циља. </w:t>
      </w:r>
    </w:p>
    <w:p w14:paraId="16F8C0DA" w14:textId="7D0D2BEA" w:rsidR="00A44702" w:rsidRPr="00D70F9E" w:rsidRDefault="48A77BA5" w:rsidP="001B50DF">
      <w:pPr>
        <w:spacing w:after="120" w:line="264" w:lineRule="auto"/>
        <w:ind w:firstLine="720"/>
        <w:jc w:val="both"/>
        <w:rPr>
          <w:rFonts w:ascii="Times New Roman" w:hAnsi="Times New Roman" w:cs="Times New Roman"/>
          <w:sz w:val="24"/>
          <w:szCs w:val="24"/>
        </w:rPr>
      </w:pPr>
      <w:r w:rsidRPr="00D70F9E">
        <w:rPr>
          <w:rFonts w:ascii="Times New Roman" w:hAnsi="Times New Roman" w:cs="Times New Roman"/>
          <w:sz w:val="24"/>
          <w:szCs w:val="24"/>
        </w:rPr>
        <w:t xml:space="preserve">Успешност система безбедности и здравља на раду заснива се на ефикасним мерама које послодавци обезбеђују запосленима у циљу превенције повреда на раду и професионалних болести. Такође, запослени својим ставовима и понашањем утичу на сопствену и безбедност и здравље на раду осталих учесника у процесу рада, односно уживалаца права на безбедност и здравље на раду. </w:t>
      </w:r>
    </w:p>
    <w:p w14:paraId="662B5D63" w14:textId="3C886A6C" w:rsidR="48A77BA5" w:rsidRPr="00D70F9E" w:rsidRDefault="48A77BA5" w:rsidP="00D90441">
      <w:pPr>
        <w:spacing w:line="264" w:lineRule="auto"/>
        <w:ind w:firstLine="720"/>
        <w:jc w:val="both"/>
        <w:rPr>
          <w:rFonts w:ascii="Times New Roman" w:hAnsi="Times New Roman" w:cs="Times New Roman"/>
          <w:sz w:val="24"/>
          <w:szCs w:val="24"/>
        </w:rPr>
      </w:pPr>
      <w:r w:rsidRPr="00D70F9E">
        <w:rPr>
          <w:rFonts w:ascii="Times New Roman" w:hAnsi="Times New Roman" w:cs="Times New Roman"/>
          <w:sz w:val="24"/>
          <w:szCs w:val="24"/>
        </w:rPr>
        <w:t>Влада, у сарадњи са репрезентативним организацијама запослених и послодаваца, научноистраживачких установа и стручних организација, кроз ову стратегију утврђује реалне и достижне циљеве за унапређење безбедности и здравља на раду.</w:t>
      </w:r>
    </w:p>
    <w:p w14:paraId="16624F67" w14:textId="7E775753" w:rsidR="48A77BA5" w:rsidRPr="00D70F9E" w:rsidRDefault="00644983" w:rsidP="00156958">
      <w:pPr>
        <w:spacing w:before="240" w:after="240" w:line="240" w:lineRule="auto"/>
        <w:ind w:firstLine="540"/>
        <w:jc w:val="both"/>
        <w:rPr>
          <w:rFonts w:ascii="Times New Roman" w:eastAsia="Times New Roman" w:hAnsi="Times New Roman" w:cs="Times New Roman"/>
          <w:b/>
          <w:sz w:val="24"/>
          <w:szCs w:val="24"/>
        </w:rPr>
      </w:pPr>
      <w:r w:rsidRPr="00D70F9E">
        <w:rPr>
          <w:rFonts w:ascii="Times New Roman" w:eastAsia="Times New Roman" w:hAnsi="Times New Roman" w:cs="Times New Roman"/>
          <w:b/>
          <w:sz w:val="24"/>
          <w:szCs w:val="24"/>
        </w:rPr>
        <w:t>Поступак израде стратегије</w:t>
      </w:r>
    </w:p>
    <w:p w14:paraId="6F6F3020" w14:textId="45B9B158" w:rsidR="0022435E" w:rsidRPr="00D70F9E" w:rsidRDefault="006C7A3F" w:rsidP="0022435E">
      <w:pPr>
        <w:spacing w:before="240" w:after="240" w:line="240" w:lineRule="auto"/>
        <w:ind w:firstLine="540"/>
        <w:jc w:val="both"/>
        <w:rPr>
          <w:rFonts w:ascii="Times New Roman" w:eastAsia="Times New Roman" w:hAnsi="Times New Roman" w:cs="Times New Roman"/>
          <w:sz w:val="24"/>
          <w:szCs w:val="24"/>
        </w:rPr>
      </w:pPr>
      <w:r w:rsidRPr="00D70F9E">
        <w:rPr>
          <w:rFonts w:ascii="Times New Roman" w:eastAsia="Times New Roman" w:hAnsi="Times New Roman" w:cs="Times New Roman"/>
          <w:sz w:val="24"/>
          <w:szCs w:val="24"/>
        </w:rPr>
        <w:t xml:space="preserve">У складу са одредбама чл. 32. и 34. Закона о планском систему Републике Србије Републике Србије („Службени гласник РС”, број 30/18), </w:t>
      </w:r>
      <w:r w:rsidR="00CD00BF" w:rsidRPr="00D70F9E">
        <w:rPr>
          <w:rFonts w:ascii="Times New Roman" w:eastAsia="Times New Roman" w:hAnsi="Times New Roman" w:cs="Times New Roman"/>
          <w:sz w:val="24"/>
          <w:szCs w:val="24"/>
        </w:rPr>
        <w:t>16.</w:t>
      </w:r>
      <w:r w:rsidR="00644983" w:rsidRPr="00D70F9E">
        <w:rPr>
          <w:rFonts w:ascii="Times New Roman" w:eastAsia="Times New Roman" w:hAnsi="Times New Roman" w:cs="Times New Roman"/>
          <w:sz w:val="24"/>
          <w:szCs w:val="24"/>
        </w:rPr>
        <w:t xml:space="preserve"> </w:t>
      </w:r>
      <w:r w:rsidR="00CD00BF" w:rsidRPr="00D70F9E">
        <w:rPr>
          <w:rFonts w:ascii="Times New Roman" w:eastAsia="Times New Roman" w:hAnsi="Times New Roman" w:cs="Times New Roman"/>
          <w:sz w:val="24"/>
          <w:szCs w:val="24"/>
        </w:rPr>
        <w:t xml:space="preserve">маја 2023. године на веб презентацији Министарства за рад, запошљавање, борачка и социјална питања, и </w:t>
      </w:r>
      <w:r w:rsidR="00CD00BF" w:rsidRPr="00D70F9E">
        <w:rPr>
          <w:rFonts w:ascii="Times New Roman" w:eastAsia="Times New Roman" w:hAnsi="Times New Roman" w:cs="Times New Roman"/>
          <w:sz w:val="24"/>
          <w:szCs w:val="24"/>
        </w:rPr>
        <w:lastRenderedPageBreak/>
        <w:t xml:space="preserve">Порталу „еКонсултације”, </w:t>
      </w:r>
      <w:r w:rsidRPr="00D70F9E">
        <w:rPr>
          <w:rFonts w:ascii="Times New Roman" w:eastAsia="Times New Roman" w:hAnsi="Times New Roman" w:cs="Times New Roman"/>
          <w:sz w:val="24"/>
          <w:szCs w:val="24"/>
        </w:rPr>
        <w:t xml:space="preserve">објављен је почетак израде </w:t>
      </w:r>
      <w:r w:rsidR="00164D3C" w:rsidRPr="00D70F9E">
        <w:rPr>
          <w:rFonts w:ascii="Times New Roman" w:eastAsia="Times New Roman" w:hAnsi="Times New Roman" w:cs="Times New Roman"/>
          <w:sz w:val="24"/>
          <w:szCs w:val="24"/>
        </w:rPr>
        <w:t>Н</w:t>
      </w:r>
      <w:r w:rsidRPr="00D70F9E">
        <w:rPr>
          <w:rFonts w:ascii="Times New Roman" w:eastAsia="Times New Roman" w:hAnsi="Times New Roman" w:cs="Times New Roman"/>
          <w:sz w:val="24"/>
          <w:szCs w:val="24"/>
        </w:rPr>
        <w:t xml:space="preserve">ацрта </w:t>
      </w:r>
      <w:r w:rsidR="00164D3C" w:rsidRPr="00D70F9E">
        <w:rPr>
          <w:rFonts w:ascii="Times New Roman" w:eastAsia="Times New Roman" w:hAnsi="Times New Roman" w:cs="Times New Roman"/>
          <w:sz w:val="24"/>
          <w:szCs w:val="24"/>
        </w:rPr>
        <w:t>с</w:t>
      </w:r>
      <w:r w:rsidRPr="00D70F9E">
        <w:rPr>
          <w:rFonts w:ascii="Times New Roman" w:eastAsia="Times New Roman" w:hAnsi="Times New Roman" w:cs="Times New Roman"/>
          <w:sz w:val="24"/>
          <w:szCs w:val="24"/>
        </w:rPr>
        <w:t>тратегије</w:t>
      </w:r>
      <w:r w:rsidR="00DF5118" w:rsidRPr="00D70F9E">
        <w:rPr>
          <w:rFonts w:ascii="Times New Roman" w:eastAsia="Times New Roman" w:hAnsi="Times New Roman" w:cs="Times New Roman"/>
          <w:sz w:val="24"/>
          <w:szCs w:val="24"/>
        </w:rPr>
        <w:t xml:space="preserve"> безбедности и здравља на раду</w:t>
      </w:r>
      <w:r w:rsidRPr="00D70F9E">
        <w:rPr>
          <w:rFonts w:ascii="Times New Roman" w:eastAsia="Times New Roman" w:hAnsi="Times New Roman" w:cs="Times New Roman"/>
          <w:sz w:val="24"/>
          <w:szCs w:val="24"/>
        </w:rPr>
        <w:t xml:space="preserve"> са Акционим планом и позвана заинтересована јавност да учествује у његовој изради</w:t>
      </w:r>
      <w:r w:rsidR="0005501F" w:rsidRPr="00D70F9E">
        <w:rPr>
          <w:rFonts w:ascii="Times New Roman" w:eastAsia="Times New Roman" w:hAnsi="Times New Roman" w:cs="Times New Roman"/>
          <w:sz w:val="24"/>
          <w:szCs w:val="24"/>
        </w:rPr>
        <w:t xml:space="preserve">. </w:t>
      </w:r>
      <w:r w:rsidRPr="00D70F9E">
        <w:rPr>
          <w:rFonts w:ascii="Times New Roman" w:eastAsia="Times New Roman" w:hAnsi="Times New Roman" w:cs="Times New Roman"/>
          <w:sz w:val="24"/>
          <w:szCs w:val="24"/>
        </w:rPr>
        <w:t>У оквиру израде ов</w:t>
      </w:r>
      <w:r w:rsidR="0005501F" w:rsidRPr="00D70F9E">
        <w:rPr>
          <w:rFonts w:ascii="Times New Roman" w:eastAsia="Times New Roman" w:hAnsi="Times New Roman" w:cs="Times New Roman"/>
          <w:sz w:val="24"/>
          <w:szCs w:val="24"/>
        </w:rPr>
        <w:t xml:space="preserve">е </w:t>
      </w:r>
      <w:r w:rsidR="00AD099D" w:rsidRPr="00D70F9E">
        <w:rPr>
          <w:rFonts w:ascii="Times New Roman" w:eastAsia="Times New Roman" w:hAnsi="Times New Roman" w:cs="Times New Roman"/>
          <w:sz w:val="24"/>
          <w:szCs w:val="24"/>
        </w:rPr>
        <w:t>с</w:t>
      </w:r>
      <w:r w:rsidR="009542DA" w:rsidRPr="00D70F9E">
        <w:rPr>
          <w:rFonts w:ascii="Times New Roman" w:eastAsia="Times New Roman" w:hAnsi="Times New Roman" w:cs="Times New Roman"/>
          <w:sz w:val="24"/>
          <w:szCs w:val="24"/>
        </w:rPr>
        <w:t>тратегије</w:t>
      </w:r>
      <w:r w:rsidRPr="00D70F9E">
        <w:rPr>
          <w:rFonts w:ascii="Times New Roman" w:eastAsia="Times New Roman" w:hAnsi="Times New Roman" w:cs="Times New Roman"/>
          <w:sz w:val="24"/>
          <w:szCs w:val="24"/>
        </w:rPr>
        <w:t xml:space="preserve"> урађена је</w:t>
      </w:r>
      <w:r w:rsidR="00DF5118" w:rsidRPr="00D70F9E">
        <w:rPr>
          <w:rFonts w:ascii="Times New Roman" w:eastAsia="Times New Roman" w:hAnsi="Times New Roman" w:cs="Times New Roman"/>
          <w:sz w:val="24"/>
          <w:szCs w:val="24"/>
        </w:rPr>
        <w:t xml:space="preserve"> ex post</w:t>
      </w:r>
      <w:r w:rsidRPr="00D70F9E">
        <w:rPr>
          <w:rFonts w:ascii="Times New Roman" w:eastAsia="Times New Roman" w:hAnsi="Times New Roman" w:cs="Times New Roman"/>
          <w:sz w:val="24"/>
          <w:szCs w:val="24"/>
        </w:rPr>
        <w:t xml:space="preserve"> анализа </w:t>
      </w:r>
      <w:r w:rsidR="00DF5118" w:rsidRPr="00D70F9E">
        <w:rPr>
          <w:rFonts w:ascii="Times New Roman" w:eastAsia="Times New Roman" w:hAnsi="Times New Roman" w:cs="Times New Roman"/>
          <w:sz w:val="24"/>
          <w:szCs w:val="24"/>
        </w:rPr>
        <w:t xml:space="preserve">спровођења претходне </w:t>
      </w:r>
      <w:r w:rsidR="0005501F" w:rsidRPr="00D70F9E">
        <w:rPr>
          <w:rFonts w:ascii="Times New Roman" w:eastAsia="Times New Roman" w:hAnsi="Times New Roman" w:cs="Times New Roman"/>
          <w:sz w:val="24"/>
          <w:szCs w:val="24"/>
        </w:rPr>
        <w:t>с</w:t>
      </w:r>
      <w:r w:rsidR="00DF5118" w:rsidRPr="00D70F9E">
        <w:rPr>
          <w:rFonts w:ascii="Times New Roman" w:eastAsia="Times New Roman" w:hAnsi="Times New Roman" w:cs="Times New Roman"/>
          <w:sz w:val="24"/>
          <w:szCs w:val="24"/>
        </w:rPr>
        <w:t>тратегије безбедности и здравља на раду</w:t>
      </w:r>
      <w:r w:rsidR="009542DA" w:rsidRPr="00D70F9E">
        <w:rPr>
          <w:rFonts w:ascii="Times New Roman" w:eastAsia="Times New Roman" w:hAnsi="Times New Roman" w:cs="Times New Roman"/>
          <w:sz w:val="24"/>
          <w:szCs w:val="24"/>
        </w:rPr>
        <w:t>.</w:t>
      </w:r>
      <w:r w:rsidR="0022435E" w:rsidRPr="00D70F9E">
        <w:rPr>
          <w:rFonts w:ascii="Times New Roman" w:eastAsia="Times New Roman" w:hAnsi="Times New Roman" w:cs="Times New Roman"/>
          <w:sz w:val="24"/>
          <w:szCs w:val="24"/>
        </w:rPr>
        <w:t xml:space="preserve"> </w:t>
      </w:r>
    </w:p>
    <w:p w14:paraId="1599B06F" w14:textId="6DFC083B" w:rsidR="0022435E" w:rsidRPr="00203E0A" w:rsidRDefault="0022435E" w:rsidP="0022435E">
      <w:pPr>
        <w:spacing w:before="240" w:after="240" w:line="240" w:lineRule="auto"/>
        <w:ind w:firstLine="540"/>
        <w:jc w:val="both"/>
        <w:rPr>
          <w:rFonts w:ascii="Times New Roman" w:eastAsia="Times New Roman" w:hAnsi="Times New Roman" w:cs="Times New Roman"/>
          <w:color w:val="000000" w:themeColor="text1"/>
          <w:sz w:val="24"/>
          <w:szCs w:val="24"/>
        </w:rPr>
      </w:pPr>
      <w:r w:rsidRPr="00D70F9E">
        <w:rPr>
          <w:rFonts w:ascii="Times New Roman" w:eastAsia="Times New Roman" w:hAnsi="Times New Roman" w:cs="Times New Roman"/>
          <w:sz w:val="24"/>
          <w:szCs w:val="24"/>
        </w:rPr>
        <w:t>Радна група за израду П</w:t>
      </w:r>
      <w:r w:rsidR="00AD099D" w:rsidRPr="00D70F9E">
        <w:rPr>
          <w:rFonts w:ascii="Times New Roman" w:eastAsia="Times New Roman" w:hAnsi="Times New Roman" w:cs="Times New Roman"/>
          <w:sz w:val="24"/>
          <w:szCs w:val="24"/>
        </w:rPr>
        <w:t>редлога стратегије</w:t>
      </w:r>
      <w:r w:rsidRPr="00D70F9E">
        <w:rPr>
          <w:rFonts w:ascii="Times New Roman" w:eastAsia="Times New Roman" w:hAnsi="Times New Roman" w:cs="Times New Roman"/>
          <w:sz w:val="24"/>
          <w:szCs w:val="24"/>
        </w:rPr>
        <w:t xml:space="preserve">, према Решењу о образовању обухватала је представнике Министарства за рад, запошљавање, борачка и социјална питања, Министарства здравља, Министарства привреде, Министарства просвете, Министарства грађевинарства, саобраћаја и инфраструктуре, Републичког фонда за здравствено </w:t>
      </w:r>
      <w:r w:rsidRPr="00203E0A">
        <w:rPr>
          <w:rFonts w:ascii="Times New Roman" w:eastAsia="Times New Roman" w:hAnsi="Times New Roman" w:cs="Times New Roman"/>
          <w:color w:val="000000" w:themeColor="text1"/>
          <w:sz w:val="24"/>
          <w:szCs w:val="24"/>
        </w:rPr>
        <w:t>осигурање, Привредне коморе Србије, Факултета заштите на раду у Нишу, Факултета техничких наука у Новом Саду, Машинског факултета у Београду, Националне алијансе за локални економски развој-НАЛЕД, Уније послодаваца Србије, Савеза самосталних синдиката Србије, Уједињених гранских синдиката „Независност”, Социјално-економског савета Републике Србије и „Удружења за безбедност и здравље на раду Србије”.</w:t>
      </w:r>
    </w:p>
    <w:p w14:paraId="06441A71" w14:textId="10E91D56" w:rsidR="00643319" w:rsidRPr="00203E0A" w:rsidRDefault="48A77BA5" w:rsidP="00643319">
      <w:pPr>
        <w:spacing w:before="240" w:after="240" w:line="240" w:lineRule="auto"/>
        <w:ind w:firstLine="540"/>
        <w:jc w:val="both"/>
        <w:rPr>
          <w:rFonts w:ascii="Times New Roman" w:eastAsia="Times New Roman" w:hAnsi="Times New Roman" w:cs="Times New Roman"/>
          <w:color w:val="000000" w:themeColor="text1"/>
          <w:sz w:val="24"/>
          <w:szCs w:val="24"/>
        </w:rPr>
      </w:pPr>
      <w:r w:rsidRPr="00203E0A">
        <w:rPr>
          <w:rFonts w:ascii="Times New Roman" w:eastAsia="Times New Roman" w:hAnsi="Times New Roman" w:cs="Times New Roman"/>
          <w:color w:val="000000" w:themeColor="text1"/>
          <w:sz w:val="24"/>
          <w:szCs w:val="24"/>
        </w:rPr>
        <w:t>Одбор за привреду и финансије је на седници, одржаној дана 19. окто</w:t>
      </w:r>
      <w:r w:rsidR="00CD00BF">
        <w:rPr>
          <w:rFonts w:ascii="Times New Roman" w:eastAsia="Times New Roman" w:hAnsi="Times New Roman" w:cs="Times New Roman"/>
          <w:color w:val="000000" w:themeColor="text1"/>
          <w:sz w:val="24"/>
          <w:szCs w:val="24"/>
        </w:rPr>
        <w:t>бра 2023. године, Закључком 05 б</w:t>
      </w:r>
      <w:r w:rsidRPr="00203E0A">
        <w:rPr>
          <w:rFonts w:ascii="Times New Roman" w:eastAsia="Times New Roman" w:hAnsi="Times New Roman" w:cs="Times New Roman"/>
          <w:color w:val="000000" w:themeColor="text1"/>
          <w:sz w:val="24"/>
          <w:szCs w:val="24"/>
        </w:rPr>
        <w:t xml:space="preserve">рој: 500-9667/2023 од 19. октобра 2023. године одобрио спровођење јавне расправе о Предлогу </w:t>
      </w:r>
      <w:r w:rsidR="009542DA" w:rsidRPr="00203E0A">
        <w:rPr>
          <w:rFonts w:ascii="Times New Roman" w:eastAsia="Times New Roman" w:hAnsi="Times New Roman" w:cs="Times New Roman"/>
          <w:color w:val="000000" w:themeColor="text1"/>
          <w:sz w:val="24"/>
          <w:szCs w:val="24"/>
        </w:rPr>
        <w:t>С</w:t>
      </w:r>
      <w:r w:rsidRPr="00203E0A">
        <w:rPr>
          <w:rFonts w:ascii="Times New Roman" w:eastAsia="Times New Roman" w:hAnsi="Times New Roman" w:cs="Times New Roman"/>
          <w:color w:val="000000" w:themeColor="text1"/>
          <w:sz w:val="24"/>
          <w:szCs w:val="24"/>
        </w:rPr>
        <w:t>тратегије безбедности и здравља на раду у Републици Србији за период од 2023. до 2027. године са Акционим планом за њено спровођење и утврдио Програм јавне расправе сагласно којем је Министарство за рад, запошљавање, борачка и социјална питања спровело јавну расправу.</w:t>
      </w:r>
      <w:r w:rsidR="0022435E" w:rsidRPr="00203E0A">
        <w:rPr>
          <w:rFonts w:ascii="Times New Roman" w:eastAsia="Times New Roman" w:hAnsi="Times New Roman" w:cs="Times New Roman"/>
          <w:color w:val="000000" w:themeColor="text1"/>
          <w:sz w:val="24"/>
          <w:szCs w:val="24"/>
        </w:rPr>
        <w:t xml:space="preserve"> </w:t>
      </w:r>
      <w:r w:rsidRPr="00203E0A">
        <w:rPr>
          <w:rFonts w:ascii="Times New Roman" w:eastAsia="Times New Roman" w:hAnsi="Times New Roman" w:cs="Times New Roman"/>
          <w:color w:val="000000" w:themeColor="text1"/>
          <w:sz w:val="24"/>
          <w:szCs w:val="24"/>
        </w:rPr>
        <w:t>Јавна расправа спроведена је у периоду од 27. октобра до 15. новембра</w:t>
      </w:r>
      <w:r w:rsidR="0005501F" w:rsidRPr="00203E0A">
        <w:rPr>
          <w:rFonts w:ascii="Times New Roman" w:eastAsia="Times New Roman" w:hAnsi="Times New Roman" w:cs="Times New Roman"/>
          <w:color w:val="000000" w:themeColor="text1"/>
          <w:sz w:val="24"/>
          <w:szCs w:val="24"/>
        </w:rPr>
        <w:t xml:space="preserve"> </w:t>
      </w:r>
      <w:r w:rsidRPr="00203E0A">
        <w:rPr>
          <w:rFonts w:ascii="Times New Roman" w:eastAsia="Times New Roman" w:hAnsi="Times New Roman" w:cs="Times New Roman"/>
          <w:color w:val="000000" w:themeColor="text1"/>
          <w:sz w:val="24"/>
          <w:szCs w:val="24"/>
        </w:rPr>
        <w:t xml:space="preserve">2023. </w:t>
      </w:r>
      <w:r w:rsidR="00643319" w:rsidRPr="00203E0A">
        <w:rPr>
          <w:rFonts w:ascii="Times New Roman" w:eastAsia="Times New Roman" w:hAnsi="Times New Roman" w:cs="Times New Roman"/>
          <w:color w:val="000000" w:themeColor="text1"/>
          <w:sz w:val="24"/>
          <w:szCs w:val="24"/>
        </w:rPr>
        <w:t>г</w:t>
      </w:r>
      <w:r w:rsidR="00BE7AFE" w:rsidRPr="00203E0A">
        <w:rPr>
          <w:rFonts w:ascii="Times New Roman" w:eastAsia="Times New Roman" w:hAnsi="Times New Roman" w:cs="Times New Roman"/>
          <w:color w:val="000000" w:themeColor="text1"/>
          <w:sz w:val="24"/>
          <w:szCs w:val="24"/>
        </w:rPr>
        <w:t>о</w:t>
      </w:r>
      <w:r w:rsidRPr="00203E0A">
        <w:rPr>
          <w:rFonts w:ascii="Times New Roman" w:eastAsia="Times New Roman" w:hAnsi="Times New Roman" w:cs="Times New Roman"/>
          <w:color w:val="000000" w:themeColor="text1"/>
          <w:sz w:val="24"/>
          <w:szCs w:val="24"/>
        </w:rPr>
        <w:t xml:space="preserve">дине кроз поступак пријема електронских поднесака у вези са утврђеним Предлогом стратегије. </w:t>
      </w:r>
    </w:p>
    <w:p w14:paraId="01BAB0EF" w14:textId="73E60D23" w:rsidR="00F93CE5" w:rsidRPr="00203E0A" w:rsidRDefault="48A77BA5" w:rsidP="00156958">
      <w:pPr>
        <w:spacing w:before="240" w:after="240" w:line="240" w:lineRule="auto"/>
        <w:ind w:firstLine="540"/>
        <w:jc w:val="both"/>
        <w:rPr>
          <w:rFonts w:ascii="Times New Roman" w:eastAsia="Times New Roman" w:hAnsi="Times New Roman" w:cs="Times New Roman"/>
          <w:color w:val="000000" w:themeColor="text1"/>
          <w:sz w:val="24"/>
          <w:szCs w:val="24"/>
        </w:rPr>
      </w:pPr>
      <w:r w:rsidRPr="00203E0A">
        <w:rPr>
          <w:rFonts w:ascii="Times New Roman" w:eastAsia="Times New Roman" w:hAnsi="Times New Roman" w:cs="Times New Roman"/>
          <w:color w:val="000000" w:themeColor="text1"/>
          <w:sz w:val="24"/>
          <w:szCs w:val="24"/>
        </w:rPr>
        <w:t>Текст Предлога стратегије безбедности и здравља на раду у Републици Србији за период од 2023. до 2027. године са Акционим планом за њено спровођење био je постављен на веб презентацији Министарства за рад, запошљавање, борачка и социјална питања, и Порталу „еКонсултације</w:t>
      </w:r>
      <w:r w:rsidR="00CD00BF">
        <w:rPr>
          <w:rFonts w:ascii="Times New Roman" w:eastAsia="Times New Roman" w:hAnsi="Times New Roman" w:cs="Times New Roman"/>
          <w:color w:val="000000" w:themeColor="text1"/>
          <w:sz w:val="24"/>
          <w:szCs w:val="24"/>
        </w:rPr>
        <w:t>”</w:t>
      </w:r>
      <w:r w:rsidRPr="00203E0A">
        <w:rPr>
          <w:rFonts w:ascii="Times New Roman" w:eastAsia="Times New Roman" w:hAnsi="Times New Roman" w:cs="Times New Roman"/>
          <w:color w:val="000000" w:themeColor="text1"/>
          <w:sz w:val="24"/>
          <w:szCs w:val="24"/>
        </w:rPr>
        <w:t>. Примедбе на текст Предлога стратегије и предлози за његову измену или допуну достављани су електронским путем.</w:t>
      </w:r>
      <w:r w:rsidR="00643319" w:rsidRPr="00203E0A">
        <w:rPr>
          <w:rFonts w:ascii="Times New Roman" w:eastAsia="Times New Roman" w:hAnsi="Times New Roman" w:cs="Times New Roman"/>
          <w:color w:val="000000" w:themeColor="text1"/>
          <w:sz w:val="24"/>
          <w:szCs w:val="24"/>
        </w:rPr>
        <w:t xml:space="preserve"> </w:t>
      </w:r>
    </w:p>
    <w:p w14:paraId="6D9DC8DA" w14:textId="5F7A43FC" w:rsidR="48A77BA5" w:rsidRDefault="00775308" w:rsidP="00D90441">
      <w:pPr>
        <w:spacing w:before="240" w:after="240" w:line="240" w:lineRule="auto"/>
        <w:ind w:firstLine="540"/>
        <w:jc w:val="both"/>
        <w:rPr>
          <w:rFonts w:ascii="Times New Roman" w:eastAsia="Times New Roman" w:hAnsi="Times New Roman" w:cs="Times New Roman"/>
          <w:color w:val="000000" w:themeColor="text1"/>
          <w:sz w:val="24"/>
          <w:szCs w:val="24"/>
        </w:rPr>
      </w:pPr>
      <w:r w:rsidRPr="00203E0A">
        <w:rPr>
          <w:rFonts w:ascii="Times New Roman" w:eastAsia="Times New Roman" w:hAnsi="Times New Roman" w:cs="Times New Roman"/>
          <w:color w:val="000000" w:themeColor="text1"/>
          <w:sz w:val="24"/>
          <w:szCs w:val="24"/>
        </w:rPr>
        <w:t xml:space="preserve">По завршетку јавне расправе сачињен је Извештај о спроведеној јавној расправи о </w:t>
      </w:r>
      <w:r w:rsidR="00F93CE5" w:rsidRPr="00203E0A">
        <w:rPr>
          <w:rFonts w:ascii="Times New Roman" w:eastAsia="Times New Roman" w:hAnsi="Times New Roman" w:cs="Times New Roman"/>
          <w:color w:val="000000" w:themeColor="text1"/>
          <w:sz w:val="24"/>
          <w:szCs w:val="24"/>
        </w:rPr>
        <w:t>П</w:t>
      </w:r>
      <w:r w:rsidRPr="00203E0A">
        <w:rPr>
          <w:rFonts w:ascii="Times New Roman" w:eastAsia="Times New Roman" w:hAnsi="Times New Roman" w:cs="Times New Roman"/>
          <w:color w:val="000000" w:themeColor="text1"/>
          <w:sz w:val="24"/>
          <w:szCs w:val="24"/>
        </w:rPr>
        <w:t xml:space="preserve">редлогу стратегије безбедности и здравља на раду у </w:t>
      </w:r>
      <w:r w:rsidR="00164D3C" w:rsidRPr="00203E0A">
        <w:rPr>
          <w:rFonts w:ascii="Times New Roman" w:eastAsia="Times New Roman" w:hAnsi="Times New Roman" w:cs="Times New Roman"/>
          <w:color w:val="000000" w:themeColor="text1"/>
          <w:sz w:val="24"/>
          <w:szCs w:val="24"/>
        </w:rPr>
        <w:t>Р</w:t>
      </w:r>
      <w:r w:rsidRPr="00203E0A">
        <w:rPr>
          <w:rFonts w:ascii="Times New Roman" w:eastAsia="Times New Roman" w:hAnsi="Times New Roman" w:cs="Times New Roman"/>
          <w:color w:val="000000" w:themeColor="text1"/>
          <w:sz w:val="24"/>
          <w:szCs w:val="24"/>
        </w:rPr>
        <w:t xml:space="preserve">епублици </w:t>
      </w:r>
      <w:r w:rsidR="00164D3C" w:rsidRPr="00203E0A">
        <w:rPr>
          <w:rFonts w:ascii="Times New Roman" w:eastAsia="Times New Roman" w:hAnsi="Times New Roman" w:cs="Times New Roman"/>
          <w:color w:val="000000" w:themeColor="text1"/>
          <w:sz w:val="24"/>
          <w:szCs w:val="24"/>
        </w:rPr>
        <w:t>С</w:t>
      </w:r>
      <w:r w:rsidRPr="00203E0A">
        <w:rPr>
          <w:rFonts w:ascii="Times New Roman" w:eastAsia="Times New Roman" w:hAnsi="Times New Roman" w:cs="Times New Roman"/>
          <w:color w:val="000000" w:themeColor="text1"/>
          <w:sz w:val="24"/>
          <w:szCs w:val="24"/>
        </w:rPr>
        <w:t xml:space="preserve">рбији за период од 2023. до 2027. године са </w:t>
      </w:r>
      <w:r w:rsidR="00F93CE5" w:rsidRPr="00203E0A">
        <w:rPr>
          <w:rFonts w:ascii="Times New Roman" w:eastAsia="Times New Roman" w:hAnsi="Times New Roman" w:cs="Times New Roman"/>
          <w:color w:val="000000" w:themeColor="text1"/>
          <w:sz w:val="24"/>
          <w:szCs w:val="24"/>
        </w:rPr>
        <w:t>А</w:t>
      </w:r>
      <w:r w:rsidRPr="00203E0A">
        <w:rPr>
          <w:rFonts w:ascii="Times New Roman" w:eastAsia="Times New Roman" w:hAnsi="Times New Roman" w:cs="Times New Roman"/>
          <w:color w:val="000000" w:themeColor="text1"/>
          <w:sz w:val="24"/>
          <w:szCs w:val="24"/>
        </w:rPr>
        <w:t xml:space="preserve">кционим планом за </w:t>
      </w:r>
      <w:bookmarkStart w:id="0" w:name="_Hlk130801769"/>
      <w:r w:rsidRPr="00203E0A">
        <w:rPr>
          <w:rFonts w:ascii="Times New Roman" w:eastAsia="Times New Roman" w:hAnsi="Times New Roman" w:cs="Times New Roman"/>
          <w:color w:val="000000" w:themeColor="text1"/>
          <w:sz w:val="24"/>
          <w:szCs w:val="24"/>
        </w:rPr>
        <w:t>њено спровођење</w:t>
      </w:r>
      <w:bookmarkEnd w:id="0"/>
      <w:r w:rsidR="00CD00BF">
        <w:rPr>
          <w:rFonts w:ascii="Times New Roman" w:eastAsia="Times New Roman" w:hAnsi="Times New Roman" w:cs="Times New Roman"/>
          <w:color w:val="000000" w:themeColor="text1"/>
          <w:sz w:val="24"/>
          <w:szCs w:val="24"/>
        </w:rPr>
        <w:t xml:space="preserve"> дана 29. новембра </w:t>
      </w:r>
      <w:r w:rsidRPr="00203E0A">
        <w:rPr>
          <w:rFonts w:ascii="Times New Roman" w:eastAsia="Times New Roman" w:hAnsi="Times New Roman" w:cs="Times New Roman"/>
          <w:color w:val="000000" w:themeColor="text1"/>
          <w:sz w:val="24"/>
          <w:szCs w:val="24"/>
        </w:rPr>
        <w:t>2023. године и постављен на веб презентацији Министарства за рад, запошљавање, борачка и социјална п</w:t>
      </w:r>
      <w:r w:rsidR="00CD00BF">
        <w:rPr>
          <w:rFonts w:ascii="Times New Roman" w:eastAsia="Times New Roman" w:hAnsi="Times New Roman" w:cs="Times New Roman"/>
          <w:color w:val="000000" w:themeColor="text1"/>
          <w:sz w:val="24"/>
          <w:szCs w:val="24"/>
        </w:rPr>
        <w:t>итања, и Порталу „еКонсултације”</w:t>
      </w:r>
      <w:r w:rsidRPr="00203E0A">
        <w:rPr>
          <w:rFonts w:ascii="Times New Roman" w:eastAsia="Times New Roman" w:hAnsi="Times New Roman" w:cs="Times New Roman"/>
          <w:color w:val="000000" w:themeColor="text1"/>
          <w:sz w:val="24"/>
          <w:szCs w:val="24"/>
        </w:rPr>
        <w:t>.</w:t>
      </w:r>
    </w:p>
    <w:p w14:paraId="708F0AF0" w14:textId="40DBF9D5" w:rsidR="00CD00BF" w:rsidRPr="00D90441" w:rsidRDefault="00CD00BF" w:rsidP="00D90441">
      <w:pPr>
        <w:spacing w:before="240" w:after="240" w:line="240" w:lineRule="auto"/>
        <w:ind w:firstLine="54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 обзиром на </w:t>
      </w:r>
      <w:r w:rsidR="006A7644">
        <w:rPr>
          <w:rFonts w:ascii="Times New Roman" w:hAnsi="Times New Roman"/>
          <w:color w:val="000000"/>
          <w:sz w:val="24"/>
        </w:rPr>
        <w:t xml:space="preserve">време доношења и почетак примене документа јавне политике, извршено </w:t>
      </w:r>
      <w:r w:rsidR="00644983">
        <w:rPr>
          <w:rFonts w:ascii="Times New Roman" w:hAnsi="Times New Roman"/>
          <w:color w:val="000000"/>
          <w:sz w:val="24"/>
        </w:rPr>
        <w:t>је неопходно усаглашавање у одн</w:t>
      </w:r>
      <w:r w:rsidR="006A7644">
        <w:rPr>
          <w:rFonts w:ascii="Times New Roman" w:hAnsi="Times New Roman"/>
          <w:color w:val="000000"/>
          <w:sz w:val="24"/>
        </w:rPr>
        <w:t>осу на период важења и рокове пре</w:t>
      </w:r>
      <w:r w:rsidR="00644983">
        <w:rPr>
          <w:rFonts w:ascii="Times New Roman" w:hAnsi="Times New Roman"/>
          <w:color w:val="000000"/>
          <w:sz w:val="24"/>
        </w:rPr>
        <w:t>двиђене за спровођење С</w:t>
      </w:r>
      <w:r w:rsidR="006A7644">
        <w:rPr>
          <w:rFonts w:ascii="Times New Roman" w:hAnsi="Times New Roman"/>
          <w:color w:val="000000"/>
          <w:sz w:val="24"/>
        </w:rPr>
        <w:t>тратегије.</w:t>
      </w:r>
    </w:p>
    <w:p w14:paraId="71833519" w14:textId="479B6D3C" w:rsidR="00D849AA" w:rsidRPr="00203E0A" w:rsidRDefault="48A77BA5" w:rsidP="00F16D58">
      <w:pPr>
        <w:spacing w:line="264" w:lineRule="auto"/>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 xml:space="preserve">2. ПРАВНИ ОКВИР И ПЛАНСКИ ДОКУМЕНТИ </w:t>
      </w:r>
    </w:p>
    <w:p w14:paraId="36F75992" w14:textId="2FD17E4E" w:rsidR="00D849AA" w:rsidRPr="00203E0A" w:rsidRDefault="48A77BA5" w:rsidP="48A77BA5">
      <w:pPr>
        <w:spacing w:after="120" w:line="264" w:lineRule="auto"/>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 xml:space="preserve">2.1. </w:t>
      </w:r>
      <w:bookmarkStart w:id="1" w:name="_Toc126746510"/>
      <w:r w:rsidRPr="00203E0A">
        <w:rPr>
          <w:rFonts w:ascii="Times New Roman" w:hAnsi="Times New Roman" w:cs="Times New Roman"/>
          <w:b/>
          <w:bCs/>
          <w:sz w:val="24"/>
          <w:szCs w:val="24"/>
        </w:rPr>
        <w:t>Плански оквир релевантан за Стратегију</w:t>
      </w:r>
      <w:bookmarkEnd w:id="1"/>
    </w:p>
    <w:p w14:paraId="15F065F4" w14:textId="5ECF953A" w:rsidR="00D849AA" w:rsidRPr="00203E0A" w:rsidRDefault="00F16D58" w:rsidP="00E55287">
      <w:pPr>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Неколико </w:t>
      </w:r>
      <w:r w:rsidR="48A77BA5" w:rsidRPr="00203E0A">
        <w:rPr>
          <w:rFonts w:ascii="Times New Roman" w:hAnsi="Times New Roman" w:cs="Times New Roman"/>
          <w:sz w:val="24"/>
          <w:szCs w:val="24"/>
        </w:rPr>
        <w:t xml:space="preserve">докуменaта јавних политика садрже елементе у вези са безбедношћу и здрављем на раду, и то: </w:t>
      </w:r>
    </w:p>
    <w:p w14:paraId="4283F0D8" w14:textId="615F493B" w:rsidR="00D849AA" w:rsidRPr="00203E0A" w:rsidRDefault="00E55287" w:rsidP="00E55287">
      <w:pPr>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1) </w:t>
      </w:r>
      <w:r w:rsidR="00D849AA" w:rsidRPr="00203E0A">
        <w:rPr>
          <w:rFonts w:ascii="Times New Roman" w:hAnsi="Times New Roman" w:cs="Times New Roman"/>
          <w:sz w:val="24"/>
          <w:szCs w:val="24"/>
        </w:rPr>
        <w:t xml:space="preserve">Стратегија јавног здравља </w:t>
      </w:r>
      <w:r w:rsidR="00732077" w:rsidRPr="00203E0A">
        <w:rPr>
          <w:rFonts w:ascii="Times New Roman" w:hAnsi="Times New Roman" w:cs="Times New Roman"/>
          <w:sz w:val="24"/>
          <w:szCs w:val="24"/>
        </w:rPr>
        <w:t>у Републици Србији 2018-</w:t>
      </w:r>
      <w:r w:rsidR="00D849AA" w:rsidRPr="00203E0A">
        <w:rPr>
          <w:rFonts w:ascii="Times New Roman" w:hAnsi="Times New Roman" w:cs="Times New Roman"/>
          <w:sz w:val="24"/>
          <w:szCs w:val="24"/>
        </w:rPr>
        <w:t>2026. године</w:t>
      </w:r>
      <w:r w:rsidR="00732077" w:rsidRPr="00203E0A">
        <w:rPr>
          <w:rFonts w:ascii="Verdana" w:hAnsi="Verdana"/>
          <w:b/>
          <w:bCs/>
          <w:sz w:val="18"/>
          <w:szCs w:val="18"/>
          <w:shd w:val="clear" w:color="auto" w:fill="FFFFFF"/>
        </w:rPr>
        <w:t xml:space="preserve"> </w:t>
      </w:r>
      <w:r w:rsidR="0073363A" w:rsidRPr="00203E0A">
        <w:rPr>
          <w:rFonts w:ascii="Times New Roman" w:hAnsi="Times New Roman" w:cs="Times New Roman"/>
          <w:sz w:val="24"/>
          <w:szCs w:val="24"/>
        </w:rPr>
        <w:t>(„Службени гласник РС”</w:t>
      </w:r>
      <w:r w:rsidR="00D849AA" w:rsidRPr="00203E0A">
        <w:rPr>
          <w:rFonts w:ascii="Times New Roman" w:hAnsi="Times New Roman" w:cs="Times New Roman"/>
          <w:sz w:val="24"/>
          <w:szCs w:val="24"/>
        </w:rPr>
        <w:t>, број 61/18)</w:t>
      </w:r>
      <w:r w:rsidR="00D849AA" w:rsidRPr="00203E0A">
        <w:rPr>
          <w:rFonts w:ascii="Times New Roman" w:hAnsi="Times New Roman" w:cs="Times New Roman"/>
          <w:sz w:val="24"/>
          <w:szCs w:val="24"/>
          <w:vertAlign w:val="superscript"/>
        </w:rPr>
        <w:footnoteReference w:id="3"/>
      </w:r>
      <w:r w:rsidR="00644983">
        <w:rPr>
          <w:rFonts w:ascii="Times New Roman" w:hAnsi="Times New Roman" w:cs="Times New Roman"/>
          <w:sz w:val="24"/>
          <w:szCs w:val="24"/>
        </w:rPr>
        <w:t>, којом је предвиђено</w:t>
      </w:r>
      <w:r w:rsidR="00D849AA" w:rsidRPr="00203E0A">
        <w:rPr>
          <w:rFonts w:ascii="Times New Roman" w:hAnsi="Times New Roman" w:cs="Times New Roman"/>
          <w:sz w:val="24"/>
          <w:szCs w:val="24"/>
        </w:rPr>
        <w:t xml:space="preserve"> спровођење истраживања осетљивих група радно активне популације (млади, жене у репродуктивном периоду, старији </w:t>
      </w:r>
      <w:r w:rsidR="00D849AA" w:rsidRPr="00203E0A">
        <w:rPr>
          <w:rFonts w:ascii="Times New Roman" w:hAnsi="Times New Roman" w:cs="Times New Roman"/>
          <w:sz w:val="24"/>
          <w:szCs w:val="24"/>
        </w:rPr>
        <w:lastRenderedPageBreak/>
        <w:t>радници, лица са инвалидитетом, незапослени, запослени у малим и микро п</w:t>
      </w:r>
      <w:r w:rsidR="00644983">
        <w:rPr>
          <w:rFonts w:ascii="Times New Roman" w:hAnsi="Times New Roman" w:cs="Times New Roman"/>
          <w:sz w:val="24"/>
          <w:szCs w:val="24"/>
        </w:rPr>
        <w:t>равним лицима, пољопривредници);</w:t>
      </w:r>
    </w:p>
    <w:p w14:paraId="5ABB78F1" w14:textId="6FFDFEB6" w:rsidR="00D849AA" w:rsidRPr="00203E0A" w:rsidRDefault="00E55287" w:rsidP="00E5528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2) </w:t>
      </w:r>
      <w:r w:rsidR="00D849AA" w:rsidRPr="00203E0A">
        <w:rPr>
          <w:rFonts w:ascii="Times New Roman" w:hAnsi="Times New Roman" w:cs="Times New Roman"/>
          <w:sz w:val="24"/>
          <w:szCs w:val="24"/>
          <w:shd w:val="clear" w:color="auto" w:fill="FFFFFF"/>
        </w:rPr>
        <w:t>Стратегија запошљавања у Републици Србији за период од 2021. до 2026. године</w:t>
      </w:r>
      <w:r w:rsidR="00D849AA" w:rsidRPr="00203E0A">
        <w:rPr>
          <w:rFonts w:ascii="Times New Roman" w:hAnsi="Times New Roman" w:cs="Times New Roman"/>
          <w:b/>
          <w:bCs/>
          <w:sz w:val="24"/>
          <w:szCs w:val="24"/>
          <w:shd w:val="clear" w:color="auto" w:fill="FFFFFF"/>
        </w:rPr>
        <w:t xml:space="preserve"> </w:t>
      </w:r>
      <w:r w:rsidR="0073363A" w:rsidRPr="00203E0A">
        <w:rPr>
          <w:rFonts w:ascii="Times New Roman" w:hAnsi="Times New Roman" w:cs="Times New Roman"/>
          <w:sz w:val="24"/>
          <w:szCs w:val="24"/>
        </w:rPr>
        <w:t>(„Службени гласник РС”</w:t>
      </w:r>
      <w:r w:rsidR="00D849AA" w:rsidRPr="00203E0A">
        <w:rPr>
          <w:rFonts w:ascii="Times New Roman" w:hAnsi="Times New Roman" w:cs="Times New Roman"/>
          <w:sz w:val="24"/>
          <w:szCs w:val="24"/>
        </w:rPr>
        <w:t>, бр. 18/21 и 36/21</w:t>
      </w:r>
      <w:r w:rsidR="00D03039" w:rsidRPr="00203E0A">
        <w:rPr>
          <w:rFonts w:ascii="Times New Roman" w:hAnsi="Times New Roman" w:cs="Times New Roman"/>
          <w:sz w:val="24"/>
          <w:szCs w:val="24"/>
        </w:rPr>
        <w:t xml:space="preserve"> – исправка</w:t>
      </w:r>
      <w:r w:rsidR="00D849AA" w:rsidRPr="00203E0A">
        <w:rPr>
          <w:rFonts w:ascii="Times New Roman" w:hAnsi="Times New Roman" w:cs="Times New Roman"/>
          <w:sz w:val="24"/>
          <w:szCs w:val="24"/>
        </w:rPr>
        <w:t>)</w:t>
      </w:r>
      <w:r w:rsidR="00644983">
        <w:rPr>
          <w:rFonts w:ascii="Times New Roman" w:hAnsi="Times New Roman" w:cs="Times New Roman"/>
          <w:sz w:val="24"/>
          <w:szCs w:val="24"/>
          <w:shd w:val="clear" w:color="auto" w:fill="FFFFFF"/>
        </w:rPr>
        <w:t>, која предвиђа</w:t>
      </w:r>
      <w:r w:rsidR="00D849AA" w:rsidRPr="00203E0A">
        <w:rPr>
          <w:rFonts w:ascii="Times New Roman" w:hAnsi="Times New Roman" w:cs="Times New Roman"/>
          <w:sz w:val="24"/>
          <w:szCs w:val="24"/>
          <w:shd w:val="clear" w:color="auto" w:fill="FFFFFF"/>
        </w:rPr>
        <w:t xml:space="preserve"> </w:t>
      </w:r>
      <w:r w:rsidR="00644983">
        <w:rPr>
          <w:rFonts w:ascii="Times New Roman" w:hAnsi="Times New Roman" w:cs="Times New Roman"/>
          <w:sz w:val="24"/>
          <w:szCs w:val="24"/>
          <w:shd w:val="clear" w:color="auto" w:fill="FFFFFF"/>
        </w:rPr>
        <w:t>д</w:t>
      </w:r>
      <w:r w:rsidR="00D849AA" w:rsidRPr="00203E0A">
        <w:rPr>
          <w:rFonts w:ascii="Times New Roman" w:hAnsi="Times New Roman" w:cs="Times New Roman"/>
          <w:sz w:val="24"/>
          <w:szCs w:val="24"/>
          <w:shd w:val="clear" w:color="auto" w:fill="FFFFFF"/>
        </w:rPr>
        <w:t>аље сузбијање рада „на црноˮ, смањење број</w:t>
      </w:r>
      <w:r w:rsidR="00644983">
        <w:rPr>
          <w:rFonts w:ascii="Times New Roman" w:hAnsi="Times New Roman" w:cs="Times New Roman"/>
          <w:sz w:val="24"/>
          <w:szCs w:val="24"/>
          <w:shd w:val="clear" w:color="auto" w:fill="FFFFFF"/>
        </w:rPr>
        <w:t>а повреда на раду и радно-правну заштиту</w:t>
      </w:r>
      <w:r w:rsidR="00D849AA" w:rsidRPr="00203E0A">
        <w:rPr>
          <w:rFonts w:ascii="Times New Roman" w:hAnsi="Times New Roman" w:cs="Times New Roman"/>
          <w:sz w:val="24"/>
          <w:szCs w:val="24"/>
          <w:shd w:val="clear" w:color="auto" w:fill="FFFFFF"/>
        </w:rPr>
        <w:t xml:space="preserve"> запосл</w:t>
      </w:r>
      <w:r w:rsidR="00644983">
        <w:rPr>
          <w:rFonts w:ascii="Times New Roman" w:hAnsi="Times New Roman" w:cs="Times New Roman"/>
          <w:sz w:val="24"/>
          <w:szCs w:val="24"/>
          <w:shd w:val="clear" w:color="auto" w:fill="FFFFFF"/>
        </w:rPr>
        <w:t>ених и радно ангажованих лица као</w:t>
      </w:r>
      <w:r w:rsidR="00D849AA" w:rsidRPr="00203E0A">
        <w:rPr>
          <w:rFonts w:ascii="Times New Roman" w:hAnsi="Times New Roman" w:cs="Times New Roman"/>
          <w:sz w:val="24"/>
          <w:szCs w:val="24"/>
          <w:shd w:val="clear" w:color="auto" w:fill="FFFFFF"/>
        </w:rPr>
        <w:t xml:space="preserve"> приоритетне активности Инспектората за рад које подразумевају изградњу модерног система инспекције рада прилагођеног ЕУ стандардима односно модернизацију рада и перманент</w:t>
      </w:r>
      <w:r w:rsidR="00644983">
        <w:rPr>
          <w:rFonts w:ascii="Times New Roman" w:hAnsi="Times New Roman" w:cs="Times New Roman"/>
          <w:sz w:val="24"/>
          <w:szCs w:val="24"/>
          <w:shd w:val="clear" w:color="auto" w:fill="FFFFFF"/>
        </w:rPr>
        <w:t>но јачање капацитета запослених;</w:t>
      </w:r>
    </w:p>
    <w:p w14:paraId="651B93A9" w14:textId="19A9B8D6" w:rsidR="00D849AA" w:rsidRPr="00203E0A" w:rsidRDefault="00E55287" w:rsidP="00E5528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rPr>
        <w:t xml:space="preserve">3) </w:t>
      </w:r>
      <w:r w:rsidR="00D849AA" w:rsidRPr="00203E0A">
        <w:rPr>
          <w:rFonts w:ascii="Times New Roman" w:hAnsi="Times New Roman" w:cs="Times New Roman"/>
          <w:sz w:val="24"/>
          <w:szCs w:val="24"/>
        </w:rPr>
        <w:t>Програм</w:t>
      </w:r>
      <w:r w:rsidR="00D03039" w:rsidRPr="00203E0A">
        <w:rPr>
          <w:rFonts w:ascii="Times New Roman" w:hAnsi="Times New Roman" w:cs="Times New Roman"/>
          <w:sz w:val="24"/>
          <w:szCs w:val="24"/>
        </w:rPr>
        <w:t xml:space="preserve"> за сузбијање сиве економије 2023-</w:t>
      </w:r>
      <w:r w:rsidR="00D849AA" w:rsidRPr="00203E0A">
        <w:rPr>
          <w:rFonts w:ascii="Times New Roman" w:hAnsi="Times New Roman" w:cs="Times New Roman"/>
          <w:sz w:val="24"/>
          <w:szCs w:val="24"/>
        </w:rPr>
        <w:t xml:space="preserve">2025. </w:t>
      </w:r>
      <w:r w:rsidR="00D03039" w:rsidRPr="00203E0A">
        <w:rPr>
          <w:rFonts w:ascii="Times New Roman" w:hAnsi="Times New Roman" w:cs="Times New Roman"/>
          <w:sz w:val="24"/>
          <w:szCs w:val="24"/>
        </w:rPr>
        <w:t>године</w:t>
      </w:r>
      <w:r w:rsidR="00D03039" w:rsidRPr="00203E0A">
        <w:rPr>
          <w:rFonts w:ascii="Times New Roman" w:hAnsi="Times New Roman" w:cs="Times New Roman"/>
          <w:b/>
          <w:bCs/>
          <w:sz w:val="24"/>
          <w:szCs w:val="24"/>
        </w:rPr>
        <w:t xml:space="preserve"> </w:t>
      </w:r>
      <w:r w:rsidR="0073363A" w:rsidRPr="00203E0A">
        <w:rPr>
          <w:rFonts w:ascii="Times New Roman" w:hAnsi="Times New Roman" w:cs="Times New Roman"/>
          <w:sz w:val="24"/>
          <w:szCs w:val="24"/>
        </w:rPr>
        <w:t>(„Службени гласник РС”</w:t>
      </w:r>
      <w:r w:rsidR="00D849AA" w:rsidRPr="00203E0A">
        <w:rPr>
          <w:rFonts w:ascii="Times New Roman" w:hAnsi="Times New Roman" w:cs="Times New Roman"/>
          <w:sz w:val="24"/>
          <w:szCs w:val="24"/>
        </w:rPr>
        <w:t>, број 21/23)</w:t>
      </w:r>
      <w:r w:rsidR="00644983">
        <w:rPr>
          <w:rFonts w:ascii="Times New Roman" w:hAnsi="Times New Roman" w:cs="Times New Roman"/>
          <w:sz w:val="24"/>
          <w:szCs w:val="24"/>
        </w:rPr>
        <w:t>, који</w:t>
      </w:r>
      <w:r w:rsidR="00D849AA" w:rsidRPr="00203E0A">
        <w:rPr>
          <w:rFonts w:ascii="Times New Roman" w:hAnsi="Times New Roman" w:cs="Times New Roman"/>
          <w:sz w:val="24"/>
          <w:szCs w:val="24"/>
        </w:rPr>
        <w:t xml:space="preserve"> </w:t>
      </w:r>
      <w:r w:rsidR="00D849AA" w:rsidRPr="00203E0A">
        <w:rPr>
          <w:rFonts w:ascii="Times New Roman" w:hAnsi="Times New Roman" w:cs="Times New Roman"/>
          <w:sz w:val="24"/>
          <w:szCs w:val="24"/>
          <w:shd w:val="clear" w:color="auto" w:fill="FFFFFF"/>
        </w:rPr>
        <w:t>има за циљ унапређење капацитета инспекција, а тиме и Инспектората рада и ефикасније спровођење надзора. Тиме ће се посредно спречити нарушавање права радно ангажованих лица, укључујући њихову безбедност и здравље (изостанак уплате доприноса за пензијско и инвалидско осигурање, здравствено осигурање и осигурање за случај незапослености, осигурање у случају повреде на раду. Сам Програм не садржи циљеве, односно мере се које директно односе на питањ</w:t>
      </w:r>
      <w:r w:rsidR="00644983">
        <w:rPr>
          <w:rFonts w:ascii="Times New Roman" w:hAnsi="Times New Roman" w:cs="Times New Roman"/>
          <w:sz w:val="24"/>
          <w:szCs w:val="24"/>
          <w:shd w:val="clear" w:color="auto" w:fill="FFFFFF"/>
        </w:rPr>
        <w:t>а безбедности и здравља на раду;</w:t>
      </w:r>
    </w:p>
    <w:p w14:paraId="6E32CE8D" w14:textId="27D41009" w:rsidR="00E55287" w:rsidRPr="00203E0A" w:rsidRDefault="48A77BA5" w:rsidP="00D90441">
      <w:pPr>
        <w:ind w:firstLine="720"/>
        <w:jc w:val="both"/>
        <w:rPr>
          <w:rFonts w:ascii="Times New Roman" w:hAnsi="Times New Roman" w:cs="Times New Roman"/>
          <w:sz w:val="24"/>
          <w:szCs w:val="24"/>
        </w:rPr>
      </w:pPr>
      <w:r w:rsidRPr="00203E0A">
        <w:rPr>
          <w:rFonts w:ascii="Times New Roman" w:hAnsi="Times New Roman" w:cs="Times New Roman"/>
          <w:sz w:val="24"/>
          <w:szCs w:val="24"/>
        </w:rPr>
        <w:t>4) Програм прилагођавања на измењене климатске услове за период од 2023. до 2030</w:t>
      </w:r>
      <w:r w:rsidR="00D83B7E">
        <w:rPr>
          <w:rFonts w:ascii="Times New Roman" w:hAnsi="Times New Roman" w:cs="Times New Roman"/>
          <w:sz w:val="24"/>
          <w:szCs w:val="24"/>
          <w:lang w:val="sr-Latn-RS"/>
        </w:rPr>
        <w:t>.</w:t>
      </w:r>
      <w:r w:rsidRPr="00203E0A">
        <w:rPr>
          <w:rFonts w:ascii="Times New Roman" w:hAnsi="Times New Roman" w:cs="Times New Roman"/>
          <w:sz w:val="24"/>
          <w:szCs w:val="24"/>
        </w:rPr>
        <w:t xml:space="preserve"> године („Службени гласник РС”, б</w:t>
      </w:r>
      <w:r w:rsidR="00BD7DC4">
        <w:rPr>
          <w:rFonts w:ascii="Times New Roman" w:hAnsi="Times New Roman" w:cs="Times New Roman"/>
          <w:sz w:val="24"/>
          <w:szCs w:val="24"/>
        </w:rPr>
        <w:t>рoj</w:t>
      </w:r>
      <w:r w:rsidR="00644983">
        <w:rPr>
          <w:rFonts w:ascii="Times New Roman" w:hAnsi="Times New Roman" w:cs="Times New Roman"/>
          <w:sz w:val="24"/>
          <w:szCs w:val="24"/>
        </w:rPr>
        <w:t xml:space="preserve"> 119/23)</w:t>
      </w:r>
      <w:r w:rsidR="007C709F" w:rsidRPr="00203E0A">
        <w:rPr>
          <w:rStyle w:val="FootnoteReference"/>
          <w:rFonts w:ascii="Times New Roman" w:hAnsi="Times New Roman" w:cs="Times New Roman"/>
          <w:sz w:val="24"/>
          <w:szCs w:val="24"/>
        </w:rPr>
        <w:footnoteReference w:id="4"/>
      </w:r>
      <w:r w:rsidR="00644983">
        <w:rPr>
          <w:rFonts w:ascii="Times New Roman" w:hAnsi="Times New Roman" w:cs="Times New Roman"/>
          <w:sz w:val="24"/>
          <w:szCs w:val="24"/>
        </w:rPr>
        <w:t>, који је занован</w:t>
      </w:r>
      <w:r w:rsidRPr="00203E0A">
        <w:rPr>
          <w:rFonts w:ascii="Times New Roman" w:hAnsi="Times New Roman" w:cs="Times New Roman"/>
          <w:sz w:val="24"/>
          <w:szCs w:val="24"/>
        </w:rPr>
        <w:t xml:space="preserve"> на анализи утицаја климатских промена на секторе и системе на националном нивоу у којима је потребно смањити неповољан ефекат климатских промена. Између осталих један од кључних елемената Програма је смањење негативних ефеката на здравље и безбедност људи. У оквиру Акционо</w:t>
      </w:r>
      <w:r w:rsidR="0073360E">
        <w:rPr>
          <w:rFonts w:ascii="Times New Roman" w:hAnsi="Times New Roman" w:cs="Times New Roman"/>
          <w:sz w:val="24"/>
          <w:szCs w:val="24"/>
        </w:rPr>
        <w:t xml:space="preserve">г </w:t>
      </w:r>
      <w:r w:rsidRPr="00203E0A">
        <w:rPr>
          <w:rFonts w:ascii="Times New Roman" w:hAnsi="Times New Roman" w:cs="Times New Roman"/>
          <w:sz w:val="24"/>
          <w:szCs w:val="24"/>
        </w:rPr>
        <w:t>плана за спровођење који обухвата период од 2024</w:t>
      </w:r>
      <w:r w:rsidR="0073360E">
        <w:rPr>
          <w:rFonts w:ascii="Times New Roman" w:hAnsi="Times New Roman" w:cs="Times New Roman"/>
          <w:sz w:val="24"/>
          <w:szCs w:val="24"/>
        </w:rPr>
        <w:t>.</w:t>
      </w:r>
      <w:r w:rsidRPr="00203E0A">
        <w:rPr>
          <w:rFonts w:ascii="Times New Roman" w:hAnsi="Times New Roman" w:cs="Times New Roman"/>
          <w:sz w:val="24"/>
          <w:szCs w:val="24"/>
        </w:rPr>
        <w:t xml:space="preserve"> до 2026. године садржана је и мера унапређења система праћења последица утицаја климатских промена</w:t>
      </w:r>
      <w:r w:rsidR="008E761C">
        <w:rPr>
          <w:rFonts w:ascii="Times New Roman" w:hAnsi="Times New Roman" w:cs="Times New Roman"/>
          <w:sz w:val="24"/>
          <w:szCs w:val="24"/>
        </w:rPr>
        <w:t xml:space="preserve"> на здравље људи и </w:t>
      </w:r>
      <w:r w:rsidRPr="00203E0A">
        <w:rPr>
          <w:rFonts w:ascii="Times New Roman" w:hAnsi="Times New Roman" w:cs="Times New Roman"/>
          <w:sz w:val="24"/>
          <w:szCs w:val="24"/>
        </w:rPr>
        <w:t>регулаторног оквир заштите здравља и безбедности грађана односно система превенције здравствених последица кроз побољшани систем раног упозорава</w:t>
      </w:r>
      <w:r w:rsidR="007D0364">
        <w:rPr>
          <w:rFonts w:ascii="Times New Roman" w:hAnsi="Times New Roman" w:cs="Times New Roman"/>
          <w:sz w:val="24"/>
          <w:szCs w:val="24"/>
        </w:rPr>
        <w:t xml:space="preserve">ња за све климатске опасности. </w:t>
      </w:r>
      <w:r w:rsidRPr="00203E0A">
        <w:rPr>
          <w:rFonts w:ascii="Times New Roman" w:hAnsi="Times New Roman" w:cs="Times New Roman"/>
          <w:sz w:val="24"/>
          <w:szCs w:val="24"/>
        </w:rPr>
        <w:t xml:space="preserve">Овом мером предвиђена је израда студије ради утврђивање методологије за праћење утицаја климатских промена на здравље људи, укључујући јачање </w:t>
      </w:r>
      <w:r w:rsidR="00BF5231">
        <w:rPr>
          <w:rFonts w:ascii="Times New Roman" w:hAnsi="Times New Roman" w:cs="Times New Roman"/>
          <w:sz w:val="24"/>
          <w:szCs w:val="24"/>
        </w:rPr>
        <w:t xml:space="preserve">капацитета здравствених радника </w:t>
      </w:r>
      <w:r w:rsidRPr="00203E0A">
        <w:rPr>
          <w:rFonts w:ascii="Times New Roman" w:hAnsi="Times New Roman" w:cs="Times New Roman"/>
          <w:sz w:val="24"/>
          <w:szCs w:val="24"/>
        </w:rPr>
        <w:t>з</w:t>
      </w:r>
      <w:r w:rsidR="00BF5231">
        <w:rPr>
          <w:rFonts w:ascii="Times New Roman" w:hAnsi="Times New Roman" w:cs="Times New Roman"/>
          <w:sz w:val="24"/>
          <w:szCs w:val="24"/>
        </w:rPr>
        <w:t xml:space="preserve">а праћење ових утицаја, а затим </w:t>
      </w:r>
      <w:r w:rsidRPr="00203E0A">
        <w:rPr>
          <w:rFonts w:ascii="Times New Roman" w:hAnsi="Times New Roman" w:cs="Times New Roman"/>
          <w:sz w:val="24"/>
          <w:szCs w:val="24"/>
        </w:rPr>
        <w:t>и успостављање система за ово праћење. Коначно, у току трајања Програма предвиђено је унапређење система раног здравственог упозоравања за све климатске опасности по моделу сарадње између Института за јавно здравље и РХМЗ-а у случају топлотних и хладних таласа</w:t>
      </w:r>
      <w:r w:rsidRPr="00203E0A">
        <w:t>.</w:t>
      </w:r>
    </w:p>
    <w:p w14:paraId="0F2E02B5" w14:textId="4ADE3178" w:rsidR="00E55287" w:rsidRPr="00203E0A" w:rsidRDefault="00E55287" w:rsidP="48A77BA5">
      <w:pPr>
        <w:ind w:firstLine="720"/>
        <w:jc w:val="both"/>
        <w:rPr>
          <w:rFonts w:ascii="Times New Roman" w:hAnsi="Times New Roman" w:cs="Times New Roman"/>
          <w:b/>
          <w:bCs/>
          <w:sz w:val="24"/>
          <w:szCs w:val="24"/>
          <w:shd w:val="clear" w:color="auto" w:fill="FFFFFF"/>
        </w:rPr>
      </w:pPr>
      <w:bookmarkStart w:id="2" w:name="_Toc126746511"/>
      <w:r w:rsidRPr="00203E0A">
        <w:rPr>
          <w:rFonts w:ascii="Times New Roman" w:hAnsi="Times New Roman" w:cs="Times New Roman"/>
          <w:b/>
          <w:bCs/>
          <w:sz w:val="24"/>
          <w:szCs w:val="24"/>
          <w:shd w:val="clear" w:color="auto" w:fill="FFFFFF"/>
        </w:rPr>
        <w:t>2.2. Анализа правног оквира</w:t>
      </w:r>
      <w:bookmarkEnd w:id="2"/>
    </w:p>
    <w:p w14:paraId="41BB2AA4" w14:textId="14167127" w:rsidR="00E55287" w:rsidRPr="00203E0A" w:rsidRDefault="00E55287" w:rsidP="0022205E">
      <w:pPr>
        <w:ind w:firstLine="720"/>
        <w:jc w:val="both"/>
        <w:rPr>
          <w:rFonts w:ascii="Times New Roman" w:hAnsi="Times New Roman" w:cs="Times New Roman"/>
          <w:sz w:val="24"/>
          <w:szCs w:val="24"/>
          <w:shd w:val="clear" w:color="auto" w:fill="FFFFFF"/>
        </w:rPr>
      </w:pPr>
      <w:bookmarkStart w:id="3" w:name="_Hlk126738373"/>
      <w:r w:rsidRPr="00203E0A">
        <w:rPr>
          <w:rFonts w:ascii="Times New Roman" w:hAnsi="Times New Roman" w:cs="Times New Roman"/>
          <w:sz w:val="24"/>
          <w:szCs w:val="24"/>
          <w:shd w:val="clear" w:color="auto" w:fill="FFFFFF"/>
        </w:rPr>
        <w:t>У периоду спровођења Стратегије безбедности и здравља на раду у Републици Србији за период од 2018. до 2022. године настављен је процес даљег усаглашавања националног законодавства са правним оквиром ЕУ, односно обавезама које су проистекле из Преговарачког поглавља 19 – Социјална политика и запошљавање.</w:t>
      </w:r>
    </w:p>
    <w:p w14:paraId="264C685F" w14:textId="33721F72" w:rsidR="00E55287" w:rsidRPr="00203E0A" w:rsidRDefault="00E55287" w:rsidP="0022205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Законом о безбедности и здрављу на раду („Службени гласник РС”, бр. 101/05, 91/15 и 113/17 – др. закон) уређује се спровођење и унапређивање безбедности и здравља на раду лица која учествују у радним процесима, као и лица која се затекну у радној околини, ради спречавања повреда на раду, професионалних обољења и обољења у вези са радом. Ипак, од свог усвајања закон је само једном био предмет измена и допуна, </w:t>
      </w:r>
      <w:r w:rsidRPr="00203E0A">
        <w:rPr>
          <w:rFonts w:ascii="Times New Roman" w:hAnsi="Times New Roman" w:cs="Times New Roman"/>
          <w:sz w:val="24"/>
          <w:szCs w:val="24"/>
          <w:shd w:val="clear" w:color="auto" w:fill="FFFFFF"/>
        </w:rPr>
        <w:lastRenderedPageBreak/>
        <w:t xml:space="preserve">2015. године када су отклоњени недостаци у примени и спровело даље усклађивање са Директивом Савета 89/391/ЕЕЗ о увођењу мера за подстицање побољшања безбедности и здравља запослених на раду од 21. јуна 1989. године. </w:t>
      </w:r>
    </w:p>
    <w:p w14:paraId="0A34C8CE" w14:textId="34B37BEB" w:rsidR="00E55287" w:rsidRPr="00203E0A" w:rsidRDefault="00E55287" w:rsidP="0022205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Поред Закона о безбедности и здрављу на раду, правни оквир чини још 60 подзаконских аката. Током </w:t>
      </w:r>
      <w:r w:rsidR="002F22AE" w:rsidRPr="00203E0A">
        <w:rPr>
          <w:rFonts w:ascii="Times New Roman" w:hAnsi="Times New Roman" w:cs="Times New Roman"/>
          <w:sz w:val="24"/>
          <w:szCs w:val="24"/>
          <w:shd w:val="clear" w:color="auto" w:fill="FFFFFF"/>
        </w:rPr>
        <w:t xml:space="preserve">посматраног периода од 2018. до </w:t>
      </w:r>
      <w:r w:rsidRPr="00203E0A">
        <w:rPr>
          <w:rFonts w:ascii="Times New Roman" w:hAnsi="Times New Roman" w:cs="Times New Roman"/>
          <w:sz w:val="24"/>
          <w:szCs w:val="24"/>
          <w:shd w:val="clear" w:color="auto" w:fill="FFFFFF"/>
        </w:rPr>
        <w:t>2022. године ступило је на снагу 18 нових, односно измењених и допуњених подзаконских аката којима су у национално законодавство транспоноване директиве или је унапређен постојећи оквир.</w:t>
      </w:r>
      <w:r w:rsidRPr="00203E0A">
        <w:rPr>
          <w:rFonts w:ascii="Times New Roman" w:hAnsi="Times New Roman" w:cs="Times New Roman"/>
          <w:sz w:val="24"/>
          <w:szCs w:val="24"/>
          <w:shd w:val="clear" w:color="auto" w:fill="FFFFFF"/>
          <w:vertAlign w:val="superscript"/>
        </w:rPr>
        <w:footnoteReference w:id="5"/>
      </w:r>
      <w:r w:rsidRPr="00203E0A">
        <w:rPr>
          <w:rFonts w:ascii="Times New Roman" w:hAnsi="Times New Roman" w:cs="Times New Roman"/>
          <w:sz w:val="24"/>
          <w:szCs w:val="24"/>
          <w:shd w:val="clear" w:color="auto" w:fill="FFFFFF"/>
          <w:vertAlign w:val="superscript"/>
        </w:rPr>
        <w:t xml:space="preserve"> </w:t>
      </w:r>
    </w:p>
    <w:p w14:paraId="24786353" w14:textId="3A3C3885" w:rsidR="00E55287" w:rsidRPr="00203E0A" w:rsidRDefault="00E55287" w:rsidP="0022205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 циљу спровођења Закона о безбедности и здрављу на раду („Службени гласник РС”, бр. 101/05, 91/15 и 113/17 – др. закон) донети су правилници који уређују превентивне мере при излагању буци, вибрацијама, биолошким штетностима, хемијским материјама, електромагнетском пољу, као и низ правилника који уређује превентивне мере у другим околностима. Такође</w:t>
      </w:r>
      <w:r w:rsidR="000518AD" w:rsidRPr="00203E0A">
        <w:rPr>
          <w:rFonts w:ascii="Times New Roman" w:hAnsi="Times New Roman" w:cs="Times New Roman"/>
          <w:sz w:val="24"/>
          <w:szCs w:val="24"/>
          <w:shd w:val="clear" w:color="auto" w:fill="FFFFFF"/>
        </w:rPr>
        <w:t>,</w:t>
      </w:r>
      <w:r w:rsidRPr="00203E0A">
        <w:rPr>
          <w:rFonts w:ascii="Times New Roman" w:hAnsi="Times New Roman" w:cs="Times New Roman"/>
          <w:sz w:val="24"/>
          <w:szCs w:val="24"/>
          <w:shd w:val="clear" w:color="auto" w:fill="FFFFFF"/>
        </w:rPr>
        <w:t xml:space="preserve"> био је прописан програм и начин полагања стручног испита за обављање послова безбедности и здравља на раду, о условима за издавање лиценци за обављање послова безбедности и здравља на раду. </w:t>
      </w:r>
    </w:p>
    <w:p w14:paraId="0FDE9B1C" w14:textId="28F362C8" w:rsidR="00E55287" w:rsidRPr="00203E0A" w:rsidRDefault="00E55287" w:rsidP="0022205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Претходни законски оквир се суочавао са неколико ограничења и недостатака. Прво, оквир није био у потпуности усклађен са правним тековинама ЕУ (Оквирна Директива 89/391/ЕЕЗ о увођењу мера за подстицање побољшања безбедности и здравља запослених на раду и 23 посебне директиве) и посебним конвенцијама МОР-а које је Република Србија ратификовала. Друго, поједине одредбе претходног Закона о безбедности и здрављу на раду нису биле усклађене са одредбама других закона. Коначно, уочени су проблеми у примени и правне празнине. Поједине одредбе закона било је неопходно прецизирати, односно извршити правно-техничко усклађивање, како би се примена тог института реализовала са што мање тумачења и на тај начин допринело бржем спровођењу, као и већој доследности у примени. </w:t>
      </w:r>
      <w:bookmarkEnd w:id="3"/>
    </w:p>
    <w:p w14:paraId="69F146A1" w14:textId="6A940CDA" w:rsidR="00E55287" w:rsidRPr="00203E0A" w:rsidRDefault="00E55287" w:rsidP="0022205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lastRenderedPageBreak/>
        <w:t xml:space="preserve">Проблеми у примени претходног Закона на које су привредни субјекти најчешће указивали односили су се на спровођење поступка процене ризика и доношење акта о процени ризика, увођење нових института у режим заштите запослених, који се превасходно односе на обезбеђивање веће заштите здравља и проширивање круга лица која уживају заштиту,  различито поступање инспектора рада у поступку инспекцијског надзора у области безбедности и здравља на раду из разлога непрецизних дефиниција (радно место) или непостојања дефиниције лица које се самозапошљава. Поједина решења, односно одсуство уређења неких питања створило је негативне ефекте у пракси. У делатности грађевинарства у случају извођења хитних радова, као што је на пример отклањање кварова на електроенергетском објекту или пуцање водоводних цеви, послодавац није могао да пријави радове и изради елаборат о уређењу градилишта због хитног отпочињања и завршетка извођења радова и тиме испуни законску обавезу према којој је послодавац који изводи радове на изградњи објекта у складу са прописима о безбедности и здрављу на раду на привременим или покретним градилиштима, дужан да изради прописан елаборат о уређењу градилишта који уз извештај о почетку рада доставља надлежној инспекцији рада најмање осам дана пре почетка рада. Такође, приликом извођења високоризичних радова као што су радови на висини, у дубини, у скученом простору, Законом није била прописана обавеза издавања дозвола за рад, а најчешћи узроци смртних повреда на раду у 2020. години били су пад са висине, удар падајућег објекта, удар објекта који се креће, струјни удар, обрушавање земље. </w:t>
      </w:r>
    </w:p>
    <w:p w14:paraId="7FF2B6F7" w14:textId="5CEED54E" w:rsidR="00E55287" w:rsidRPr="00203E0A" w:rsidRDefault="00E55287" w:rsidP="009D036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Иако је </w:t>
      </w:r>
      <w:r w:rsidR="00AB7B6D" w:rsidRPr="00203E0A">
        <w:rPr>
          <w:rFonts w:ascii="Times New Roman" w:hAnsi="Times New Roman" w:cs="Times New Roman"/>
          <w:sz w:val="24"/>
          <w:szCs w:val="24"/>
          <w:shd w:val="clear" w:color="auto" w:fill="FFFFFF"/>
        </w:rPr>
        <w:t>З</w:t>
      </w:r>
      <w:r w:rsidRPr="00203E0A">
        <w:rPr>
          <w:rFonts w:ascii="Times New Roman" w:hAnsi="Times New Roman" w:cs="Times New Roman"/>
          <w:sz w:val="24"/>
          <w:szCs w:val="24"/>
          <w:shd w:val="clear" w:color="auto" w:fill="FFFFFF"/>
        </w:rPr>
        <w:t>аконом била прописана обавеза послодавца да изврши оспособљавање запосленог за безбедан и здрав рад и случајеви када је дужан да изврши оспособљавање, као и да оспособљавање мора да буде прилагођено специфичностима радног места и да се спроводи по програму, чији садржај послодавац мора, када је то потребно, да обнавља и мења, поједина законска решења су недостајала. Наиме, није била прописана садржина програма оспособљавања што је у пракси довело до доношења програма оспособљавања различите садржине. Такође, није била прописана обавеза послодавца да посебно оспособљава представника запослених за обављање активности представника запослених за безбедан и здрав рад. Коначно, није била прописана обавеза послодавца да у случају тешке или смртне повреде на раду, односно оштећења здравља које је настало приликом излагања штетностима изврши додатну обуку запослених за безбедан и здрав рад на тим радним местима у организационој је</w:t>
      </w:r>
      <w:r w:rsidR="009D036A" w:rsidRPr="00203E0A">
        <w:rPr>
          <w:rFonts w:ascii="Times New Roman" w:hAnsi="Times New Roman" w:cs="Times New Roman"/>
          <w:sz w:val="24"/>
          <w:szCs w:val="24"/>
          <w:shd w:val="clear" w:color="auto" w:fill="FFFFFF"/>
        </w:rPr>
        <w:t>диници где се повреда догодила.</w:t>
      </w:r>
    </w:p>
    <w:p w14:paraId="4DB23434" w14:textId="5D66C6D3" w:rsidR="009B19A0" w:rsidRPr="00203E0A" w:rsidRDefault="00E55287" w:rsidP="009B19A0">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Током израде Стратегије, усвојен је нови Закон о безбедности и здрављу на </w:t>
      </w:r>
      <w:r w:rsidR="0058754F">
        <w:rPr>
          <w:rFonts w:ascii="Times New Roman" w:hAnsi="Times New Roman" w:cs="Times New Roman"/>
          <w:sz w:val="24"/>
          <w:szCs w:val="24"/>
          <w:shd w:val="clear" w:color="auto" w:fill="FFFFFF"/>
        </w:rPr>
        <w:t>раду („Службени гласник РС”, број</w:t>
      </w:r>
      <w:r w:rsidRPr="00203E0A">
        <w:rPr>
          <w:rFonts w:ascii="Times New Roman" w:hAnsi="Times New Roman" w:cs="Times New Roman"/>
          <w:sz w:val="24"/>
          <w:szCs w:val="24"/>
          <w:shd w:val="clear" w:color="auto" w:fill="FFFFFF"/>
        </w:rPr>
        <w:t xml:space="preserve"> 35/23) који отклања наведене недостатке. Основна новина коју доноси нови </w:t>
      </w:r>
      <w:r w:rsidR="008D54C9" w:rsidRPr="00203E0A">
        <w:rPr>
          <w:rFonts w:ascii="Times New Roman" w:hAnsi="Times New Roman" w:cs="Times New Roman"/>
          <w:sz w:val="24"/>
          <w:szCs w:val="24"/>
          <w:shd w:val="clear" w:color="auto" w:fill="FFFFFF"/>
        </w:rPr>
        <w:t>З</w:t>
      </w:r>
      <w:r w:rsidRPr="00203E0A">
        <w:rPr>
          <w:rFonts w:ascii="Times New Roman" w:hAnsi="Times New Roman" w:cs="Times New Roman"/>
          <w:sz w:val="24"/>
          <w:szCs w:val="24"/>
          <w:shd w:val="clear" w:color="auto" w:fill="FFFFFF"/>
        </w:rPr>
        <w:t>акон јесте захтевање већег степена безбедности и здравља на раду који послодавци морају да обезбеде, а запослени да примењују мере безбедности и здравља на раду. Нови Закон уводи бро</w:t>
      </w:r>
      <w:r w:rsidR="00464E57">
        <w:rPr>
          <w:rFonts w:ascii="Times New Roman" w:hAnsi="Times New Roman" w:cs="Times New Roman"/>
          <w:sz w:val="24"/>
          <w:szCs w:val="24"/>
          <w:shd w:val="clear" w:color="auto" w:fill="FFFFFF"/>
        </w:rPr>
        <w:t>јне нове појмове: радна средина;</w:t>
      </w:r>
      <w:r w:rsidRPr="00203E0A">
        <w:rPr>
          <w:rFonts w:ascii="Times New Roman" w:hAnsi="Times New Roman" w:cs="Times New Roman"/>
          <w:sz w:val="24"/>
          <w:szCs w:val="24"/>
          <w:shd w:val="clear" w:color="auto" w:fill="FFFFFF"/>
        </w:rPr>
        <w:t xml:space="preserve"> ради</w:t>
      </w:r>
      <w:r w:rsidR="002D0DBA" w:rsidRPr="00203E0A">
        <w:rPr>
          <w:rFonts w:ascii="Times New Roman" w:hAnsi="Times New Roman" w:cs="Times New Roman"/>
          <w:sz w:val="24"/>
          <w:szCs w:val="24"/>
          <w:shd w:val="clear" w:color="auto" w:fill="FFFFFF"/>
        </w:rPr>
        <w:t>лиште</w:t>
      </w:r>
      <w:r w:rsidR="00464E57">
        <w:rPr>
          <w:rFonts w:ascii="Times New Roman" w:hAnsi="Times New Roman" w:cs="Times New Roman"/>
          <w:sz w:val="24"/>
          <w:szCs w:val="24"/>
          <w:shd w:val="clear" w:color="auto" w:fill="FFFFFF"/>
        </w:rPr>
        <w:t>; рад на висини; рад на дубини;</w:t>
      </w:r>
      <w:r w:rsidRPr="00203E0A">
        <w:rPr>
          <w:rFonts w:ascii="Times New Roman" w:hAnsi="Times New Roman" w:cs="Times New Roman"/>
          <w:sz w:val="24"/>
          <w:szCs w:val="24"/>
          <w:shd w:val="clear" w:color="auto" w:fill="FFFFFF"/>
        </w:rPr>
        <w:t xml:space="preserve"> озбиљна, </w:t>
      </w:r>
      <w:r w:rsidR="00464E57">
        <w:rPr>
          <w:rFonts w:ascii="Times New Roman" w:hAnsi="Times New Roman" w:cs="Times New Roman"/>
          <w:sz w:val="24"/>
          <w:szCs w:val="24"/>
          <w:shd w:val="clear" w:color="auto" w:fill="FFFFFF"/>
        </w:rPr>
        <w:t>неизбежна и непосредна опасност:</w:t>
      </w:r>
      <w:r w:rsidRPr="00203E0A">
        <w:rPr>
          <w:rFonts w:ascii="Times New Roman" w:hAnsi="Times New Roman" w:cs="Times New Roman"/>
          <w:sz w:val="24"/>
          <w:szCs w:val="24"/>
          <w:shd w:val="clear" w:color="auto" w:fill="FFFFFF"/>
        </w:rPr>
        <w:t xml:space="preserve"> </w:t>
      </w:r>
      <w:r w:rsidR="00161902" w:rsidRPr="00203E0A">
        <w:rPr>
          <w:rFonts w:ascii="Times New Roman" w:hAnsi="Times New Roman" w:cs="Times New Roman"/>
          <w:sz w:val="24"/>
          <w:szCs w:val="24"/>
          <w:shd w:val="clear" w:color="auto" w:fill="FFFFFF"/>
        </w:rPr>
        <w:t>ново значење појма радно место са повећаним ризиком</w:t>
      </w:r>
      <w:r w:rsidR="00464E57">
        <w:rPr>
          <w:rFonts w:ascii="Times New Roman" w:hAnsi="Times New Roman" w:cs="Times New Roman"/>
          <w:sz w:val="24"/>
          <w:szCs w:val="24"/>
          <w:shd w:val="clear" w:color="auto" w:fill="FFFFFF"/>
        </w:rPr>
        <w:t>; рад од куће;</w:t>
      </w:r>
      <w:r w:rsidRPr="00203E0A">
        <w:rPr>
          <w:rFonts w:ascii="Times New Roman" w:hAnsi="Times New Roman" w:cs="Times New Roman"/>
          <w:sz w:val="24"/>
          <w:szCs w:val="24"/>
          <w:shd w:val="clear" w:color="auto" w:fill="FFFFFF"/>
        </w:rPr>
        <w:t xml:space="preserve"> рад на даљину итд. Такође, Законом се уводи виши ниво стручности стручњака за безбедност и здравље на раду, лиценцирање свих физичких лица која обављају послове безбедности и здравља на раду и континуирано усавршавање њиховог знања. </w:t>
      </w:r>
      <w:r w:rsidR="009B19A0" w:rsidRPr="00203E0A">
        <w:rPr>
          <w:rFonts w:ascii="Times New Roman" w:hAnsi="Times New Roman" w:cs="Times New Roman"/>
          <w:sz w:val="24"/>
          <w:szCs w:val="24"/>
          <w:shd w:val="clear" w:color="auto" w:fill="FFFFFF"/>
        </w:rPr>
        <w:t xml:space="preserve">Новим Законом прописано је издавање дозвола за рад приликом извођења радова на висини, у дубини, у скученом простору, у простору са потенцијално експлозивним атмосферама, на енергетском објекту, при коришћењу опасне хемијске материје и у зонама у којима је присутна озбиљна, неизбежна или непосредна опасност или штетност. Овом одредбом уведена је новина </w:t>
      </w:r>
      <w:r w:rsidR="009B19A0" w:rsidRPr="00203E0A">
        <w:rPr>
          <w:rFonts w:ascii="Times New Roman" w:hAnsi="Times New Roman" w:cs="Times New Roman"/>
          <w:sz w:val="24"/>
          <w:szCs w:val="24"/>
          <w:shd w:val="clear" w:color="auto" w:fill="FFFFFF"/>
        </w:rPr>
        <w:lastRenderedPageBreak/>
        <w:t>према којој се због веће заштите запослених при обављању одређених високоризичних послова уводи обавеза издавања дозволе за рад ради прецизирања услова које треба испунити, као и мера за безбедан и здрав рад које треба применити пре, у току и после завршеног рада</w:t>
      </w:r>
      <w:r w:rsidR="00D52099">
        <w:rPr>
          <w:rFonts w:ascii="Times New Roman" w:hAnsi="Times New Roman" w:cs="Times New Roman"/>
          <w:sz w:val="24"/>
          <w:szCs w:val="24"/>
          <w:shd w:val="clear" w:color="auto" w:fill="FFFFFF"/>
        </w:rPr>
        <w:t>,</w:t>
      </w:r>
      <w:r w:rsidR="009B19A0" w:rsidRPr="00203E0A">
        <w:rPr>
          <w:rFonts w:ascii="Times New Roman" w:hAnsi="Times New Roman" w:cs="Times New Roman"/>
          <w:sz w:val="24"/>
          <w:szCs w:val="24"/>
          <w:shd w:val="clear" w:color="auto" w:fill="FFFFFF"/>
        </w:rPr>
        <w:t xml:space="preserve"> а у околностима да оне нису препознате у описима послова и Акту о процени ризика. </w:t>
      </w:r>
    </w:p>
    <w:p w14:paraId="58F8FCC7" w14:textId="57F492BC" w:rsidR="00E55287" w:rsidRPr="00203E0A" w:rsidRDefault="00E55287" w:rsidP="009D036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С обзиром на изузетан ризик са којима су суочени запослени у сектору грађевинарства, </w:t>
      </w:r>
      <w:r w:rsidR="0039563A" w:rsidRPr="00203E0A">
        <w:rPr>
          <w:rFonts w:ascii="Times New Roman" w:hAnsi="Times New Roman" w:cs="Times New Roman"/>
          <w:sz w:val="24"/>
          <w:szCs w:val="24"/>
          <w:shd w:val="clear" w:color="auto" w:fill="FFFFFF"/>
        </w:rPr>
        <w:t>н</w:t>
      </w:r>
      <w:r w:rsidRPr="00203E0A">
        <w:rPr>
          <w:rFonts w:ascii="Times New Roman" w:hAnsi="Times New Roman" w:cs="Times New Roman"/>
          <w:sz w:val="24"/>
          <w:szCs w:val="24"/>
          <w:shd w:val="clear" w:color="auto" w:fill="FFFFFF"/>
        </w:rPr>
        <w:t xml:space="preserve">овим </w:t>
      </w:r>
      <w:r w:rsidR="0039563A" w:rsidRPr="00203E0A">
        <w:rPr>
          <w:rFonts w:ascii="Times New Roman" w:hAnsi="Times New Roman" w:cs="Times New Roman"/>
          <w:sz w:val="24"/>
          <w:szCs w:val="24"/>
          <w:shd w:val="clear" w:color="auto" w:fill="FFFFFF"/>
        </w:rPr>
        <w:t>З</w:t>
      </w:r>
      <w:r w:rsidRPr="00203E0A">
        <w:rPr>
          <w:rFonts w:ascii="Times New Roman" w:hAnsi="Times New Roman" w:cs="Times New Roman"/>
          <w:sz w:val="24"/>
          <w:szCs w:val="24"/>
          <w:shd w:val="clear" w:color="auto" w:fill="FFFFFF"/>
        </w:rPr>
        <w:t>аконом прецизирају се обавезе послодавца који обавља делатност грађевинарства, као једне од најризичнијих делатности. Сваки од послодаваца извођача радова је дужан да сачини елаборат о уређењу градилишта, ако радови трају дуже од три дана непрекидно, и да почетак рада пријави надлежној инспекцији рада. Нови Закон такође</w:t>
      </w:r>
      <w:r w:rsidR="009A5FDE" w:rsidRPr="00203E0A">
        <w:rPr>
          <w:rFonts w:ascii="Times New Roman" w:hAnsi="Times New Roman" w:cs="Times New Roman"/>
          <w:sz w:val="24"/>
          <w:szCs w:val="24"/>
          <w:shd w:val="clear" w:color="auto" w:fill="FFFFFF"/>
        </w:rPr>
        <w:t>,</w:t>
      </w:r>
      <w:r w:rsidRPr="00203E0A">
        <w:rPr>
          <w:rFonts w:ascii="Times New Roman" w:hAnsi="Times New Roman" w:cs="Times New Roman"/>
          <w:sz w:val="24"/>
          <w:szCs w:val="24"/>
          <w:shd w:val="clear" w:color="auto" w:fill="FFFFFF"/>
        </w:rPr>
        <w:t xml:space="preserve"> прописује нове обав</w:t>
      </w:r>
      <w:r w:rsidR="009A5FDE" w:rsidRPr="00203E0A">
        <w:rPr>
          <w:rFonts w:ascii="Times New Roman" w:hAnsi="Times New Roman" w:cs="Times New Roman"/>
          <w:sz w:val="24"/>
          <w:szCs w:val="24"/>
          <w:shd w:val="clear" w:color="auto" w:fill="FFFFFF"/>
        </w:rPr>
        <w:t xml:space="preserve">езе послодавцима у случају </w:t>
      </w:r>
      <w:r w:rsidRPr="00203E0A">
        <w:rPr>
          <w:rFonts w:ascii="Times New Roman" w:hAnsi="Times New Roman" w:cs="Times New Roman"/>
          <w:sz w:val="24"/>
          <w:szCs w:val="24"/>
          <w:shd w:val="clear" w:color="auto" w:fill="FFFFFF"/>
        </w:rPr>
        <w:t xml:space="preserve">тешке или смртне повреде на раду, да најкасније у року од осам дана од настанка повреде обезбеди додатну обуку запосленима на тим радним местима. Послодавац такође мора запосленог на његов захтев да упути на лекарски преглед који одговара ризицима на радном месту у редовним интервалима, а најкасније у року од пет година од претходног прегледа. </w:t>
      </w:r>
      <w:r w:rsidR="007F2D7E" w:rsidRPr="00203E0A">
        <w:rPr>
          <w:rFonts w:ascii="Times New Roman" w:eastAsia="Times New Roman" w:hAnsi="Times New Roman" w:cs="Palatino Linotype"/>
          <w:sz w:val="24"/>
          <w:szCs w:val="24"/>
        </w:rPr>
        <w:t xml:space="preserve">Новина </w:t>
      </w:r>
      <w:r w:rsidR="00AB0DD7" w:rsidRPr="00203E0A">
        <w:rPr>
          <w:rFonts w:ascii="Times New Roman" w:eastAsia="Times New Roman" w:hAnsi="Times New Roman" w:cs="Palatino Linotype"/>
          <w:sz w:val="24"/>
          <w:szCs w:val="24"/>
        </w:rPr>
        <w:t xml:space="preserve">у Закону </w:t>
      </w:r>
      <w:r w:rsidR="007F2D7E" w:rsidRPr="00203E0A">
        <w:rPr>
          <w:rFonts w:ascii="Times New Roman" w:eastAsia="Times New Roman" w:hAnsi="Times New Roman" w:cs="Palatino Linotype"/>
          <w:sz w:val="24"/>
          <w:szCs w:val="24"/>
        </w:rPr>
        <w:t xml:space="preserve">је прописивање </w:t>
      </w:r>
      <w:r w:rsidR="007F2D7E" w:rsidRPr="00203E0A">
        <w:rPr>
          <w:rFonts w:ascii="Times New Roman" w:eastAsia="Times New Roman" w:hAnsi="Times New Roman"/>
          <w:sz w:val="24"/>
          <w:szCs w:val="24"/>
        </w:rPr>
        <w:t>обавез</w:t>
      </w:r>
      <w:r w:rsidR="00161902" w:rsidRPr="00203E0A">
        <w:rPr>
          <w:rFonts w:ascii="Times New Roman" w:eastAsia="Times New Roman" w:hAnsi="Times New Roman"/>
          <w:sz w:val="24"/>
          <w:szCs w:val="24"/>
        </w:rPr>
        <w:t>e</w:t>
      </w:r>
      <w:r w:rsidR="007F2D7E" w:rsidRPr="00203E0A">
        <w:rPr>
          <w:rFonts w:ascii="Times New Roman" w:eastAsia="Times New Roman" w:hAnsi="Times New Roman"/>
          <w:sz w:val="24"/>
          <w:szCs w:val="24"/>
        </w:rPr>
        <w:t xml:space="preserve"> инспектора рада да забрани рад на градилишту када утврди да су непосредно угрожени безбедност и здравље запосленог. Забрана рада изриче се инвеститору за цело градилиште и траје док трају околности које доводе до угрожавања безбедности и здравља запосленог, најмање три, а највише</w:t>
      </w:r>
      <w:r w:rsidR="007F2D7E" w:rsidRPr="00203E0A">
        <w:rPr>
          <w:rFonts w:ascii="Times New Roman" w:hAnsi="Times New Roman"/>
          <w:sz w:val="24"/>
          <w:szCs w:val="24"/>
        </w:rPr>
        <w:t xml:space="preserve"> 30 дана у зависности колико пута су утврђене околности које доводе до угрожавања безбедности и здравља на раду на градилишту.</w:t>
      </w:r>
    </w:p>
    <w:p w14:paraId="6306543A" w14:textId="397FD78F" w:rsidR="00E55287" w:rsidRPr="00203E0A" w:rsidRDefault="00E55287" w:rsidP="0022205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Како је област безбедности и здравља на раду мултидисциплинарног карактера правни основ садржан </w:t>
      </w:r>
      <w:r w:rsidR="009B19A0" w:rsidRPr="00203E0A">
        <w:rPr>
          <w:rFonts w:ascii="Times New Roman" w:hAnsi="Times New Roman" w:cs="Times New Roman"/>
          <w:sz w:val="24"/>
          <w:szCs w:val="24"/>
          <w:shd w:val="clear" w:color="auto" w:fill="FFFFFF"/>
        </w:rPr>
        <w:t xml:space="preserve">је </w:t>
      </w:r>
      <w:r w:rsidRPr="00203E0A">
        <w:rPr>
          <w:rFonts w:ascii="Times New Roman" w:hAnsi="Times New Roman" w:cs="Times New Roman"/>
          <w:sz w:val="24"/>
          <w:szCs w:val="24"/>
          <w:shd w:val="clear" w:color="auto" w:fill="FFFFFF"/>
        </w:rPr>
        <w:t>у више закона и подзаконских аката. У наставку су наведени најважнији прописи, док су сви рел</w:t>
      </w:r>
      <w:r w:rsidR="009D036A" w:rsidRPr="00203E0A">
        <w:rPr>
          <w:rFonts w:ascii="Times New Roman" w:hAnsi="Times New Roman" w:cs="Times New Roman"/>
          <w:sz w:val="24"/>
          <w:szCs w:val="24"/>
          <w:shd w:val="clear" w:color="auto" w:fill="FFFFFF"/>
        </w:rPr>
        <w:t>евантни прописи дати у фусноти.</w:t>
      </w:r>
    </w:p>
    <w:p w14:paraId="41AAD691" w14:textId="697ACD41" w:rsidR="00E55287" w:rsidRPr="00203E0A" w:rsidRDefault="009D036A" w:rsidP="009D036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1) </w:t>
      </w:r>
      <w:r w:rsidR="00E55287" w:rsidRPr="00203E0A">
        <w:rPr>
          <w:rFonts w:ascii="Times New Roman" w:hAnsi="Times New Roman" w:cs="Times New Roman"/>
          <w:sz w:val="24"/>
          <w:szCs w:val="24"/>
          <w:shd w:val="clear" w:color="auto" w:fill="FFFFFF"/>
        </w:rPr>
        <w:t>Закон о раду („Службени гласник РСˮ, бр. 24/05, 61/05, 54/09, 32/13, 75/14, 13/17 – УС,113/17 и 95/18 – аутентично тумачење), као општи пропис у области рада, уређује закључивање уговора о раду и других уговора о радном ангажовању, радно време и друга права, обавезе и одговорности запослених и других радно ангажованих лица из рада и по основу рада, као и друге услове рада, осим услова којима се обезбеђује безбедност и здравље на раду. Законом о раду прописано</w:t>
      </w:r>
      <w:r w:rsidR="005A301F">
        <w:rPr>
          <w:rFonts w:ascii="Times New Roman" w:hAnsi="Times New Roman" w:cs="Times New Roman"/>
          <w:sz w:val="24"/>
          <w:szCs w:val="24"/>
          <w:shd w:val="clear" w:color="auto" w:fill="FFFFFF"/>
        </w:rPr>
        <w:t xml:space="preserve"> </w:t>
      </w:r>
      <w:r w:rsidR="005A301F" w:rsidRPr="00203E0A">
        <w:rPr>
          <w:rFonts w:ascii="Times New Roman" w:hAnsi="Times New Roman" w:cs="Times New Roman"/>
          <w:sz w:val="24"/>
          <w:szCs w:val="24"/>
          <w:shd w:val="clear" w:color="auto" w:fill="FFFFFF"/>
        </w:rPr>
        <w:t>је</w:t>
      </w:r>
      <w:r w:rsidR="005A301F">
        <w:rPr>
          <w:rFonts w:ascii="Times New Roman" w:hAnsi="Times New Roman" w:cs="Times New Roman"/>
          <w:sz w:val="24"/>
          <w:szCs w:val="24"/>
          <w:shd w:val="clear" w:color="auto" w:fill="FFFFFF"/>
        </w:rPr>
        <w:t>,</w:t>
      </w:r>
      <w:r w:rsidR="005A301F" w:rsidRPr="005A301F">
        <w:rPr>
          <w:rFonts w:ascii="Times New Roman" w:hAnsi="Times New Roman" w:cs="Times New Roman"/>
          <w:sz w:val="24"/>
          <w:szCs w:val="24"/>
          <w:shd w:val="clear" w:color="auto" w:fill="FFFFFF"/>
        </w:rPr>
        <w:t xml:space="preserve"> </w:t>
      </w:r>
      <w:r w:rsidR="005A301F" w:rsidRPr="00203E0A">
        <w:rPr>
          <w:rFonts w:ascii="Times New Roman" w:hAnsi="Times New Roman" w:cs="Times New Roman"/>
          <w:sz w:val="24"/>
          <w:szCs w:val="24"/>
          <w:shd w:val="clear" w:color="auto" w:fill="FFFFFF"/>
        </w:rPr>
        <w:t>такође</w:t>
      </w:r>
      <w:r w:rsidR="005A301F">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да је послодавац дужан да обезбеди услове рада и организује рад како би се обезбедили услови безбедности и заштите живота и здравља на раду. Такође, прописује и права и обавезе запослених у погледу безбедности и за</w:t>
      </w:r>
      <w:r w:rsidRPr="00203E0A">
        <w:rPr>
          <w:rFonts w:ascii="Times New Roman" w:hAnsi="Times New Roman" w:cs="Times New Roman"/>
          <w:sz w:val="24"/>
          <w:szCs w:val="24"/>
          <w:shd w:val="clear" w:color="auto" w:fill="FFFFFF"/>
        </w:rPr>
        <w:t>штите живота и здравља на раду.</w:t>
      </w:r>
    </w:p>
    <w:p w14:paraId="73D94BD3" w14:textId="0CBB5471" w:rsidR="00E55287" w:rsidRPr="00203E0A" w:rsidRDefault="009D036A" w:rsidP="009D036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2) </w:t>
      </w:r>
      <w:r w:rsidR="00E55287" w:rsidRPr="00203E0A">
        <w:rPr>
          <w:rFonts w:ascii="Times New Roman" w:hAnsi="Times New Roman" w:cs="Times New Roman"/>
          <w:sz w:val="24"/>
          <w:szCs w:val="24"/>
          <w:shd w:val="clear" w:color="auto" w:fill="FFFFFF"/>
        </w:rPr>
        <w:t>Закон о инспекцијско</w:t>
      </w:r>
      <w:r w:rsidR="00941EEE" w:rsidRPr="00203E0A">
        <w:rPr>
          <w:rFonts w:ascii="Times New Roman" w:hAnsi="Times New Roman" w:cs="Times New Roman"/>
          <w:sz w:val="24"/>
          <w:szCs w:val="24"/>
          <w:shd w:val="clear" w:color="auto" w:fill="FFFFFF"/>
        </w:rPr>
        <w:t>м надзору (,,Службени гласник РС”</w:t>
      </w:r>
      <w:r w:rsidR="00BD613C">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бр. 36/15, 44/18 – др. закон и 95/18)</w:t>
      </w:r>
      <w:r w:rsidR="00711E08">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којим се уређује садржина, врсте и облици и поступак инспекцијског надзора, овлашћења и обавезе учесника у инспекцијском надзору и друга питања од </w:t>
      </w:r>
      <w:r w:rsidRPr="00203E0A">
        <w:rPr>
          <w:rFonts w:ascii="Times New Roman" w:hAnsi="Times New Roman" w:cs="Times New Roman"/>
          <w:sz w:val="24"/>
          <w:szCs w:val="24"/>
          <w:shd w:val="clear" w:color="auto" w:fill="FFFFFF"/>
        </w:rPr>
        <w:t>значаја за инспекцијски надзор.</w:t>
      </w:r>
    </w:p>
    <w:p w14:paraId="3480A9D5" w14:textId="07EBAF9A" w:rsidR="00E55287" w:rsidRPr="00203E0A" w:rsidRDefault="005A301F"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sidR="009D036A"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Закон о здравственом осигурању (,,Службени гласник РС”, број 25/19)</w:t>
      </w:r>
      <w:r>
        <w:rPr>
          <w:rFonts w:ascii="Times New Roman" w:hAnsi="Times New Roman" w:cs="Times New Roman"/>
          <w:sz w:val="24"/>
          <w:szCs w:val="24"/>
          <w:shd w:val="clear" w:color="auto" w:fill="FFFFFF"/>
        </w:rPr>
        <w:t>, којим је утврђено</w:t>
      </w:r>
      <w:r w:rsidR="00E55287" w:rsidRPr="00203E0A">
        <w:rPr>
          <w:rFonts w:ascii="Times New Roman" w:hAnsi="Times New Roman" w:cs="Times New Roman"/>
          <w:sz w:val="24"/>
          <w:szCs w:val="24"/>
          <w:shd w:val="clear" w:color="auto" w:fill="FFFFFF"/>
        </w:rPr>
        <w:t xml:space="preserve">, између осталог, и право на здравствену заштиту у случају повреде на </w:t>
      </w:r>
      <w:r>
        <w:rPr>
          <w:rFonts w:ascii="Times New Roman" w:hAnsi="Times New Roman" w:cs="Times New Roman"/>
          <w:sz w:val="24"/>
          <w:szCs w:val="24"/>
          <w:shd w:val="clear" w:color="auto" w:fill="FFFFFF"/>
        </w:rPr>
        <w:t>раду или професионалне болести,</w:t>
      </w:r>
      <w:r w:rsidR="00E55287" w:rsidRPr="00203E0A">
        <w:rPr>
          <w:rFonts w:ascii="Times New Roman" w:hAnsi="Times New Roman" w:cs="Times New Roman"/>
          <w:sz w:val="24"/>
          <w:szCs w:val="24"/>
          <w:shd w:val="clear" w:color="auto" w:fill="FFFFFF"/>
        </w:rPr>
        <w:t xml:space="preserve"> која обухвата здравствену заштиту у случају настанка повреде на раду или професионалне болести </w:t>
      </w:r>
      <w:r>
        <w:rPr>
          <w:rFonts w:ascii="Times New Roman" w:hAnsi="Times New Roman" w:cs="Times New Roman"/>
          <w:sz w:val="24"/>
          <w:szCs w:val="24"/>
          <w:shd w:val="clear" w:color="auto" w:fill="FFFFFF"/>
        </w:rPr>
        <w:t xml:space="preserve">и </w:t>
      </w:r>
      <w:r w:rsidR="00E55287" w:rsidRPr="00203E0A">
        <w:rPr>
          <w:rFonts w:ascii="Times New Roman" w:hAnsi="Times New Roman" w:cs="Times New Roman"/>
          <w:sz w:val="24"/>
          <w:szCs w:val="24"/>
          <w:shd w:val="clear" w:color="auto" w:fill="FFFFFF"/>
        </w:rPr>
        <w:t>која се обезбеђује на примарном, се</w:t>
      </w:r>
      <w:r w:rsidR="009D036A" w:rsidRPr="00203E0A">
        <w:rPr>
          <w:rFonts w:ascii="Times New Roman" w:hAnsi="Times New Roman" w:cs="Times New Roman"/>
          <w:sz w:val="24"/>
          <w:szCs w:val="24"/>
          <w:shd w:val="clear" w:color="auto" w:fill="FFFFFF"/>
        </w:rPr>
        <w:t xml:space="preserve">кундарном и терцијарном нивоу. </w:t>
      </w:r>
    </w:p>
    <w:p w14:paraId="47000D85" w14:textId="22CA63BD" w:rsidR="00E55287" w:rsidRPr="00203E0A" w:rsidRDefault="005A301F" w:rsidP="0022205E">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4</w:t>
      </w:r>
      <w:r w:rsidR="009D036A"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 xml:space="preserve">Закон о пензијском и инвалидском осигурању („Службени гласник РС”, бр. 34/03, 64/04 – УС; 84/04 – др. закон; 85/05, 101/05 – др. закон, 63/06 – УС, 5/09, 107/09, </w:t>
      </w:r>
      <w:r w:rsidR="00E55287" w:rsidRPr="00203E0A">
        <w:rPr>
          <w:rFonts w:ascii="Times New Roman" w:hAnsi="Times New Roman" w:cs="Times New Roman"/>
          <w:sz w:val="24"/>
          <w:szCs w:val="24"/>
          <w:shd w:val="clear" w:color="auto" w:fill="FFFFFF"/>
        </w:rPr>
        <w:lastRenderedPageBreak/>
        <w:t xml:space="preserve">101/10, 93/12, 62/13, 108/13, 75/14, 142/14, </w:t>
      </w:r>
      <w:r w:rsidR="00941EEE" w:rsidRPr="00203E0A">
        <w:rPr>
          <w:rFonts w:ascii="Times New Roman" w:hAnsi="Times New Roman" w:cs="Times New Roman"/>
          <w:sz w:val="24"/>
          <w:szCs w:val="24"/>
          <w:shd w:val="clear" w:color="auto" w:fill="FFFFFF"/>
        </w:rPr>
        <w:t xml:space="preserve">73/18, 46/19 – УС, 86/19, </w:t>
      </w:r>
      <w:r w:rsidR="00E55287" w:rsidRPr="00203E0A">
        <w:rPr>
          <w:rFonts w:ascii="Times New Roman" w:hAnsi="Times New Roman" w:cs="Times New Roman"/>
          <w:sz w:val="24"/>
          <w:szCs w:val="24"/>
          <w:shd w:val="clear" w:color="auto" w:fill="FFFFFF"/>
        </w:rPr>
        <w:t>62/21</w:t>
      </w:r>
      <w:r w:rsidR="00941EEE" w:rsidRPr="00203E0A">
        <w:rPr>
          <w:rFonts w:ascii="Times New Roman" w:hAnsi="Times New Roman" w:cs="Times New Roman"/>
          <w:sz w:val="24"/>
          <w:szCs w:val="24"/>
          <w:shd w:val="clear" w:color="auto" w:fill="FFFFFF"/>
        </w:rPr>
        <w:t xml:space="preserve"> и 76/23</w:t>
      </w:r>
      <w:r w:rsidR="00711E08">
        <w:rPr>
          <w:rFonts w:ascii="Times New Roman" w:hAnsi="Times New Roman" w:cs="Times New Roman"/>
          <w:sz w:val="24"/>
          <w:szCs w:val="24"/>
          <w:shd w:val="clear" w:color="auto" w:fill="FFFFFF"/>
        </w:rPr>
        <w:t>). Т</w:t>
      </w:r>
      <w:r>
        <w:rPr>
          <w:rFonts w:ascii="Times New Roman" w:hAnsi="Times New Roman" w:cs="Times New Roman"/>
          <w:sz w:val="24"/>
          <w:szCs w:val="24"/>
          <w:shd w:val="clear" w:color="auto" w:fill="FFFFFF"/>
        </w:rPr>
        <w:t>ај закон</w:t>
      </w:r>
      <w:r w:rsidR="00E55287" w:rsidRPr="00203E0A">
        <w:rPr>
          <w:rFonts w:ascii="Times New Roman" w:hAnsi="Times New Roman" w:cs="Times New Roman"/>
          <w:sz w:val="24"/>
          <w:szCs w:val="24"/>
          <w:shd w:val="clear" w:color="auto" w:fill="FFFFFF"/>
        </w:rPr>
        <w:t xml:space="preserve"> уређује права за случај инвалидности и телесног оштећења проузрокованих повредом на раду или професионалном болешћу. Законом о пензијском и инвалидском осигурању такође</w:t>
      </w:r>
      <w:r>
        <w:rPr>
          <w:rFonts w:ascii="Times New Roman" w:hAnsi="Times New Roman" w:cs="Times New Roman"/>
          <w:sz w:val="24"/>
          <w:szCs w:val="24"/>
          <w:shd w:val="clear" w:color="auto" w:fill="FFFFFF"/>
        </w:rPr>
        <w:t xml:space="preserve"> је утврђено шта се, у смислу т</w:t>
      </w:r>
      <w:r w:rsidR="00E55287" w:rsidRPr="00203E0A">
        <w:rPr>
          <w:rFonts w:ascii="Times New Roman" w:hAnsi="Times New Roman" w:cs="Times New Roman"/>
          <w:sz w:val="24"/>
          <w:szCs w:val="24"/>
          <w:shd w:val="clear" w:color="auto" w:fill="FFFFFF"/>
        </w:rPr>
        <w:t xml:space="preserve">ог закона, сматра повредом на раду и шта су професионалне болести и уређују се права за случај инвалидности и телесног оштећења проузрокованих повредом на раду или професионалном болешћу. </w:t>
      </w:r>
    </w:p>
    <w:p w14:paraId="50909EB8" w14:textId="3D47D9C4" w:rsidR="00E55287" w:rsidRPr="00203E0A" w:rsidRDefault="005A301F"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w:t>
      </w:r>
      <w:r w:rsidR="009D036A"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Закон о професионалној рехабилитацији и запошљавању особа са инвалидитетом („Службени г</w:t>
      </w:r>
      <w:r>
        <w:rPr>
          <w:rFonts w:ascii="Times New Roman" w:hAnsi="Times New Roman" w:cs="Times New Roman"/>
          <w:sz w:val="24"/>
          <w:szCs w:val="24"/>
          <w:shd w:val="clear" w:color="auto" w:fill="FFFFFF"/>
        </w:rPr>
        <w:t>ласник РС”, бр. 36/09 и 32/13)</w:t>
      </w:r>
      <w:r w:rsidR="00711E08">
        <w:rPr>
          <w:rFonts w:ascii="Times New Roman" w:hAnsi="Times New Roman" w:cs="Times New Roman"/>
          <w:sz w:val="24"/>
          <w:szCs w:val="24"/>
          <w:shd w:val="clear" w:color="auto" w:fill="FFFFFF"/>
        </w:rPr>
        <w:t>, који</w:t>
      </w:r>
      <w:r>
        <w:rPr>
          <w:rFonts w:ascii="Times New Roman" w:hAnsi="Times New Roman" w:cs="Times New Roman"/>
          <w:sz w:val="24"/>
          <w:szCs w:val="24"/>
          <w:shd w:val="clear" w:color="auto" w:fill="FFFFFF"/>
        </w:rPr>
        <w:t> уређуј</w:t>
      </w:r>
      <w:r w:rsidR="00E55287" w:rsidRPr="00203E0A">
        <w:rPr>
          <w:rFonts w:ascii="Times New Roman" w:hAnsi="Times New Roman" w:cs="Times New Roman"/>
          <w:sz w:val="24"/>
          <w:szCs w:val="24"/>
          <w:shd w:val="clear" w:color="auto" w:fill="FFFFFF"/>
        </w:rPr>
        <w:t>е подстицаје за запошљавање особа са инвалидитетом ради стварања услова за њихово равноправно укључивање на тржиште рада, процену радне способности, професионалну рехабилитацију, обавезу запошљавања особа са инвалидитетом, услове за оснивање и обављање делатности предузећа за професионалну рехабилитацију и запошљавање особа са инвалидитетом и других посебних облика запошљавања и радног ангажовања особа са инвалидитетом и друга питања од значаја за професионалну рехабилитацију и запо</w:t>
      </w:r>
      <w:r w:rsidR="009D036A" w:rsidRPr="00203E0A">
        <w:rPr>
          <w:rFonts w:ascii="Times New Roman" w:hAnsi="Times New Roman" w:cs="Times New Roman"/>
          <w:sz w:val="24"/>
          <w:szCs w:val="24"/>
          <w:shd w:val="clear" w:color="auto" w:fill="FFFFFF"/>
        </w:rPr>
        <w:t>шљавање особа са инвалидитетом.</w:t>
      </w:r>
    </w:p>
    <w:p w14:paraId="60D11817" w14:textId="262FF083" w:rsidR="00E55287" w:rsidRPr="00203E0A" w:rsidRDefault="00711E08"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6</w:t>
      </w:r>
      <w:r w:rsidR="009D036A"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Закон о агенцијском запошља</w:t>
      </w:r>
      <w:r>
        <w:rPr>
          <w:rFonts w:ascii="Times New Roman" w:hAnsi="Times New Roman" w:cs="Times New Roman"/>
          <w:sz w:val="24"/>
          <w:szCs w:val="24"/>
          <w:shd w:val="clear" w:color="auto" w:fill="FFFFFF"/>
        </w:rPr>
        <w:t>вању („Службени гласник РС”, број</w:t>
      </w:r>
      <w:r w:rsidR="00E55287" w:rsidRPr="00203E0A">
        <w:rPr>
          <w:rFonts w:ascii="Times New Roman" w:hAnsi="Times New Roman" w:cs="Times New Roman"/>
          <w:sz w:val="24"/>
          <w:szCs w:val="24"/>
          <w:shd w:val="clear" w:color="auto" w:fill="FFFFFF"/>
        </w:rPr>
        <w:t xml:space="preserve"> 86/19)</w:t>
      </w:r>
      <w:r>
        <w:rPr>
          <w:rFonts w:ascii="Times New Roman" w:hAnsi="Times New Roman" w:cs="Times New Roman"/>
          <w:sz w:val="24"/>
          <w:szCs w:val="24"/>
          <w:shd w:val="clear" w:color="auto" w:fill="FFFFFF"/>
        </w:rPr>
        <w:t xml:space="preserve">, који </w:t>
      </w:r>
      <w:r w:rsidR="00E55287" w:rsidRPr="00203E0A">
        <w:rPr>
          <w:rFonts w:ascii="Times New Roman" w:hAnsi="Times New Roman" w:cs="Times New Roman"/>
          <w:sz w:val="24"/>
          <w:szCs w:val="24"/>
          <w:shd w:val="clear" w:color="auto" w:fill="FFFFFF"/>
        </w:rPr>
        <w:t xml:space="preserve"> уређује заштиту права запослених који закључују уговор о раду са агенцијом за привремено запошљавање ради уступања на привремени рад послодавцу кориснику, једнак третман уступљених запослених у погледу остваривања одређених права из радног односа и по основу рада, начин и у</w:t>
      </w:r>
      <w:r w:rsidR="009D036A" w:rsidRPr="00203E0A">
        <w:rPr>
          <w:rFonts w:ascii="Times New Roman" w:hAnsi="Times New Roman" w:cs="Times New Roman"/>
          <w:sz w:val="24"/>
          <w:szCs w:val="24"/>
          <w:shd w:val="clear" w:color="auto" w:fill="FFFFFF"/>
        </w:rPr>
        <w:t>слове уступања запослених и др.</w:t>
      </w:r>
    </w:p>
    <w:p w14:paraId="28312C8F" w14:textId="6053A3F3" w:rsidR="00E55287" w:rsidRPr="00203E0A" w:rsidRDefault="00711E08"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w:t>
      </w:r>
      <w:r w:rsidR="009D036A"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Закон о запошљавању странаца („Службени гласник РС”, бр. 128/14, 113/17, 50/18, 31/19 и 62/23)</w:t>
      </w:r>
      <w:r>
        <w:rPr>
          <w:rFonts w:ascii="Times New Roman" w:hAnsi="Times New Roman" w:cs="Times New Roman"/>
          <w:sz w:val="24"/>
          <w:szCs w:val="24"/>
          <w:shd w:val="clear" w:color="auto" w:fill="FFFFFF"/>
        </w:rPr>
        <w:t>, који</w:t>
      </w:r>
      <w:r w:rsidR="00E55287" w:rsidRPr="00203E0A">
        <w:rPr>
          <w:rFonts w:ascii="Times New Roman" w:hAnsi="Times New Roman" w:cs="Times New Roman"/>
          <w:sz w:val="24"/>
          <w:szCs w:val="24"/>
          <w:shd w:val="clear" w:color="auto" w:fill="FFFFFF"/>
        </w:rPr>
        <w:t xml:space="preserve"> уређује услове и поступке за запошљавање странaца у Републици Србији и друга питања од значаја за запошљавање и рад странаца у Републици Србији. Странац који се запошљава у</w:t>
      </w:r>
      <w:r>
        <w:rPr>
          <w:rFonts w:ascii="Times New Roman" w:hAnsi="Times New Roman" w:cs="Times New Roman"/>
          <w:sz w:val="24"/>
          <w:szCs w:val="24"/>
          <w:shd w:val="clear" w:color="auto" w:fill="FFFFFF"/>
        </w:rPr>
        <w:t xml:space="preserve"> Републици Србији у складу са т</w:t>
      </w:r>
      <w:r w:rsidR="00E55287" w:rsidRPr="00203E0A">
        <w:rPr>
          <w:rFonts w:ascii="Times New Roman" w:hAnsi="Times New Roman" w:cs="Times New Roman"/>
          <w:sz w:val="24"/>
          <w:szCs w:val="24"/>
          <w:shd w:val="clear" w:color="auto" w:fill="FFFFFF"/>
        </w:rPr>
        <w:t>им законом, има једнака права и обавезе у погледу рада, запошљавања и самозапошљавања као и њени држављани, ако су испуње</w:t>
      </w:r>
      <w:r w:rsidR="009D036A" w:rsidRPr="00203E0A">
        <w:rPr>
          <w:rFonts w:ascii="Times New Roman" w:hAnsi="Times New Roman" w:cs="Times New Roman"/>
          <w:sz w:val="24"/>
          <w:szCs w:val="24"/>
          <w:shd w:val="clear" w:color="auto" w:fill="FFFFFF"/>
        </w:rPr>
        <w:t xml:space="preserve">ни услови у складу са законом; </w:t>
      </w:r>
    </w:p>
    <w:p w14:paraId="3B40C513" w14:textId="4244B6EB" w:rsidR="00E55287" w:rsidRPr="00203E0A" w:rsidRDefault="00711E08"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8</w:t>
      </w:r>
      <w:r w:rsidR="009D036A"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Закон о поједностављеном радном ангажовању на сезонским пословима у одређеним делат</w:t>
      </w:r>
      <w:r w:rsidR="007B3A8C" w:rsidRPr="00203E0A">
        <w:rPr>
          <w:rFonts w:ascii="Times New Roman" w:hAnsi="Times New Roman" w:cs="Times New Roman"/>
          <w:sz w:val="24"/>
          <w:szCs w:val="24"/>
          <w:shd w:val="clear" w:color="auto" w:fill="FFFFFF"/>
        </w:rPr>
        <w:t>ностима („Службени  гласник  РС”</w:t>
      </w:r>
      <w:r>
        <w:rPr>
          <w:rFonts w:ascii="Times New Roman" w:hAnsi="Times New Roman" w:cs="Times New Roman"/>
          <w:sz w:val="24"/>
          <w:szCs w:val="24"/>
          <w:shd w:val="clear" w:color="auto" w:fill="FFFFFF"/>
        </w:rPr>
        <w:t>, број 50/18). Т</w:t>
      </w:r>
      <w:r w:rsidR="00E55287" w:rsidRPr="00203E0A">
        <w:rPr>
          <w:rFonts w:ascii="Times New Roman" w:hAnsi="Times New Roman" w:cs="Times New Roman"/>
          <w:sz w:val="24"/>
          <w:szCs w:val="24"/>
          <w:shd w:val="clear" w:color="auto" w:fill="FFFFFF"/>
        </w:rPr>
        <w:t>им законом се, због посебних карактеристика и услова сезонског рада у одређеним делатностима, уређује поједностављен начин радног ангажовања лица и плаћања пореза и доприноса за рад на пословима који су сезонског карактера у појединим делатностима одређеним у складу са овим законом у сектору пољопривреде, шумарства и рибарства (сезонски послови), у складу са прописом којим се прописује класификација дел</w:t>
      </w:r>
      <w:r w:rsidR="009D036A" w:rsidRPr="00203E0A">
        <w:rPr>
          <w:rFonts w:ascii="Times New Roman" w:hAnsi="Times New Roman" w:cs="Times New Roman"/>
          <w:sz w:val="24"/>
          <w:szCs w:val="24"/>
          <w:shd w:val="clear" w:color="auto" w:fill="FFFFFF"/>
        </w:rPr>
        <w:t xml:space="preserve">атности. </w:t>
      </w:r>
      <w:r w:rsidR="00E55287" w:rsidRPr="00203E0A">
        <w:rPr>
          <w:rFonts w:ascii="Times New Roman" w:hAnsi="Times New Roman" w:cs="Times New Roman"/>
          <w:sz w:val="24"/>
          <w:szCs w:val="24"/>
          <w:shd w:val="clear" w:color="auto" w:fill="FFFFFF"/>
        </w:rPr>
        <w:t>Услови за безбедност и здравље на раду односе се на упознавање сезонског радника са свим ризицима и променама ризика који би могли утицати на безбедност и здравље на раду, а посебно о ризицима повезаним са процесом рада који могу да проузрокују повреду на раду, оштећење здравља или обољење сезонског радника и начином и мерама за њихово спречавање, отклањање или смањење на најмању могућу меру и мерама пружања прве помо</w:t>
      </w:r>
      <w:r w:rsidR="009D036A" w:rsidRPr="00203E0A">
        <w:rPr>
          <w:rFonts w:ascii="Times New Roman" w:hAnsi="Times New Roman" w:cs="Times New Roman"/>
          <w:sz w:val="24"/>
          <w:szCs w:val="24"/>
          <w:shd w:val="clear" w:color="auto" w:fill="FFFFFF"/>
        </w:rPr>
        <w:t>ћи и о лицима која их спроводе.</w:t>
      </w:r>
    </w:p>
    <w:p w14:paraId="4B90C4AC" w14:textId="55012097" w:rsidR="002D3919" w:rsidRPr="00203E0A" w:rsidRDefault="00711E08" w:rsidP="002D3919">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w:t>
      </w:r>
      <w:r w:rsidR="00083804"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 xml:space="preserve">Закон о заштити </w:t>
      </w:r>
      <w:r w:rsidR="007B3A8C" w:rsidRPr="00203E0A">
        <w:rPr>
          <w:rFonts w:ascii="Times New Roman" w:hAnsi="Times New Roman" w:cs="Times New Roman"/>
          <w:sz w:val="24"/>
          <w:szCs w:val="24"/>
          <w:shd w:val="clear" w:color="auto" w:fill="FFFFFF"/>
        </w:rPr>
        <w:t>од пожара („Службени гласник РС”</w:t>
      </w:r>
      <w:r w:rsidR="00E55287" w:rsidRPr="00203E0A">
        <w:rPr>
          <w:rFonts w:ascii="Times New Roman" w:hAnsi="Times New Roman" w:cs="Times New Roman"/>
          <w:sz w:val="24"/>
          <w:szCs w:val="24"/>
          <w:shd w:val="clear" w:color="auto" w:fill="FFFFFF"/>
        </w:rPr>
        <w:t xml:space="preserve">, </w:t>
      </w:r>
      <w:r w:rsidR="00842F8A">
        <w:rPr>
          <w:rFonts w:ascii="Times New Roman" w:hAnsi="Times New Roman" w:cs="Times New Roman"/>
          <w:sz w:val="24"/>
          <w:szCs w:val="24"/>
          <w:shd w:val="clear" w:color="auto" w:fill="FFFFFF"/>
        </w:rPr>
        <w:t xml:space="preserve">бр. </w:t>
      </w:r>
      <w:r w:rsidR="00E55287" w:rsidRPr="00203E0A">
        <w:rPr>
          <w:rFonts w:ascii="Times New Roman" w:hAnsi="Times New Roman" w:cs="Times New Roman"/>
          <w:sz w:val="24"/>
          <w:szCs w:val="24"/>
          <w:shd w:val="clear" w:color="auto" w:fill="FFFFFF"/>
        </w:rPr>
        <w:t>111/09, 20/15,</w:t>
      </w:r>
      <w:r w:rsidR="0066697C" w:rsidRPr="00203E0A">
        <w:rPr>
          <w:rFonts w:ascii="Times New Roman" w:hAnsi="Times New Roman" w:cs="Times New Roman"/>
          <w:sz w:val="24"/>
          <w:szCs w:val="24"/>
          <w:shd w:val="clear" w:color="auto" w:fill="FFFFFF"/>
        </w:rPr>
        <w:t xml:space="preserve"> 87/18 и</w:t>
      </w:r>
      <w:r>
        <w:rPr>
          <w:rFonts w:ascii="Times New Roman" w:hAnsi="Times New Roman" w:cs="Times New Roman"/>
          <w:sz w:val="24"/>
          <w:szCs w:val="24"/>
          <w:shd w:val="clear" w:color="auto" w:fill="FFFFFF"/>
        </w:rPr>
        <w:t xml:space="preserve"> 87/18 </w:t>
      </w:r>
      <w:r w:rsidRPr="00203E0A">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др. закони)</w:t>
      </w:r>
      <w:r>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којим се</w:t>
      </w:r>
      <w:r>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између осталог</w:t>
      </w:r>
      <w:r>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уређују питања обук</w:t>
      </w:r>
      <w:r w:rsidR="009D036A" w:rsidRPr="00203E0A">
        <w:rPr>
          <w:rFonts w:ascii="Times New Roman" w:hAnsi="Times New Roman" w:cs="Times New Roman"/>
          <w:sz w:val="24"/>
          <w:szCs w:val="24"/>
          <w:shd w:val="clear" w:color="auto" w:fill="FFFFFF"/>
        </w:rPr>
        <w:t>а из области заштите од пожара.</w:t>
      </w:r>
    </w:p>
    <w:p w14:paraId="4D3D1A81" w14:textId="29878632" w:rsidR="00E55287" w:rsidRPr="00203E0A" w:rsidRDefault="00711E08" w:rsidP="002D3919">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10</w:t>
      </w:r>
      <w:r w:rsidR="00083804" w:rsidRPr="00203E0A">
        <w:rPr>
          <w:rFonts w:ascii="Times New Roman" w:hAnsi="Times New Roman" w:cs="Times New Roman"/>
          <w:sz w:val="24"/>
          <w:szCs w:val="24"/>
          <w:shd w:val="clear" w:color="auto" w:fill="FFFFFF"/>
        </w:rPr>
        <w:t xml:space="preserve">) </w:t>
      </w:r>
      <w:r w:rsidR="007B3A8C" w:rsidRPr="00203E0A">
        <w:rPr>
          <w:rFonts w:ascii="Times New Roman" w:hAnsi="Times New Roman" w:cs="Times New Roman"/>
          <w:sz w:val="24"/>
          <w:szCs w:val="24"/>
          <w:shd w:val="clear" w:color="auto" w:fill="FFFFFF"/>
        </w:rPr>
        <w:t>Закон о хемикалијама</w:t>
      </w:r>
      <w:r w:rsidR="00E55287" w:rsidRPr="00203E0A">
        <w:rPr>
          <w:rFonts w:ascii="Times New Roman" w:hAnsi="Times New Roman" w:cs="Times New Roman"/>
          <w:sz w:val="24"/>
          <w:szCs w:val="24"/>
          <w:shd w:val="clear" w:color="auto" w:fill="FFFFFF"/>
        </w:rPr>
        <w:t xml:space="preserve"> („Службени гласник РС</w:t>
      </w:r>
      <w:r w:rsidR="007B3A8C" w:rsidRPr="00203E0A">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бр. 36/09, 88/10, 92/11, 93/12, 25/15)</w:t>
      </w:r>
      <w:r>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којим се уређују питања интегрисаног управљања хемикалијама, класификација, паковање и обележавање хемикалија и друга питања.</w:t>
      </w:r>
    </w:p>
    <w:p w14:paraId="40309323" w14:textId="02F36654" w:rsidR="00E55287" w:rsidRPr="00203E0A" w:rsidRDefault="00711E08"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w:t>
      </w:r>
      <w:r w:rsidR="00083804" w:rsidRPr="00203E0A">
        <w:rPr>
          <w:rFonts w:ascii="Times New Roman" w:hAnsi="Times New Roman" w:cs="Times New Roman"/>
          <w:sz w:val="24"/>
          <w:szCs w:val="24"/>
          <w:shd w:val="clear" w:color="auto" w:fill="FFFFFF"/>
        </w:rPr>
        <w:t xml:space="preserve">) </w:t>
      </w:r>
      <w:r w:rsidR="00E55287" w:rsidRPr="00203E0A">
        <w:rPr>
          <w:rFonts w:ascii="Times New Roman" w:hAnsi="Times New Roman" w:cs="Times New Roman"/>
          <w:sz w:val="24"/>
          <w:szCs w:val="24"/>
          <w:shd w:val="clear" w:color="auto" w:fill="FFFFFF"/>
        </w:rPr>
        <w:t>Законом о планирању и</w:t>
      </w:r>
      <w:r w:rsidR="007B3A8C" w:rsidRPr="00203E0A">
        <w:rPr>
          <w:rFonts w:ascii="Times New Roman" w:hAnsi="Times New Roman" w:cs="Times New Roman"/>
          <w:sz w:val="24"/>
          <w:szCs w:val="24"/>
          <w:shd w:val="clear" w:color="auto" w:fill="FFFFFF"/>
        </w:rPr>
        <w:t xml:space="preserve"> изградњи („Службени гласник РС”</w:t>
      </w:r>
      <w:r w:rsidR="00E55287" w:rsidRPr="00203E0A">
        <w:rPr>
          <w:rFonts w:ascii="Times New Roman" w:hAnsi="Times New Roman" w:cs="Times New Roman"/>
          <w:sz w:val="24"/>
          <w:szCs w:val="24"/>
          <w:shd w:val="clear" w:color="auto" w:fill="FFFFFF"/>
        </w:rPr>
        <w:t>, б</w:t>
      </w:r>
      <w:r>
        <w:rPr>
          <w:rFonts w:ascii="Times New Roman" w:hAnsi="Times New Roman" w:cs="Times New Roman"/>
          <w:sz w:val="24"/>
          <w:szCs w:val="24"/>
          <w:shd w:val="clear" w:color="auto" w:fill="FFFFFF"/>
        </w:rPr>
        <w:t xml:space="preserve">р. 72/09, 81/09 - испр., 64/10 </w:t>
      </w:r>
      <w:r w:rsidRPr="00203E0A">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У</w:t>
      </w:r>
      <w:r>
        <w:rPr>
          <w:rFonts w:ascii="Times New Roman" w:hAnsi="Times New Roman" w:cs="Times New Roman"/>
          <w:sz w:val="24"/>
          <w:szCs w:val="24"/>
          <w:shd w:val="clear" w:color="auto" w:fill="FFFFFF"/>
        </w:rPr>
        <w:t xml:space="preserve">С, 24/11, 121/12, 42/13 </w:t>
      </w:r>
      <w:r w:rsidRPr="00203E0A">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УС, 50/13 </w:t>
      </w:r>
      <w:r w:rsidRPr="00203E0A">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УС, 98/13 </w:t>
      </w:r>
      <w:r w:rsidRPr="00203E0A">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УС, 132/1</w:t>
      </w:r>
      <w:r>
        <w:rPr>
          <w:rFonts w:ascii="Times New Roman" w:hAnsi="Times New Roman" w:cs="Times New Roman"/>
          <w:sz w:val="24"/>
          <w:szCs w:val="24"/>
          <w:shd w:val="clear" w:color="auto" w:fill="FFFFFF"/>
        </w:rPr>
        <w:t xml:space="preserve">4, 145/14, 83/18, 31/19, 37/19 </w:t>
      </w:r>
      <w:r w:rsidRPr="00203E0A">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др. закон, 9/20, 52/21 и 62/23)</w:t>
      </w:r>
      <w:r>
        <w:rPr>
          <w:rFonts w:ascii="Times New Roman" w:hAnsi="Times New Roman" w:cs="Times New Roman"/>
          <w:sz w:val="24"/>
          <w:szCs w:val="24"/>
          <w:shd w:val="clear" w:color="auto" w:fill="FFFFFF"/>
        </w:rPr>
        <w:t>,</w:t>
      </w:r>
      <w:r w:rsidR="00E55287" w:rsidRPr="00203E0A">
        <w:rPr>
          <w:rFonts w:ascii="Times New Roman" w:hAnsi="Times New Roman" w:cs="Times New Roman"/>
          <w:sz w:val="24"/>
          <w:szCs w:val="24"/>
          <w:shd w:val="clear" w:color="auto" w:fill="FFFFFF"/>
        </w:rPr>
        <w:t xml:space="preserve"> уређују се услови и начин уређења простора, начин и услови изградње објеката и друга питања од значаја за планирање простора и изградњу објеката. Овај закон је веома важан са аспекта безбедности  и здравља на раду и усаглашености са прописима из ове области, посебно имајући у виду да су у Закон пренете Директиве Савета 89/391/ЕЕЗ од 12. јуна 1989. године о увођењу мера за подстицање побољшања безбедности и здравља запослених на раду и Директива Европског парламента и Савета 92/57/ЕЕЗ од 24. јуна 1992. године о минималним захтевима за БЗР на привреме</w:t>
      </w:r>
      <w:r w:rsidR="009D036A" w:rsidRPr="00203E0A">
        <w:rPr>
          <w:rFonts w:ascii="Times New Roman" w:hAnsi="Times New Roman" w:cs="Times New Roman"/>
          <w:sz w:val="24"/>
          <w:szCs w:val="24"/>
          <w:shd w:val="clear" w:color="auto" w:fill="FFFFFF"/>
        </w:rPr>
        <w:t>ним или покретним градилиштима.</w:t>
      </w:r>
    </w:p>
    <w:p w14:paraId="3C441C77" w14:textId="386CD78B" w:rsidR="00711E08" w:rsidRDefault="00711E08" w:rsidP="009D036A">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w:t>
      </w:r>
      <w:r w:rsidR="00083804" w:rsidRPr="00203E0A">
        <w:rPr>
          <w:rFonts w:ascii="Times New Roman" w:hAnsi="Times New Roman" w:cs="Times New Roman"/>
          <w:sz w:val="24"/>
          <w:szCs w:val="24"/>
          <w:shd w:val="clear" w:color="auto" w:fill="FFFFFF"/>
        </w:rPr>
        <w:t xml:space="preserve">) </w:t>
      </w:r>
      <w:r w:rsidR="008A7CCC" w:rsidRPr="00203E0A">
        <w:rPr>
          <w:rFonts w:ascii="Times New Roman" w:hAnsi="Times New Roman" w:cs="Times New Roman"/>
          <w:sz w:val="24"/>
          <w:szCs w:val="24"/>
          <w:shd w:val="clear" w:color="auto" w:fill="FFFFFF"/>
        </w:rPr>
        <w:t>Законом о дуалном образовању („Службени гласник РС”</w:t>
      </w:r>
      <w:r w:rsidR="00E55287" w:rsidRPr="00203E0A">
        <w:rPr>
          <w:rFonts w:ascii="Times New Roman" w:hAnsi="Times New Roman" w:cs="Times New Roman"/>
          <w:sz w:val="24"/>
          <w:szCs w:val="24"/>
          <w:shd w:val="clear" w:color="auto" w:fill="FFFFFF"/>
        </w:rPr>
        <w:t>, бр. 101/17, 6</w:t>
      </w:r>
      <w:r w:rsidR="00E55287" w:rsidRPr="003C6E11">
        <w:rPr>
          <w:rFonts w:ascii="Times New Roman" w:hAnsi="Times New Roman" w:cs="Times New Roman"/>
          <w:sz w:val="24"/>
          <w:szCs w:val="24"/>
          <w:shd w:val="clear" w:color="auto" w:fill="FFFFFF"/>
        </w:rPr>
        <w:t>/20</w:t>
      </w:r>
      <w:r w:rsidR="00916186" w:rsidRPr="003C6E11">
        <w:rPr>
          <w:rFonts w:ascii="Times New Roman" w:hAnsi="Times New Roman" w:cs="Times New Roman"/>
          <w:sz w:val="24"/>
          <w:szCs w:val="24"/>
          <w:shd w:val="clear" w:color="auto" w:fill="FFFFFF"/>
        </w:rPr>
        <w:t xml:space="preserve"> и 76/23</w:t>
      </w:r>
      <w:r w:rsidR="00E55287" w:rsidRPr="003C6E1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којим се уређују </w:t>
      </w:r>
      <w:r w:rsidR="00E55287" w:rsidRPr="00203E0A">
        <w:rPr>
          <w:rFonts w:ascii="Times New Roman" w:hAnsi="Times New Roman" w:cs="Times New Roman"/>
          <w:sz w:val="24"/>
          <w:szCs w:val="24"/>
          <w:shd w:val="clear" w:color="auto" w:fill="FFFFFF"/>
        </w:rPr>
        <w:t xml:space="preserve">садржај и начин остваривања дуалног образовања, узајамна права и обавезе ученика, родитеља, односно других законских заступника ученика, школе и послодавца, материјално и финансијско обезбеђење ученика, као и друга питања од значаја </w:t>
      </w:r>
      <w:r>
        <w:rPr>
          <w:rFonts w:ascii="Times New Roman" w:hAnsi="Times New Roman" w:cs="Times New Roman"/>
          <w:sz w:val="24"/>
          <w:szCs w:val="24"/>
          <w:shd w:val="clear" w:color="auto" w:fill="FFFFFF"/>
        </w:rPr>
        <w:t>за дуално образовање. Одредбе т</w:t>
      </w:r>
      <w:r w:rsidR="00E55287" w:rsidRPr="00203E0A">
        <w:rPr>
          <w:rFonts w:ascii="Times New Roman" w:hAnsi="Times New Roman" w:cs="Times New Roman"/>
          <w:sz w:val="24"/>
          <w:szCs w:val="24"/>
          <w:shd w:val="clear" w:color="auto" w:fill="FFFFFF"/>
        </w:rPr>
        <w:t>ог закона примењују се на део средњег стручног образовања и васпитања за образовне профиле у трајању од три, односно четири године и мајсторско и специјалистичко образовање, као и образовање за рад у трајању од дв</w:t>
      </w:r>
      <w:r w:rsidR="009D036A" w:rsidRPr="00203E0A">
        <w:rPr>
          <w:rFonts w:ascii="Times New Roman" w:hAnsi="Times New Roman" w:cs="Times New Roman"/>
          <w:sz w:val="24"/>
          <w:szCs w:val="24"/>
          <w:shd w:val="clear" w:color="auto" w:fill="FFFFFF"/>
        </w:rPr>
        <w:t>е године, у складу са законом.</w:t>
      </w:r>
    </w:p>
    <w:p w14:paraId="104E17FE" w14:textId="441464B4" w:rsidR="00E55287" w:rsidRPr="00203E0A" w:rsidRDefault="00711E08" w:rsidP="00711E08">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13</w:t>
      </w:r>
      <w:r w:rsidRPr="003C6E11">
        <w:rPr>
          <w:rFonts w:ascii="Times New Roman" w:hAnsi="Times New Roman" w:cs="Times New Roman"/>
          <w:sz w:val="24"/>
          <w:szCs w:val="24"/>
          <w:shd w:val="clear" w:color="auto" w:fill="FFFFFF"/>
        </w:rPr>
        <w:t>) Уредба о утврђивању опасног рада за децу („Службени гласник РС”, број 53/17).</w:t>
      </w:r>
      <w:r w:rsidR="009D036A" w:rsidRPr="00203E0A">
        <w:rPr>
          <w:rFonts w:ascii="Times New Roman" w:hAnsi="Times New Roman" w:cs="Times New Roman"/>
          <w:sz w:val="24"/>
          <w:szCs w:val="24"/>
          <w:shd w:val="clear" w:color="auto" w:fill="FFFFFF"/>
        </w:rPr>
        <w:t xml:space="preserve"> </w:t>
      </w:r>
    </w:p>
    <w:p w14:paraId="3F981E2B" w14:textId="1887C7AD" w:rsidR="005A301F" w:rsidRDefault="00711E08" w:rsidP="005A301F">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14</w:t>
      </w:r>
      <w:r w:rsidR="005A301F" w:rsidRPr="00203E0A">
        <w:rPr>
          <w:rFonts w:ascii="Times New Roman" w:hAnsi="Times New Roman" w:cs="Times New Roman"/>
          <w:sz w:val="24"/>
          <w:szCs w:val="24"/>
          <w:shd w:val="clear" w:color="auto" w:fill="FFFFFF"/>
        </w:rPr>
        <w:t>) Правилник о утврђивању професионалних болести (,,Службени гласник РС” број 14/19)</w:t>
      </w:r>
      <w:r>
        <w:rPr>
          <w:rFonts w:ascii="Times New Roman" w:hAnsi="Times New Roman" w:cs="Times New Roman"/>
          <w:sz w:val="24"/>
          <w:szCs w:val="24"/>
          <w:shd w:val="clear" w:color="auto" w:fill="FFFFFF"/>
        </w:rPr>
        <w:t>, којим се</w:t>
      </w:r>
      <w:r w:rsidR="005A301F" w:rsidRPr="00203E0A">
        <w:rPr>
          <w:rFonts w:ascii="Times New Roman" w:hAnsi="Times New Roman" w:cs="Times New Roman"/>
          <w:sz w:val="24"/>
          <w:szCs w:val="24"/>
          <w:shd w:val="clear" w:color="auto" w:fill="FFFFFF"/>
        </w:rPr>
        <w:t xml:space="preserve"> утврђуј</w:t>
      </w:r>
      <w:r>
        <w:rPr>
          <w:rFonts w:ascii="Times New Roman" w:hAnsi="Times New Roman" w:cs="Times New Roman"/>
          <w:sz w:val="24"/>
          <w:szCs w:val="24"/>
          <w:shd w:val="clear" w:color="auto" w:fill="FFFFFF"/>
        </w:rPr>
        <w:t>е листа</w:t>
      </w:r>
      <w:r w:rsidR="005A301F" w:rsidRPr="00203E0A">
        <w:rPr>
          <w:rFonts w:ascii="Times New Roman" w:hAnsi="Times New Roman" w:cs="Times New Roman"/>
          <w:sz w:val="24"/>
          <w:szCs w:val="24"/>
          <w:shd w:val="clear" w:color="auto" w:fill="FFFFFF"/>
        </w:rPr>
        <w:t xml:space="preserve"> професионалних болести.</w:t>
      </w:r>
    </w:p>
    <w:p w14:paraId="072B1976" w14:textId="3EB983F0" w:rsidR="005A301F" w:rsidRDefault="00711E08" w:rsidP="005A301F">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15</w:t>
      </w:r>
      <w:r w:rsidR="005A301F" w:rsidRPr="00203E0A">
        <w:rPr>
          <w:rFonts w:ascii="Times New Roman" w:hAnsi="Times New Roman" w:cs="Times New Roman"/>
          <w:sz w:val="24"/>
          <w:szCs w:val="24"/>
          <w:shd w:val="clear" w:color="auto" w:fill="FFFFFF"/>
        </w:rPr>
        <w:t>) Правилник о безбедности машина („Службени гласник РС”, бр. 58/16 и 21/20)</w:t>
      </w:r>
      <w:r>
        <w:rPr>
          <w:rFonts w:ascii="Times New Roman" w:hAnsi="Times New Roman" w:cs="Times New Roman"/>
          <w:sz w:val="24"/>
          <w:szCs w:val="24"/>
          <w:shd w:val="clear" w:color="auto" w:fill="FFFFFF"/>
        </w:rPr>
        <w:t>,</w:t>
      </w:r>
      <w:r w:rsidR="005A301F" w:rsidRPr="00203E0A">
        <w:rPr>
          <w:rFonts w:ascii="Times New Roman" w:hAnsi="Times New Roman" w:cs="Times New Roman"/>
          <w:sz w:val="24"/>
          <w:szCs w:val="24"/>
          <w:shd w:val="clear" w:color="auto" w:fill="FFFFFF"/>
        </w:rPr>
        <w:t xml:space="preserve"> који уређује битниe захтеве за заштиту здравља и безбедности који се односе на пројектовање и израду машина, као и друге захтеве и услове који морају бити испуњени за њихово стављање на тржиште и/или употребу.</w:t>
      </w:r>
    </w:p>
    <w:p w14:paraId="4328A0D6" w14:textId="025B7910" w:rsidR="005A301F" w:rsidRPr="00203E0A" w:rsidRDefault="00711E08" w:rsidP="005A301F">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16</w:t>
      </w:r>
      <w:r w:rsidR="005A301F" w:rsidRPr="00203E0A">
        <w:rPr>
          <w:rFonts w:ascii="Times New Roman" w:hAnsi="Times New Roman" w:cs="Times New Roman"/>
          <w:sz w:val="24"/>
          <w:szCs w:val="24"/>
          <w:shd w:val="clear" w:color="auto" w:fill="FFFFFF"/>
        </w:rPr>
        <w:t>) Правилник о превентивним мерама за безбедан и здрав рад младих („Службени гласник РС”, број 102/16)</w:t>
      </w:r>
      <w:r>
        <w:rPr>
          <w:rFonts w:ascii="Times New Roman" w:hAnsi="Times New Roman" w:cs="Times New Roman"/>
          <w:sz w:val="24"/>
          <w:szCs w:val="24"/>
          <w:shd w:val="clear" w:color="auto" w:fill="FFFFFF"/>
        </w:rPr>
        <w:t>,</w:t>
      </w:r>
      <w:r w:rsidR="005A301F" w:rsidRPr="00203E0A">
        <w:rPr>
          <w:rFonts w:ascii="Times New Roman" w:hAnsi="Times New Roman" w:cs="Times New Roman"/>
          <w:sz w:val="24"/>
          <w:szCs w:val="24"/>
          <w:shd w:val="clear" w:color="auto" w:fill="FFFFFF"/>
        </w:rPr>
        <w:t xml:space="preserve"> којим се прописују захтеви које је послодавац дужан да испуни у обезбеђивању примене превентивних мера са циљем отклањања или свођења на најмању могућу меру ризика од настанка оштећења здравља младих на раду, а нарочито у вези са њиховим духовним и телесним развојем.</w:t>
      </w:r>
    </w:p>
    <w:p w14:paraId="08AF0AB0" w14:textId="4B036B18" w:rsidR="005A301F" w:rsidRDefault="00711E08" w:rsidP="005A301F">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17</w:t>
      </w:r>
      <w:r w:rsidR="005A301F" w:rsidRPr="00203E0A">
        <w:rPr>
          <w:rFonts w:ascii="Times New Roman" w:hAnsi="Times New Roman" w:cs="Times New Roman"/>
          <w:sz w:val="24"/>
          <w:szCs w:val="24"/>
          <w:shd w:val="clear" w:color="auto" w:fill="FFFFFF"/>
        </w:rPr>
        <w:t>) Правилник о мерама за безбедан и здрав рад запослене жене за време трудноће, породиље и запослене која доји дете („Службени гласник РС”, број 102/16)</w:t>
      </w:r>
      <w:r>
        <w:rPr>
          <w:rFonts w:ascii="Times New Roman" w:hAnsi="Times New Roman" w:cs="Times New Roman"/>
          <w:sz w:val="24"/>
          <w:szCs w:val="24"/>
          <w:shd w:val="clear" w:color="auto" w:fill="FFFFFF"/>
        </w:rPr>
        <w:t>,</w:t>
      </w:r>
      <w:r w:rsidR="005A301F" w:rsidRPr="00203E0A">
        <w:rPr>
          <w:rFonts w:ascii="Times New Roman" w:hAnsi="Times New Roman" w:cs="Times New Roman"/>
          <w:sz w:val="24"/>
          <w:szCs w:val="24"/>
          <w:shd w:val="clear" w:color="auto" w:fill="FFFFFF"/>
        </w:rPr>
        <w:t xml:space="preserve"> којим се прописују захтеви које је послодавац дужан да испуни у обезбеђивању примене мера за безбедан и здрав рад са циљем спречавања, отклањања и смањења на најмању могућу меру ризика по безбедност и здравље запослене жене за време трудноће, породиље и запослене која доји дете.</w:t>
      </w:r>
    </w:p>
    <w:p w14:paraId="392B0473" w14:textId="77777777" w:rsidR="005A301F" w:rsidRPr="00203E0A" w:rsidRDefault="005A301F" w:rsidP="005A301F">
      <w:pPr>
        <w:ind w:firstLine="720"/>
        <w:jc w:val="both"/>
        <w:rPr>
          <w:rFonts w:ascii="Times New Roman" w:hAnsi="Times New Roman" w:cs="Times New Roman"/>
          <w:sz w:val="24"/>
          <w:szCs w:val="24"/>
          <w:shd w:val="clear" w:color="auto" w:fill="FFFFFF"/>
        </w:rPr>
      </w:pPr>
    </w:p>
    <w:p w14:paraId="65D3F83F" w14:textId="11CB285B" w:rsidR="005A301F" w:rsidRPr="00203E0A" w:rsidRDefault="005A301F" w:rsidP="00F94D06">
      <w:pPr>
        <w:jc w:val="both"/>
        <w:rPr>
          <w:rFonts w:ascii="Times New Roman" w:hAnsi="Times New Roman" w:cs="Times New Roman"/>
          <w:sz w:val="24"/>
          <w:szCs w:val="24"/>
          <w:shd w:val="clear" w:color="auto" w:fill="FFFFFF"/>
        </w:rPr>
      </w:pPr>
    </w:p>
    <w:p w14:paraId="7F1E71E8" w14:textId="4154DD24" w:rsidR="00D157C3" w:rsidRPr="00203E0A" w:rsidRDefault="00D157C3"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lastRenderedPageBreak/>
        <w:t>2</w:t>
      </w:r>
      <w:r w:rsidR="00E87BBA" w:rsidRPr="00203E0A">
        <w:rPr>
          <w:rFonts w:ascii="Times New Roman" w:hAnsi="Times New Roman" w:cs="Times New Roman"/>
          <w:b/>
          <w:bCs/>
          <w:sz w:val="24"/>
          <w:szCs w:val="24"/>
          <w:shd w:val="clear" w:color="auto" w:fill="FFFFFF"/>
        </w:rPr>
        <w:t>.3. Међународни оквир</w:t>
      </w:r>
    </w:p>
    <w:p w14:paraId="1CD8EDFC" w14:textId="77777777"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Правни оквир за безбедност и здравље на раду у Републици Србији заснован је на међународним стандардима (правном оквиру ЕУ и конвенцијама МОР) који су установљени на примени принципа превенције од повреда на раду, обољења или оштећења здравља запосленог који се спроводе пре почетка рада на радном месту и у радној околини. </w:t>
      </w:r>
    </w:p>
    <w:p w14:paraId="0DD3C326" w14:textId="2444ADD9" w:rsidR="006F4E9F" w:rsidRDefault="00E87BBA" w:rsidP="00600F1C">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Кључни оквир ЕУ представља Директива Савета 89/391/ЕЕЗ од 12. јуна 1989. године, о увођењу мера за подстицање побољшања безбедности и здравља радника на раду, као и остале посебне директи</w:t>
      </w:r>
      <w:r w:rsidR="006F4E9F">
        <w:rPr>
          <w:rFonts w:ascii="Times New Roman" w:hAnsi="Times New Roman" w:cs="Times New Roman"/>
          <w:sz w:val="24"/>
          <w:szCs w:val="24"/>
          <w:shd w:val="clear" w:color="auto" w:fill="FFFFFF"/>
        </w:rPr>
        <w:t>ве донете по основу члана 16. те директиве. Поред т</w:t>
      </w:r>
      <w:r w:rsidRPr="00203E0A">
        <w:rPr>
          <w:rFonts w:ascii="Times New Roman" w:hAnsi="Times New Roman" w:cs="Times New Roman"/>
          <w:sz w:val="24"/>
          <w:szCs w:val="24"/>
          <w:shd w:val="clear" w:color="auto" w:fill="FFFFFF"/>
        </w:rPr>
        <w:t>е директиве појединачне директиве уређују специфична питања у области б</w:t>
      </w:r>
      <w:r w:rsidR="006F4E9F">
        <w:rPr>
          <w:rFonts w:ascii="Times New Roman" w:hAnsi="Times New Roman" w:cs="Times New Roman"/>
          <w:sz w:val="24"/>
          <w:szCs w:val="24"/>
          <w:shd w:val="clear" w:color="auto" w:fill="FFFFFF"/>
        </w:rPr>
        <w:t>езбедности и здравља на раду. Т</w:t>
      </w:r>
      <w:r w:rsidRPr="00203E0A">
        <w:rPr>
          <w:rFonts w:ascii="Times New Roman" w:hAnsi="Times New Roman" w:cs="Times New Roman"/>
          <w:sz w:val="24"/>
          <w:szCs w:val="24"/>
          <w:shd w:val="clear" w:color="auto" w:fill="FFFFFF"/>
        </w:rPr>
        <w:t xml:space="preserve">е директиве прилагођавају принципе оквирне директиве на пример за специфичне задатке (нпр. ручно руковање теретом), специфичне опасности (нпр. излагање опасним супстанцама или физичким агенсима), специфична радна места и секторе (нпр. привремена радна места, индустрија рударства), специфичне групе запослених (нпр. труднице, млади радници, радници са уговором о раду на одређено време) и одређене аспекте у вези са послова (нпр. </w:t>
      </w:r>
      <w:r w:rsidR="006F4E9F">
        <w:rPr>
          <w:rFonts w:ascii="Times New Roman" w:hAnsi="Times New Roman" w:cs="Times New Roman"/>
          <w:sz w:val="24"/>
          <w:szCs w:val="24"/>
          <w:shd w:val="clear" w:color="auto" w:fill="FFFFFF"/>
        </w:rPr>
        <w:t>организација радног времена). Наведене</w:t>
      </w:r>
      <w:r w:rsidRPr="00203E0A">
        <w:rPr>
          <w:rFonts w:ascii="Times New Roman" w:hAnsi="Times New Roman" w:cs="Times New Roman"/>
          <w:sz w:val="24"/>
          <w:szCs w:val="24"/>
          <w:shd w:val="clear" w:color="auto" w:fill="FFFFFF"/>
        </w:rPr>
        <w:t xml:space="preserve"> директиве такође су транспоноване у домаће законодавство.</w:t>
      </w:r>
      <w:r w:rsidR="00F23AE1">
        <w:rPr>
          <w:rFonts w:ascii="Times New Roman" w:hAnsi="Times New Roman" w:cs="Times New Roman"/>
          <w:sz w:val="24"/>
          <w:szCs w:val="24"/>
          <w:shd w:val="clear" w:color="auto" w:fill="FFFFFF"/>
        </w:rPr>
        <w:t xml:space="preserve"> </w:t>
      </w:r>
      <w:r w:rsidRPr="00203E0A">
        <w:rPr>
          <w:rFonts w:ascii="Times New Roman" w:hAnsi="Times New Roman" w:cs="Times New Roman"/>
          <w:sz w:val="24"/>
          <w:szCs w:val="24"/>
          <w:shd w:val="clear" w:color="auto" w:fill="FFFFFF"/>
        </w:rPr>
        <w:t>Ипак, оквирна директива наставља да се примењује на све области обухваћене појединачним директивама. Тамо где појединачне директиве садрже строжије и специфичније одредб</w:t>
      </w:r>
      <w:r w:rsidR="006F4E9F">
        <w:rPr>
          <w:rFonts w:ascii="Times New Roman" w:hAnsi="Times New Roman" w:cs="Times New Roman"/>
          <w:sz w:val="24"/>
          <w:szCs w:val="24"/>
          <w:shd w:val="clear" w:color="auto" w:fill="FFFFFF"/>
        </w:rPr>
        <w:t>е, те посебне одредбе им</w:t>
      </w:r>
      <w:r w:rsidRPr="00203E0A">
        <w:rPr>
          <w:rFonts w:ascii="Times New Roman" w:hAnsi="Times New Roman" w:cs="Times New Roman"/>
          <w:sz w:val="24"/>
          <w:szCs w:val="24"/>
          <w:shd w:val="clear" w:color="auto" w:fill="FFFFFF"/>
        </w:rPr>
        <w:t>ају</w:t>
      </w:r>
      <w:r w:rsidR="006F4E9F">
        <w:rPr>
          <w:rFonts w:ascii="Times New Roman" w:hAnsi="Times New Roman" w:cs="Times New Roman"/>
          <w:sz w:val="24"/>
          <w:szCs w:val="24"/>
          <w:shd w:val="clear" w:color="auto" w:fill="FFFFFF"/>
        </w:rPr>
        <w:t xml:space="preserve"> предност у примени</w:t>
      </w:r>
      <w:r w:rsidRPr="00203E0A">
        <w:rPr>
          <w:rFonts w:ascii="Times New Roman" w:hAnsi="Times New Roman" w:cs="Times New Roman"/>
          <w:sz w:val="24"/>
          <w:szCs w:val="24"/>
          <w:shd w:val="clear" w:color="auto" w:fill="FFFFFF"/>
        </w:rPr>
        <w:t xml:space="preserve">. </w:t>
      </w:r>
    </w:p>
    <w:p w14:paraId="393BBF3D" w14:textId="22436058" w:rsidR="00600F1C" w:rsidRPr="00203E0A" w:rsidRDefault="00600F1C" w:rsidP="00600F1C">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Aктивности усаглашавања и транспоновања неопходно je наставити с обзиром да већ донети прописи нису у потпуности усаглашени са директивама, као и због чињенице да ЕУ мења директиве које је донела, а истовремено доноси нове због увођења нових технологија и процеса рада.</w:t>
      </w:r>
    </w:p>
    <w:p w14:paraId="1E79BEB7" w14:textId="77777777" w:rsidR="006F4E9F"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Други кључни акти ЕУ обухватају Европску социјалну повељу и Смернице за процену ризика  из 1996. године. </w:t>
      </w:r>
    </w:p>
    <w:p w14:paraId="3EC1EB35" w14:textId="6BE3D546" w:rsidR="00E0293E"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Коначно, Европска комисија је усвојила Стратешки оквир за здравље и безбедност за период 2021-2027 којим се утврђују кључни приоритети и активности за унапређење здравља и безбедности радника. Стратешки оквир фокусиран је на: </w:t>
      </w:r>
    </w:p>
    <w:p w14:paraId="74D04719" w14:textId="7831708E" w:rsidR="00E0293E"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1) предвиђање и управљање променама у контексту зелене, дигиталне и демографске транзиције; </w:t>
      </w:r>
    </w:p>
    <w:p w14:paraId="1686A4CF" w14:textId="7ADEF8D1" w:rsidR="00E0293E"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2) бољу превенцију повреда на раду и професионалних болести те смањење повреда са смртним </w:t>
      </w:r>
      <w:r w:rsidR="006F4E9F">
        <w:rPr>
          <w:rFonts w:ascii="Times New Roman" w:hAnsi="Times New Roman" w:cs="Times New Roman"/>
          <w:sz w:val="24"/>
          <w:szCs w:val="24"/>
          <w:shd w:val="clear" w:color="auto" w:fill="FFFFFF"/>
        </w:rPr>
        <w:t>исходом на нулу (Vision Zero);</w:t>
      </w:r>
      <w:r w:rsidRPr="00203E0A">
        <w:rPr>
          <w:rFonts w:ascii="Times New Roman" w:hAnsi="Times New Roman" w:cs="Times New Roman"/>
          <w:sz w:val="24"/>
          <w:szCs w:val="24"/>
          <w:shd w:val="clear" w:color="auto" w:fill="FFFFFF"/>
        </w:rPr>
        <w:t xml:space="preserve"> </w:t>
      </w:r>
    </w:p>
    <w:p w14:paraId="1EFE1250" w14:textId="225B6F53"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3) повећање спремности за одговор на здравствене кризе.</w:t>
      </w:r>
    </w:p>
    <w:p w14:paraId="544C82C6" w14:textId="77777777" w:rsidR="006F4E9F"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Међународна организације рада (MOР) је примарни субјект у креирању међународног радног законодавства. Међународни стандарди рада доносе се у форми конвенција или препорука и регулишу основна права запослених попут слободе удруживања, права организовања, колективног преговарања, укидања принудног рада, једнакости у пружању шанси и третмана, као и других стандарда који регулишу услове који се односе на читав спектар питања из области радног права. Република Србија је чланица МОР-а од њеног оснивања 1919. године. Међународне конвенције које доноси МОР у области безбедности и здравља на раду представљају најважнија законодавна </w:t>
      </w:r>
      <w:r w:rsidRPr="00203E0A">
        <w:rPr>
          <w:rFonts w:ascii="Times New Roman" w:hAnsi="Times New Roman" w:cs="Times New Roman"/>
          <w:sz w:val="24"/>
          <w:szCs w:val="24"/>
          <w:shd w:val="clear" w:color="auto" w:fill="FFFFFF"/>
        </w:rPr>
        <w:lastRenderedPageBreak/>
        <w:t xml:space="preserve">акта о овој материји. У њима су прописани најзначајнији стандарди, пре свега за подручје технике, здравства и права који су у непосредној вези са безбедношћу и здрављем на раду. Република Србија је до данас у области безбедности и здравља на раду ратификовала, односно потврдила велики број конвенција МОР-а у виду закона чије су норме директно имплементиране у национално законодавство из области безбедности и здравља на раду, и као такве се непосредно примењују. </w:t>
      </w:r>
    </w:p>
    <w:p w14:paraId="14114E53" w14:textId="68425890"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Кључне Конвенције из области безбедности и здравља на раду су: </w:t>
      </w:r>
    </w:p>
    <w:p w14:paraId="76F66FA9" w14:textId="19BE2534"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1) Конвенција Међународне организације рада број 155 о заштити на раду, здравственој заштити и радној средини, усвојена 22. јуна 1981. </w:t>
      </w:r>
      <w:r w:rsidR="00500A55" w:rsidRPr="00203E0A">
        <w:rPr>
          <w:rFonts w:ascii="Times New Roman" w:hAnsi="Times New Roman" w:cs="Times New Roman"/>
          <w:sz w:val="24"/>
          <w:szCs w:val="24"/>
          <w:shd w:val="clear" w:color="auto" w:fill="FFFFFF"/>
        </w:rPr>
        <w:t>г</w:t>
      </w:r>
      <w:r w:rsidR="000B4435" w:rsidRPr="00203E0A">
        <w:rPr>
          <w:rFonts w:ascii="Times New Roman" w:hAnsi="Times New Roman" w:cs="Times New Roman"/>
          <w:sz w:val="24"/>
          <w:szCs w:val="24"/>
          <w:shd w:val="clear" w:color="auto" w:fill="FFFFFF"/>
        </w:rPr>
        <w:t>одине</w:t>
      </w:r>
      <w:r w:rsidR="00500A55" w:rsidRPr="00203E0A">
        <w:rPr>
          <w:rFonts w:ascii="Times New Roman" w:hAnsi="Times New Roman" w:cs="Times New Roman"/>
          <w:sz w:val="24"/>
          <w:szCs w:val="24"/>
          <w:shd w:val="clear" w:color="auto" w:fill="FFFFFF"/>
        </w:rPr>
        <w:t xml:space="preserve"> (основна конвенција);</w:t>
      </w:r>
    </w:p>
    <w:p w14:paraId="6726985C" w14:textId="3FE5CC2F"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2) Конвенција Међународне организације рада број 167 о безбедности и здрављу у грађевинарству, усвојена 20. јуна 1988. </w:t>
      </w:r>
      <w:r w:rsidR="00500A55" w:rsidRPr="00203E0A">
        <w:rPr>
          <w:rFonts w:ascii="Times New Roman" w:hAnsi="Times New Roman" w:cs="Times New Roman"/>
          <w:sz w:val="24"/>
          <w:szCs w:val="24"/>
          <w:shd w:val="clear" w:color="auto" w:fill="FFFFFF"/>
        </w:rPr>
        <w:t>године;</w:t>
      </w:r>
      <w:r w:rsidRPr="00203E0A">
        <w:rPr>
          <w:rFonts w:ascii="Times New Roman" w:hAnsi="Times New Roman" w:cs="Times New Roman"/>
          <w:sz w:val="24"/>
          <w:szCs w:val="24"/>
          <w:shd w:val="clear" w:color="auto" w:fill="FFFFFF"/>
        </w:rPr>
        <w:t xml:space="preserve"> </w:t>
      </w:r>
    </w:p>
    <w:p w14:paraId="4EAFE5E6" w14:textId="0E3AE33B"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3) Конвенција Међународне организације рада број 184 безбедност и здравље у пољопривреди, усвојена 21. јуна 2001. </w:t>
      </w:r>
      <w:r w:rsidR="00500A55" w:rsidRPr="00203E0A">
        <w:rPr>
          <w:rFonts w:ascii="Times New Roman" w:hAnsi="Times New Roman" w:cs="Times New Roman"/>
          <w:sz w:val="24"/>
          <w:szCs w:val="24"/>
          <w:shd w:val="clear" w:color="auto" w:fill="FFFFFF"/>
        </w:rPr>
        <w:t>године;</w:t>
      </w:r>
    </w:p>
    <w:p w14:paraId="4D1398A6" w14:textId="54FE38A6" w:rsidR="00E87BBA" w:rsidRPr="00203E0A" w:rsidRDefault="00E87BBA" w:rsidP="00E87BB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4) Конвенција Међународне организације рада број 187 о промотивном оквиру безбедности и здравља на раду, усвојена 15. јуна 2006.</w:t>
      </w:r>
      <w:r w:rsidR="000B4435" w:rsidRPr="00203E0A">
        <w:rPr>
          <w:rFonts w:ascii="Times New Roman" w:hAnsi="Times New Roman" w:cs="Times New Roman"/>
          <w:sz w:val="24"/>
          <w:szCs w:val="24"/>
          <w:shd w:val="clear" w:color="auto" w:fill="FFFFFF"/>
        </w:rPr>
        <w:t xml:space="preserve"> </w:t>
      </w:r>
      <w:r w:rsidR="00500A55" w:rsidRPr="00203E0A">
        <w:rPr>
          <w:rFonts w:ascii="Times New Roman" w:hAnsi="Times New Roman" w:cs="Times New Roman"/>
          <w:sz w:val="24"/>
          <w:szCs w:val="24"/>
          <w:shd w:val="clear" w:color="auto" w:fill="FFFFFF"/>
        </w:rPr>
        <w:t>г</w:t>
      </w:r>
      <w:r w:rsidR="000B4435" w:rsidRPr="00203E0A">
        <w:rPr>
          <w:rFonts w:ascii="Times New Roman" w:hAnsi="Times New Roman" w:cs="Times New Roman"/>
          <w:sz w:val="24"/>
          <w:szCs w:val="24"/>
          <w:shd w:val="clear" w:color="auto" w:fill="FFFFFF"/>
        </w:rPr>
        <w:t>одине</w:t>
      </w:r>
      <w:r w:rsidR="00500A55" w:rsidRPr="00203E0A">
        <w:rPr>
          <w:rFonts w:ascii="Times New Roman" w:hAnsi="Times New Roman" w:cs="Times New Roman"/>
          <w:sz w:val="24"/>
          <w:szCs w:val="24"/>
          <w:shd w:val="clear" w:color="auto" w:fill="FFFFFF"/>
        </w:rPr>
        <w:t xml:space="preserve"> (основна конвенција);</w:t>
      </w:r>
    </w:p>
    <w:p w14:paraId="34498705" w14:textId="5F5CE64C" w:rsidR="00500A55" w:rsidRPr="003C6E11" w:rsidRDefault="00500A55" w:rsidP="00500A55">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5) Конвенција Међународне организације рада број 81 о испекцији рада, усвојена 11. </w:t>
      </w:r>
      <w:r w:rsidRPr="003C6E11">
        <w:rPr>
          <w:rFonts w:ascii="Times New Roman" w:hAnsi="Times New Roman" w:cs="Times New Roman"/>
          <w:sz w:val="24"/>
          <w:szCs w:val="24"/>
          <w:shd w:val="clear" w:color="auto" w:fill="FFFFFF"/>
        </w:rPr>
        <w:t>јула 1947. године</w:t>
      </w:r>
      <w:r w:rsidR="00916186" w:rsidRPr="003C6E11">
        <w:rPr>
          <w:rFonts w:ascii="Times New Roman" w:hAnsi="Times New Roman" w:cs="Times New Roman"/>
          <w:sz w:val="24"/>
          <w:szCs w:val="24"/>
          <w:shd w:val="clear" w:color="auto" w:fill="FFFFFF"/>
        </w:rPr>
        <w:t>;</w:t>
      </w:r>
    </w:p>
    <w:p w14:paraId="587A8147" w14:textId="5F7B9618" w:rsidR="00020026" w:rsidRPr="00D90441" w:rsidRDefault="00916186" w:rsidP="00D90441">
      <w:pPr>
        <w:ind w:firstLine="720"/>
        <w:jc w:val="both"/>
        <w:rPr>
          <w:rFonts w:ascii="Times New Roman" w:hAnsi="Times New Roman" w:cs="Times New Roman"/>
          <w:sz w:val="24"/>
          <w:szCs w:val="24"/>
          <w:shd w:val="clear" w:color="auto" w:fill="FFFFFF"/>
        </w:rPr>
      </w:pPr>
      <w:r w:rsidRPr="003C6E11">
        <w:rPr>
          <w:rFonts w:ascii="Times New Roman" w:hAnsi="Times New Roman" w:cs="Times New Roman"/>
          <w:sz w:val="24"/>
          <w:szCs w:val="24"/>
          <w:shd w:val="clear" w:color="auto" w:fill="FFFFFF"/>
        </w:rPr>
        <w:t>6) Међународни пакт о економским, социјалним и културним правима Уједиње</w:t>
      </w:r>
      <w:r w:rsidR="00557D62" w:rsidRPr="003C6E11">
        <w:rPr>
          <w:rFonts w:ascii="Times New Roman" w:hAnsi="Times New Roman" w:cs="Times New Roman"/>
          <w:sz w:val="24"/>
          <w:szCs w:val="24"/>
          <w:shd w:val="clear" w:color="auto" w:fill="FFFFFF"/>
        </w:rPr>
        <w:t xml:space="preserve">них нација („Службени лист СФРЈ – </w:t>
      </w:r>
      <w:r w:rsidRPr="003C6E11">
        <w:rPr>
          <w:rFonts w:ascii="Times New Roman" w:hAnsi="Times New Roman" w:cs="Times New Roman"/>
          <w:sz w:val="24"/>
          <w:szCs w:val="24"/>
          <w:shd w:val="clear" w:color="auto" w:fill="FFFFFF"/>
        </w:rPr>
        <w:t>Међународни уговори”</w:t>
      </w:r>
      <w:r w:rsidR="007A7FF8">
        <w:rPr>
          <w:rFonts w:ascii="Times New Roman" w:hAnsi="Times New Roman" w:cs="Times New Roman"/>
          <w:sz w:val="24"/>
          <w:szCs w:val="24"/>
          <w:shd w:val="clear" w:color="auto" w:fill="FFFFFF"/>
          <w:lang w:val="sr-Latn-RS"/>
        </w:rPr>
        <w:t>,</w:t>
      </w:r>
      <w:r w:rsidRPr="003C6E11">
        <w:rPr>
          <w:rFonts w:ascii="Times New Roman" w:hAnsi="Times New Roman" w:cs="Times New Roman"/>
          <w:sz w:val="24"/>
          <w:szCs w:val="24"/>
          <w:shd w:val="clear" w:color="auto" w:fill="FFFFFF"/>
        </w:rPr>
        <w:t xml:space="preserve"> број 71/71) и Закон о потврђивању Опционог протокола уз Међународни пакт о економским, социјалним и културни</w:t>
      </w:r>
      <w:r w:rsidR="00557D62" w:rsidRPr="003C6E11">
        <w:rPr>
          <w:rFonts w:ascii="Times New Roman" w:hAnsi="Times New Roman" w:cs="Times New Roman"/>
          <w:sz w:val="24"/>
          <w:szCs w:val="24"/>
          <w:shd w:val="clear" w:color="auto" w:fill="FFFFFF"/>
        </w:rPr>
        <w:t xml:space="preserve">м правима („Службени гласник РС – </w:t>
      </w:r>
      <w:r w:rsidRPr="003C6E11">
        <w:rPr>
          <w:rFonts w:ascii="Times New Roman" w:hAnsi="Times New Roman" w:cs="Times New Roman"/>
          <w:sz w:val="24"/>
          <w:szCs w:val="24"/>
          <w:shd w:val="clear" w:color="auto" w:fill="FFFFFF"/>
        </w:rPr>
        <w:t>Међународни уговори”</w:t>
      </w:r>
      <w:r w:rsidR="007A7FF8">
        <w:rPr>
          <w:rFonts w:ascii="Times New Roman" w:hAnsi="Times New Roman" w:cs="Times New Roman"/>
          <w:sz w:val="24"/>
          <w:szCs w:val="24"/>
          <w:shd w:val="clear" w:color="auto" w:fill="FFFFFF"/>
          <w:lang w:val="sr-Latn-RS"/>
        </w:rPr>
        <w:t>,</w:t>
      </w:r>
      <w:r w:rsidRPr="003C6E11">
        <w:rPr>
          <w:rFonts w:ascii="Times New Roman" w:hAnsi="Times New Roman" w:cs="Times New Roman"/>
          <w:sz w:val="24"/>
          <w:szCs w:val="24"/>
          <w:shd w:val="clear" w:color="auto" w:fill="FFFFFF"/>
        </w:rPr>
        <w:t xml:space="preserve"> број 5/23).</w:t>
      </w:r>
      <w:bookmarkStart w:id="4" w:name="_Toc126746513"/>
    </w:p>
    <w:p w14:paraId="02C038D5" w14:textId="3B62CDB6" w:rsidR="001374C9" w:rsidRPr="00203E0A" w:rsidRDefault="008B54F6"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 </w:t>
      </w:r>
      <w:r w:rsidR="001374C9" w:rsidRPr="00203E0A">
        <w:rPr>
          <w:rFonts w:ascii="Times New Roman" w:hAnsi="Times New Roman" w:cs="Times New Roman"/>
          <w:b/>
          <w:bCs/>
          <w:sz w:val="24"/>
          <w:szCs w:val="24"/>
          <w:shd w:val="clear" w:color="auto" w:fill="FFFFFF"/>
        </w:rPr>
        <w:t>Анализа управљачко-организационог оквира</w:t>
      </w:r>
      <w:bookmarkEnd w:id="4"/>
    </w:p>
    <w:p w14:paraId="2351023F" w14:textId="0420A24C" w:rsidR="001374C9" w:rsidRPr="00203E0A" w:rsidRDefault="008B54F6" w:rsidP="48A77BA5">
      <w:pPr>
        <w:ind w:firstLine="720"/>
        <w:jc w:val="both"/>
        <w:rPr>
          <w:rFonts w:ascii="Times New Roman" w:hAnsi="Times New Roman" w:cs="Times New Roman"/>
          <w:b/>
          <w:bCs/>
          <w:sz w:val="24"/>
          <w:szCs w:val="24"/>
          <w:shd w:val="clear" w:color="auto" w:fill="FFFFFF"/>
        </w:rPr>
      </w:pPr>
      <w:bookmarkStart w:id="5" w:name="_Toc126746514"/>
      <w:r w:rsidRPr="00203E0A">
        <w:rPr>
          <w:rFonts w:ascii="Times New Roman" w:hAnsi="Times New Roman" w:cs="Times New Roman"/>
          <w:b/>
          <w:bCs/>
          <w:sz w:val="24"/>
          <w:szCs w:val="24"/>
          <w:shd w:val="clear" w:color="auto" w:fill="FFFFFF"/>
        </w:rPr>
        <w:t xml:space="preserve">2.4.1. </w:t>
      </w:r>
      <w:r w:rsidR="001374C9" w:rsidRPr="00203E0A">
        <w:rPr>
          <w:rFonts w:ascii="Times New Roman" w:hAnsi="Times New Roman" w:cs="Times New Roman"/>
          <w:b/>
          <w:bCs/>
          <w:sz w:val="24"/>
          <w:szCs w:val="24"/>
          <w:shd w:val="clear" w:color="auto" w:fill="FFFFFF"/>
        </w:rPr>
        <w:t>Управа за безбедност и здравље на раду</w:t>
      </w:r>
      <w:bookmarkEnd w:id="5"/>
    </w:p>
    <w:p w14:paraId="75CFED93" w14:textId="08DE2041"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Како би се установио функционални систем безбедности и здравља на раду у складу са директивама ЕУ у Републици Србији је формирана Управа за безбедност и здравље на раду (у даљем тексту: У</w:t>
      </w:r>
      <w:r w:rsidR="001C1F2C" w:rsidRPr="00203E0A">
        <w:rPr>
          <w:rFonts w:ascii="Times New Roman" w:hAnsi="Times New Roman" w:cs="Times New Roman"/>
          <w:sz w:val="24"/>
          <w:szCs w:val="24"/>
          <w:shd w:val="clear" w:color="auto" w:fill="FFFFFF"/>
        </w:rPr>
        <w:t>права</w:t>
      </w:r>
      <w:r w:rsidRPr="00203E0A">
        <w:rPr>
          <w:rFonts w:ascii="Times New Roman" w:hAnsi="Times New Roman" w:cs="Times New Roman"/>
          <w:sz w:val="24"/>
          <w:szCs w:val="24"/>
          <w:shd w:val="clear" w:color="auto" w:fill="FFFFFF"/>
        </w:rPr>
        <w:t>) која функционише као посебан орган управе у саставу министарства надлежног за р</w:t>
      </w:r>
      <w:r w:rsidR="00246EBE">
        <w:rPr>
          <w:rFonts w:ascii="Times New Roman" w:hAnsi="Times New Roman" w:cs="Times New Roman"/>
          <w:sz w:val="24"/>
          <w:szCs w:val="24"/>
          <w:shd w:val="clear" w:color="auto" w:fill="FFFFFF"/>
        </w:rPr>
        <w:t>ад</w:t>
      </w:r>
      <w:r w:rsidRPr="00203E0A">
        <w:rPr>
          <w:rFonts w:ascii="Times New Roman" w:hAnsi="Times New Roman" w:cs="Times New Roman"/>
          <w:sz w:val="24"/>
          <w:szCs w:val="24"/>
          <w:shd w:val="clear" w:color="auto" w:fill="FFFFFF"/>
        </w:rPr>
        <w:t xml:space="preserve">. </w:t>
      </w:r>
    </w:p>
    <w:p w14:paraId="44DA0435" w14:textId="19F9C7A8"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Управа има кључну улогу у погледу израде прописа у области безбедности и здравља на раду и давању мишљења за њихову примену. Управа такође врши и низ других послова укључујући</w:t>
      </w:r>
      <w:r w:rsidR="00246EBE">
        <w:rPr>
          <w:rFonts w:ascii="Times New Roman" w:hAnsi="Times New Roman" w:cs="Times New Roman"/>
          <w:sz w:val="24"/>
          <w:szCs w:val="24"/>
          <w:shd w:val="clear" w:color="auto" w:fill="FFFFFF"/>
        </w:rPr>
        <w:t>:</w:t>
      </w:r>
      <w:r w:rsidRPr="00203E0A">
        <w:rPr>
          <w:rFonts w:ascii="Times New Roman" w:hAnsi="Times New Roman" w:cs="Times New Roman"/>
          <w:sz w:val="24"/>
          <w:szCs w:val="24"/>
          <w:shd w:val="clear" w:color="auto" w:fill="FFFFFF"/>
        </w:rPr>
        <w:t xml:space="preserve">  праћење и оцењивање стања безбедности и здравља на раду и припремање ставова за јединствено уређивање мера безбедности и здравља на раду које су предмет Закона о безбедности и здрављу на раду и других прописа; пружање стручне помоћи у области безбеднос</w:t>
      </w:r>
      <w:r w:rsidR="00246EBE">
        <w:rPr>
          <w:rFonts w:ascii="Times New Roman" w:hAnsi="Times New Roman" w:cs="Times New Roman"/>
          <w:sz w:val="24"/>
          <w:szCs w:val="24"/>
          <w:shd w:val="clear" w:color="auto" w:fill="FFFFFF"/>
        </w:rPr>
        <w:t>ти и здравља запослених; анализу</w:t>
      </w:r>
      <w:r w:rsidRPr="00203E0A">
        <w:rPr>
          <w:rFonts w:ascii="Times New Roman" w:hAnsi="Times New Roman" w:cs="Times New Roman"/>
          <w:sz w:val="24"/>
          <w:szCs w:val="24"/>
          <w:shd w:val="clear" w:color="auto" w:fill="FFFFFF"/>
        </w:rPr>
        <w:t xml:space="preserve"> узрока и појава који за последицу имају повреде на раду, професионалне болести и болести у вези са радом; организовање полагања стручних испита; вршење надзора над радом правних лица и предузетника као и одговорних лица са лиценцом и припремање предлога решења за издавање и одузимање лиценци, о чему се води евиденција; прикупљање и анализу података о повредама на раду, професионалним обољењима, болестима у вези са радом и појавама које утичу на здравље запослених; обављање информационо –документационе делатности у области безбедности и здравља запослених. </w:t>
      </w:r>
    </w:p>
    <w:p w14:paraId="41354F77" w14:textId="77777777" w:rsidR="00246EBE" w:rsidRDefault="001374C9" w:rsidP="00FC51A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lastRenderedPageBreak/>
        <w:t>Управа</w:t>
      </w:r>
      <w:r w:rsidR="00246EBE">
        <w:rPr>
          <w:rFonts w:ascii="Times New Roman" w:hAnsi="Times New Roman" w:cs="Times New Roman"/>
          <w:sz w:val="24"/>
          <w:szCs w:val="24"/>
          <w:shd w:val="clear" w:color="auto" w:fill="FFFFFF"/>
        </w:rPr>
        <w:t>,</w:t>
      </w:r>
      <w:r w:rsidRPr="00203E0A">
        <w:rPr>
          <w:rFonts w:ascii="Times New Roman" w:hAnsi="Times New Roman" w:cs="Times New Roman"/>
          <w:sz w:val="24"/>
          <w:szCs w:val="24"/>
          <w:shd w:val="clear" w:color="auto" w:fill="FFFFFF"/>
        </w:rPr>
        <w:t xml:space="preserve"> такође</w:t>
      </w:r>
      <w:r w:rsidR="00246EBE">
        <w:rPr>
          <w:rFonts w:ascii="Times New Roman" w:hAnsi="Times New Roman" w:cs="Times New Roman"/>
          <w:sz w:val="24"/>
          <w:szCs w:val="24"/>
          <w:shd w:val="clear" w:color="auto" w:fill="FFFFFF"/>
        </w:rPr>
        <w:t>:</w:t>
      </w:r>
      <w:r w:rsidRPr="00203E0A">
        <w:rPr>
          <w:rFonts w:ascii="Times New Roman" w:hAnsi="Times New Roman" w:cs="Times New Roman"/>
          <w:sz w:val="24"/>
          <w:szCs w:val="24"/>
          <w:shd w:val="clear" w:color="auto" w:fill="FFFFFF"/>
        </w:rPr>
        <w:t xml:space="preserve"> организује саветовања, едукације запослених, послодаваца, саветника, односно сарадника за безбедност и здравље на раду, инспектора и др.; објављује различите материјале и информише јавност о стању у области безбедности и здравља на раду; подстиче образовање и развијање културе рада у области безбедности и здравља на раду, стара се о додели националних признања у области безбедности и здравља на раду у циљу промовисања добре праксе. </w:t>
      </w:r>
    </w:p>
    <w:p w14:paraId="475AC53D" w14:textId="522220AC" w:rsidR="00E47EAD" w:rsidRPr="00E75694" w:rsidRDefault="001374C9" w:rsidP="00E75694">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 Управи је запослено девет лица.</w:t>
      </w:r>
      <w:bookmarkStart w:id="6" w:name="_Toc126746515"/>
    </w:p>
    <w:p w14:paraId="0790D104" w14:textId="75DD56E0" w:rsidR="001374C9" w:rsidRPr="00203E0A" w:rsidRDefault="008B54F6"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2.4.2. </w:t>
      </w:r>
      <w:r w:rsidR="001374C9" w:rsidRPr="00203E0A">
        <w:rPr>
          <w:rFonts w:ascii="Times New Roman" w:hAnsi="Times New Roman" w:cs="Times New Roman"/>
          <w:b/>
          <w:bCs/>
          <w:sz w:val="24"/>
          <w:szCs w:val="24"/>
          <w:shd w:val="clear" w:color="auto" w:fill="FFFFFF"/>
        </w:rPr>
        <w:t>Инспекторат за рад</w:t>
      </w:r>
      <w:bookmarkEnd w:id="6"/>
    </w:p>
    <w:p w14:paraId="59AF39ED" w14:textId="77777777" w:rsidR="001374C9" w:rsidRPr="00203E0A" w:rsidRDefault="001374C9" w:rsidP="008B54F6">
      <w:pPr>
        <w:ind w:firstLine="720"/>
        <w:jc w:val="both"/>
        <w:rPr>
          <w:rFonts w:ascii="Times New Roman" w:hAnsi="Times New Roman" w:cs="Times New Roman"/>
          <w:sz w:val="24"/>
          <w:szCs w:val="24"/>
          <w:shd w:val="clear" w:color="auto" w:fill="FFFFFF"/>
        </w:rPr>
      </w:pPr>
      <w:bookmarkStart w:id="7" w:name="_Toc126746516"/>
      <w:r w:rsidRPr="00203E0A">
        <w:rPr>
          <w:rFonts w:ascii="Times New Roman" w:hAnsi="Times New Roman" w:cs="Times New Roman"/>
          <w:sz w:val="24"/>
          <w:szCs w:val="24"/>
          <w:shd w:val="clear" w:color="auto" w:fill="FFFFFF"/>
        </w:rPr>
        <w:t>Кључну улогу у спровођењу надзора над применом мера безбедности и здравља на раду има Инспекторат за рад, орган у саставу Министарства за рад, запошљавање, борачка и социјална питања. Поред надзора над применом Закона о безбедности и здрављу на раду, инспекција рада врши надзор и над применом других прописа о мерама и нормативима безбедности и здравља на раду, техничким мерама које се односе на безбедност и здравље на раду, стандарда и опште признатих мера у делу којим се уређују питања из области безбедности и здравља на раду.</w:t>
      </w:r>
    </w:p>
    <w:p w14:paraId="324E3122"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Инспекторат за рад, обавља инспекцијске послове и са њима повезане стручне послове у области радних односа и безбедности и здравља на раду који се односе на: редовни, ванредни, допунски и контролни надзор, инспекцијски надзор поводом смртних, тешких и колективних повреда на раду, утврђивање испуњености прописаних услова у области безбедности и здравља на раду, пре почетка обављања делатности послодавца, као и друге послове одређене законом.</w:t>
      </w:r>
    </w:p>
    <w:p w14:paraId="7366A11F" w14:textId="77777777" w:rsidR="00C81694" w:rsidRPr="00C81694" w:rsidRDefault="00C81694" w:rsidP="008B54F6">
      <w:pPr>
        <w:ind w:firstLine="720"/>
        <w:jc w:val="both"/>
        <w:rPr>
          <w:rFonts w:ascii="Times New Roman" w:hAnsi="Times New Roman" w:cs="Times New Roman"/>
          <w:sz w:val="24"/>
          <w:szCs w:val="24"/>
          <w:shd w:val="clear" w:color="auto" w:fill="FFFFFF"/>
        </w:rPr>
      </w:pPr>
      <w:r w:rsidRPr="00C81694">
        <w:rPr>
          <w:rFonts w:ascii="Times New Roman" w:hAnsi="Times New Roman" w:cs="Times New Roman"/>
          <w:sz w:val="24"/>
          <w:szCs w:val="24"/>
        </w:rPr>
        <w:t>У поступку инспекцијског надзора инспектор рада има право и дужност да предузима радње којима се контролишу безбедност и здравље на раду, а нарочито хигијена и услови рада, производња, коришћење и одржавање средстава за рад, личне заштитне опреме, хемијске материје и др., као и да: 1) прегледа опште и појединачне акте, евиденције и другу документацију и по потреби исту фотографише, фотокопира или скенира ради улагања у списе предмета; 2) изврши увид у личну или другу јавну исправу са фотографијом, саслуша и узима изјаве од затечених лица, одговорних и заинтересованих лица; 3) прегледа средства за рад, личну заштитну опрему и друга средства која се користе у радном процесу или су на било који начин повезана са радним процесом; 4) фотографише и снима радно место, средства за рад, радну средину у којој се врши инспекцијски надзор и друго од значаја за вршење инспекцијког надзора; 5) налаже мерења која обавља друга стручна организација када послодавац самостално или преко одређене стручне организације врши мерења у одговарајућим областима, а резултати извршеног мерења пружају основ за то; 6) послодавцима, запосленим, њиховим представницима и синдикату даје обавештења и савете у области безбедности и здравља на раду, као и о мерама чијом применом се обезбеђује извршавање овог закона на најефикаснији начин; 7) у складу са поднетим захтевом, послодавца и запосленог или представника запослених обавести о извршеном инспекцијском надзору и утврђеном стању; 8) предузима друге радње за које је овлашћен другим прописом.</w:t>
      </w:r>
      <w:r w:rsidRPr="00C81694">
        <w:rPr>
          <w:rFonts w:ascii="Times New Roman" w:hAnsi="Times New Roman" w:cs="Times New Roman"/>
          <w:sz w:val="24"/>
          <w:szCs w:val="24"/>
          <w:shd w:val="clear" w:color="auto" w:fill="FFFFFF"/>
        </w:rPr>
        <w:t xml:space="preserve"> </w:t>
      </w:r>
    </w:p>
    <w:p w14:paraId="63054D3F" w14:textId="2E7FAEEE"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Инспекторат за рад у свом саставу има 25 одвојених одељења</w:t>
      </w:r>
      <w:r w:rsidR="007F334A" w:rsidRPr="00203E0A">
        <w:rPr>
          <w:rFonts w:ascii="Times New Roman" w:hAnsi="Times New Roman" w:cs="Times New Roman"/>
          <w:sz w:val="24"/>
          <w:szCs w:val="24"/>
          <w:shd w:val="clear" w:color="auto" w:fill="FFFFFF"/>
        </w:rPr>
        <w:t>,</w:t>
      </w:r>
      <w:r w:rsidRPr="00203E0A">
        <w:rPr>
          <w:rFonts w:ascii="Times New Roman" w:hAnsi="Times New Roman" w:cs="Times New Roman"/>
          <w:sz w:val="24"/>
          <w:szCs w:val="24"/>
          <w:shd w:val="clear" w:color="auto" w:fill="FFFFFF"/>
        </w:rPr>
        <w:t xml:space="preserve"> </w:t>
      </w:r>
      <w:r w:rsidR="007F334A" w:rsidRPr="00203E0A">
        <w:rPr>
          <w:rFonts w:ascii="Times New Roman" w:hAnsi="Times New Roman" w:cs="Times New Roman"/>
          <w:sz w:val="24"/>
          <w:szCs w:val="24"/>
          <w:shd w:val="clear" w:color="auto" w:fill="FFFFFF"/>
        </w:rPr>
        <w:t xml:space="preserve">одсека и групу  </w:t>
      </w:r>
      <w:r w:rsidRPr="00203E0A">
        <w:rPr>
          <w:rFonts w:ascii="Times New Roman" w:hAnsi="Times New Roman" w:cs="Times New Roman"/>
          <w:sz w:val="24"/>
          <w:szCs w:val="24"/>
          <w:shd w:val="clear" w:color="auto" w:fill="FFFFFF"/>
        </w:rPr>
        <w:t>инспекције рада у управним окрузима, 2 одељења инспекције рада у Граду Београду, као и једно одељење и један одсек  у седишту Инспектората за рад.</w:t>
      </w:r>
    </w:p>
    <w:p w14:paraId="55F5C172" w14:textId="15DFBB51" w:rsidR="007F334A" w:rsidRPr="00203E0A" w:rsidRDefault="007F334A" w:rsidP="007F334A">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rPr>
        <w:lastRenderedPageBreak/>
        <w:t>Правилником о унутрашњем уређењу и систематизацији радних места у Министарству за рад, запошљавање, борачка и социјалн</w:t>
      </w:r>
      <w:r w:rsidR="00C81694">
        <w:rPr>
          <w:rFonts w:ascii="Times New Roman" w:hAnsi="Times New Roman" w:cs="Times New Roman"/>
          <w:sz w:val="24"/>
          <w:szCs w:val="24"/>
        </w:rPr>
        <w:t xml:space="preserve">а питања, који је у примени од </w:t>
      </w:r>
      <w:r w:rsidRPr="00203E0A">
        <w:rPr>
          <w:rFonts w:ascii="Times New Roman" w:hAnsi="Times New Roman" w:cs="Times New Roman"/>
          <w:sz w:val="24"/>
          <w:szCs w:val="24"/>
        </w:rPr>
        <w:t>4. децембра 2023.</w:t>
      </w:r>
      <w:r w:rsidR="00C81694">
        <w:rPr>
          <w:rFonts w:ascii="Times New Roman" w:hAnsi="Times New Roman" w:cs="Times New Roman"/>
          <w:sz w:val="24"/>
          <w:szCs w:val="24"/>
        </w:rPr>
        <w:t xml:space="preserve"> </w:t>
      </w:r>
      <w:r w:rsidRPr="00203E0A">
        <w:rPr>
          <w:rFonts w:ascii="Times New Roman" w:hAnsi="Times New Roman" w:cs="Times New Roman"/>
          <w:sz w:val="24"/>
          <w:szCs w:val="24"/>
        </w:rPr>
        <w:t>године, у Инспекторату за рад је систематизовано 281 радно место, од којих 270 радних места инспектора рада, односно повећан</w:t>
      </w:r>
      <w:r w:rsidR="00AA6330">
        <w:rPr>
          <w:rFonts w:ascii="Times New Roman" w:hAnsi="Times New Roman" w:cs="Times New Roman"/>
          <w:sz w:val="24"/>
          <w:szCs w:val="24"/>
        </w:rPr>
        <w:t xml:space="preserve">  је број </w:t>
      </w:r>
      <w:r w:rsidRPr="00203E0A">
        <w:rPr>
          <w:rFonts w:ascii="Times New Roman" w:hAnsi="Times New Roman" w:cs="Times New Roman"/>
          <w:sz w:val="24"/>
          <w:szCs w:val="24"/>
        </w:rPr>
        <w:t>систематизованих радних места инспектора рада за 3.</w:t>
      </w:r>
      <w:r w:rsidRPr="00203E0A">
        <w:rPr>
          <w:rFonts w:ascii="Times New Roman" w:hAnsi="Times New Roman" w:cs="Times New Roman"/>
          <w:sz w:val="24"/>
          <w:szCs w:val="24"/>
          <w:shd w:val="clear" w:color="auto" w:fill="FFFFFF"/>
        </w:rPr>
        <w:t xml:space="preserve"> </w:t>
      </w:r>
    </w:p>
    <w:p w14:paraId="60E35E57"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Према подацима Агенције за привредне регистре тренутно је регистрованo 450.424 привредних субјеката (137.970 привреднх друштава и 312.454 предузетника) за чију контролу спровођења закона у области рада је надлежна инспекција рада. Такође, од 30. јула 2015. године, када су ступиле на снагу одредбе Закона о инспекцијском надзору које се односе на контролу нерегистрованих субјеката, инспекција рада је надлежна да контролише и све нерегистроване субјекте. </w:t>
      </w:r>
    </w:p>
    <w:p w14:paraId="0DA7107E" w14:textId="14448800"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Константно повећање броја привредних субјеката, као и све већи број законских и подзаконских аката које послодавци треба да примењују, а над чијим спровођењем надзор врше инспектори рада,</w:t>
      </w:r>
      <w:r w:rsidR="009A0BBE">
        <w:rPr>
          <w:rFonts w:ascii="Times New Roman" w:hAnsi="Times New Roman" w:cs="Times New Roman"/>
          <w:sz w:val="24"/>
          <w:szCs w:val="24"/>
          <w:shd w:val="clear" w:color="auto" w:fill="FFFFFF"/>
        </w:rPr>
        <w:t xml:space="preserve"> свакако захтева адекватан број </w:t>
      </w:r>
      <w:r w:rsidRPr="00203E0A">
        <w:rPr>
          <w:rFonts w:ascii="Times New Roman" w:hAnsi="Times New Roman" w:cs="Times New Roman"/>
          <w:sz w:val="24"/>
          <w:szCs w:val="24"/>
          <w:shd w:val="clear" w:color="auto" w:fill="FFFFFF"/>
        </w:rPr>
        <w:t xml:space="preserve">инспектора рада и адекватну техничку опремљеност инспекције рада, а ради ефикасног и ефективног надзора, како би се заштитила права запослених и обезбедило доследно спровођење прописа у области рада. Тренутни кадровски капацитети и техничка опремљеност инспекције рада омогућују пуну контролу спровођења прописа у области рада, а доследнију примену и ефикаснији надзор свакако би поспешио већи број инспектора рада и боља техничка опремљеност. </w:t>
      </w:r>
    </w:p>
    <w:p w14:paraId="7028F95C" w14:textId="6ECE0829" w:rsidR="0013021E" w:rsidRPr="00203E0A" w:rsidRDefault="0013021E" w:rsidP="0013021E">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Према Функционалној анализи републичких инспекција са анализом капацитета из 2019.</w:t>
      </w:r>
      <w:r w:rsidR="00C81694">
        <w:rPr>
          <w:rFonts w:ascii="Times New Roman" w:hAnsi="Times New Roman" w:cs="Times New Roman"/>
          <w:sz w:val="24"/>
          <w:szCs w:val="24"/>
          <w:shd w:val="clear" w:color="auto" w:fill="FFFFFF"/>
        </w:rPr>
        <w:t xml:space="preserve"> </w:t>
      </w:r>
      <w:r w:rsidRPr="00203E0A">
        <w:rPr>
          <w:rFonts w:ascii="Times New Roman" w:hAnsi="Times New Roman" w:cs="Times New Roman"/>
          <w:sz w:val="24"/>
          <w:szCs w:val="24"/>
          <w:shd w:val="clear" w:color="auto" w:fill="FFFFFF"/>
        </w:rPr>
        <w:t>године, постојећи кадровски капацитети Инспектората за рад који врши надзор над применом прописа у области безбедности и здравља на раду нису били довољни у односу на тада</w:t>
      </w:r>
      <w:r w:rsidRPr="00203E0A">
        <w:rPr>
          <w:rFonts w:ascii="Times New Roman" w:hAnsi="Times New Roman" w:cs="Times New Roman"/>
          <w:b/>
          <w:color w:val="FF0000"/>
          <w:sz w:val="24"/>
          <w:szCs w:val="24"/>
          <w:shd w:val="clear" w:color="auto" w:fill="FFFFFF"/>
        </w:rPr>
        <w:t xml:space="preserve"> </w:t>
      </w:r>
      <w:r w:rsidR="001128D3">
        <w:rPr>
          <w:rFonts w:ascii="Times New Roman" w:hAnsi="Times New Roman" w:cs="Times New Roman"/>
          <w:sz w:val="24"/>
          <w:szCs w:val="24"/>
          <w:shd w:val="clear" w:color="auto" w:fill="FFFFFF"/>
        </w:rPr>
        <w:t>систематизован број од 267</w:t>
      </w:r>
      <w:r w:rsidRPr="00203E0A">
        <w:rPr>
          <w:rFonts w:ascii="Times New Roman" w:hAnsi="Times New Roman" w:cs="Times New Roman"/>
          <w:sz w:val="24"/>
          <w:szCs w:val="24"/>
          <w:shd w:val="clear" w:color="auto" w:fill="FFFFFF"/>
        </w:rPr>
        <w:t>, и попуњен број од 247 инспектора рада, док је за нормално обављање послова из надлежности инспекције потребно 307 инспектора, односно за 40 више од тада</w:t>
      </w:r>
      <w:r w:rsidRPr="00203E0A">
        <w:rPr>
          <w:rFonts w:ascii="Times New Roman" w:hAnsi="Times New Roman" w:cs="Times New Roman"/>
          <w:color w:val="FF0000"/>
          <w:sz w:val="24"/>
          <w:szCs w:val="24"/>
          <w:shd w:val="clear" w:color="auto" w:fill="FFFFFF"/>
        </w:rPr>
        <w:t xml:space="preserve"> </w:t>
      </w:r>
      <w:r w:rsidRPr="00203E0A">
        <w:rPr>
          <w:rFonts w:ascii="Times New Roman" w:hAnsi="Times New Roman" w:cs="Times New Roman"/>
          <w:sz w:val="24"/>
          <w:szCs w:val="24"/>
          <w:shd w:val="clear" w:color="auto" w:fill="FFFFFF"/>
        </w:rPr>
        <w:t>систематизованог броја инспектора рада. У Инспекторату за рад у 2022. години укупно је било 229 запослених, од којих 214 инспекторa рада.</w:t>
      </w:r>
    </w:p>
    <w:p w14:paraId="7770C224" w14:textId="2B535EF1" w:rsidR="00491E95" w:rsidRPr="00203E0A" w:rsidRDefault="00491E95" w:rsidP="00491E95">
      <w:pPr>
        <w:tabs>
          <w:tab w:val="left" w:pos="851"/>
        </w:tabs>
        <w:spacing w:after="150"/>
        <w:jc w:val="both"/>
        <w:rPr>
          <w:rFonts w:ascii="Times New Roman" w:hAnsi="Times New Roman" w:cs="Times New Roman"/>
          <w:sz w:val="24"/>
          <w:szCs w:val="24"/>
        </w:rPr>
      </w:pPr>
      <w:r w:rsidRPr="00203E0A">
        <w:rPr>
          <w:rFonts w:ascii="Times New Roman" w:hAnsi="Times New Roman" w:cs="Times New Roman"/>
          <w:sz w:val="24"/>
          <w:szCs w:val="24"/>
        </w:rPr>
        <w:tab/>
        <w:t>У 2023.</w:t>
      </w:r>
      <w:r w:rsidR="00C81694">
        <w:rPr>
          <w:rFonts w:ascii="Times New Roman" w:hAnsi="Times New Roman" w:cs="Times New Roman"/>
          <w:sz w:val="24"/>
          <w:szCs w:val="24"/>
        </w:rPr>
        <w:t xml:space="preserve"> </w:t>
      </w:r>
      <w:r w:rsidRPr="00203E0A">
        <w:rPr>
          <w:rFonts w:ascii="Times New Roman" w:hAnsi="Times New Roman" w:cs="Times New Roman"/>
          <w:sz w:val="24"/>
          <w:szCs w:val="24"/>
        </w:rPr>
        <w:t>години, усвојен Програм за сузбијање сиве економије 2023-202</w:t>
      </w:r>
      <w:r w:rsidR="001128D3">
        <w:rPr>
          <w:rFonts w:ascii="Times New Roman" w:hAnsi="Times New Roman" w:cs="Times New Roman"/>
          <w:sz w:val="24"/>
          <w:szCs w:val="24"/>
        </w:rPr>
        <w:t>5. године („Службени гласник РС”</w:t>
      </w:r>
      <w:r w:rsidRPr="00203E0A">
        <w:rPr>
          <w:rFonts w:ascii="Times New Roman" w:hAnsi="Times New Roman" w:cs="Times New Roman"/>
          <w:sz w:val="24"/>
          <w:szCs w:val="24"/>
        </w:rPr>
        <w:t>, бр</w:t>
      </w:r>
      <w:r w:rsidR="00C81694">
        <w:rPr>
          <w:rFonts w:ascii="Times New Roman" w:hAnsi="Times New Roman" w:cs="Times New Roman"/>
          <w:sz w:val="24"/>
          <w:szCs w:val="24"/>
        </w:rPr>
        <w:t>ој 21/</w:t>
      </w:r>
      <w:r w:rsidRPr="00203E0A">
        <w:rPr>
          <w:rFonts w:ascii="Times New Roman" w:hAnsi="Times New Roman" w:cs="Times New Roman"/>
          <w:sz w:val="24"/>
          <w:szCs w:val="24"/>
        </w:rPr>
        <w:t xml:space="preserve">23), са Акционим планом за спровођење Програма за сузбијање сиве економије 2023-2024. Наведеним Акционим планом је утврђен Посебни циљ 1: Јачање  капацитета инспекција и прекршајних судова, а у оквиру мере 1.2: Унапређење ефикасности рада инспекција и инспекцијске праксе, утврђена је активност 1.2.1: Израда анализе о реорганизацији и обједињавању инспекција. </w:t>
      </w:r>
    </w:p>
    <w:p w14:paraId="3BD4D6E4" w14:textId="77777777" w:rsidR="00491E95" w:rsidRPr="00203E0A" w:rsidRDefault="48A77BA5" w:rsidP="00491E95">
      <w:pPr>
        <w:ind w:firstLine="720"/>
        <w:jc w:val="both"/>
        <w:rPr>
          <w:rFonts w:ascii="Times New Roman" w:hAnsi="Times New Roman" w:cs="Times New Roman"/>
          <w:sz w:val="24"/>
          <w:szCs w:val="24"/>
        </w:rPr>
      </w:pPr>
      <w:r w:rsidRPr="00203E0A">
        <w:rPr>
          <w:rFonts w:ascii="Times New Roman" w:hAnsi="Times New Roman" w:cs="Times New Roman"/>
          <w:sz w:val="24"/>
          <w:szCs w:val="24"/>
        </w:rPr>
        <w:t>Акционим планом за Поглавље 19 уведен је циљ од 360 инспектора рада у Инспекторату за рад, а нови рок према Националном програму за усвајање правних тековина Европске уније (НПАА) за реализацију овог циља је четврти  квартал 2025. године.</w:t>
      </w:r>
    </w:p>
    <w:p w14:paraId="6F44AD63" w14:textId="77777777" w:rsidR="00491E95" w:rsidRPr="00203E0A" w:rsidRDefault="48A77BA5" w:rsidP="00491E95">
      <w:pPr>
        <w:ind w:firstLine="720"/>
        <w:jc w:val="both"/>
        <w:rPr>
          <w:rFonts w:ascii="Times New Roman" w:hAnsi="Times New Roman" w:cs="Times New Roman"/>
          <w:sz w:val="24"/>
          <w:szCs w:val="24"/>
        </w:rPr>
      </w:pPr>
      <w:r w:rsidRPr="00203E0A">
        <w:rPr>
          <w:rFonts w:ascii="Times New Roman" w:hAnsi="Times New Roman" w:cs="Times New Roman"/>
          <w:sz w:val="24"/>
          <w:szCs w:val="24"/>
        </w:rPr>
        <w:t>Инспекторат за рад континуирано расписује јавне конкурсе ради попуњавања упражњених радних места инспектора рада, која су превасходно настала због одласка инспектора рада у пензију.</w:t>
      </w:r>
    </w:p>
    <w:p w14:paraId="25532901" w14:textId="77777777" w:rsidR="005F3B57" w:rsidRPr="00203E0A" w:rsidRDefault="005F3B57" w:rsidP="005F3B5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С обзиром на високу просечну старост и велики одлив инспектора рада, превасходно због одласка у пензију, као и на темпо ангажовања нових инспектора, није дошло до испуњења броја потребних инспектора који је утврђен Функционалном </w:t>
      </w:r>
      <w:r w:rsidRPr="00203E0A">
        <w:rPr>
          <w:rFonts w:ascii="Times New Roman" w:hAnsi="Times New Roman" w:cs="Times New Roman"/>
          <w:sz w:val="24"/>
          <w:szCs w:val="24"/>
          <w:shd w:val="clear" w:color="auto" w:fill="FFFFFF"/>
        </w:rPr>
        <w:lastRenderedPageBreak/>
        <w:t xml:space="preserve">анализом републичких инспекција са анализом капацитета. Наиме, у Инспекторату за рад Републике Србије у 2020. години било је укупно 218 запослених, од чега 203 инспектора рада. Стога је неопходно јачати капацитете Инспектората, посебно у области безбедности и здравља на раду. </w:t>
      </w:r>
    </w:p>
    <w:p w14:paraId="5848CE3B" w14:textId="39CDDA20" w:rsidR="00DC21A1" w:rsidRPr="00203E0A" w:rsidRDefault="48A77BA5" w:rsidP="00DC21A1">
      <w:pPr>
        <w:ind w:firstLine="720"/>
        <w:jc w:val="both"/>
        <w:rPr>
          <w:rFonts w:ascii="Times New Roman" w:hAnsi="Times New Roman" w:cs="Times New Roman"/>
          <w:sz w:val="24"/>
          <w:szCs w:val="24"/>
        </w:rPr>
      </w:pPr>
      <w:r w:rsidRPr="00203E0A">
        <w:rPr>
          <w:rFonts w:ascii="Times New Roman" w:hAnsi="Times New Roman" w:cs="Times New Roman"/>
          <w:sz w:val="24"/>
          <w:szCs w:val="24"/>
        </w:rPr>
        <w:t>Јачање административних капацитета  инспектора рада у области безбедности и здравља на раду спроводи се едукацијом инспектора рада у циљу унапређења и развоја стручних компетенција на све релевантне теме везане за инспекцијски надзор у области безбедности и здравља на раду, као и израдом инструкција за вршење инспекцијских надзора у циљу уједначеног поступања инспектора рада, нарочито имајући на уму да је у примени нови Закон о безбедности и здрављу на раду.</w:t>
      </w:r>
    </w:p>
    <w:p w14:paraId="39C2EE2D" w14:textId="0FEC6059" w:rsidR="00491E95" w:rsidRDefault="48A77BA5" w:rsidP="00E24AD9">
      <w:pPr>
        <w:ind w:firstLine="720"/>
        <w:jc w:val="both"/>
        <w:rPr>
          <w:rFonts w:ascii="Times New Roman" w:hAnsi="Times New Roman" w:cs="Times New Roman"/>
          <w:sz w:val="24"/>
          <w:szCs w:val="24"/>
        </w:rPr>
      </w:pPr>
      <w:r w:rsidRPr="00203E0A">
        <w:rPr>
          <w:rFonts w:ascii="Times New Roman" w:hAnsi="Times New Roman" w:cs="Times New Roman"/>
          <w:sz w:val="24"/>
          <w:szCs w:val="24"/>
        </w:rPr>
        <w:t>Свакако, јачање капацитета инспектора рада у области безбедности и здравља на раду, постиже се и унапређењем техничких капацитет</w:t>
      </w:r>
      <w:r w:rsidR="00EB5D86">
        <w:rPr>
          <w:rFonts w:ascii="Times New Roman" w:hAnsi="Times New Roman" w:cs="Times New Roman"/>
          <w:sz w:val="24"/>
          <w:szCs w:val="24"/>
        </w:rPr>
        <w:t>а</w:t>
      </w:r>
      <w:r w:rsidRPr="00203E0A">
        <w:rPr>
          <w:rFonts w:ascii="Times New Roman" w:hAnsi="Times New Roman" w:cs="Times New Roman"/>
          <w:sz w:val="24"/>
          <w:szCs w:val="24"/>
        </w:rPr>
        <w:t xml:space="preserve"> инспекције рада (службена возила, десктоп и лаптоп рачунари, штампачи, скенери и друго). </w:t>
      </w:r>
    </w:p>
    <w:p w14:paraId="318F5A1C" w14:textId="6C50BB5A" w:rsidR="00037B42" w:rsidRPr="005D4335" w:rsidRDefault="00037B42" w:rsidP="00037B42">
      <w:pPr>
        <w:ind w:firstLine="720"/>
        <w:jc w:val="both"/>
        <w:rPr>
          <w:rFonts w:ascii="Times New Roman" w:hAnsi="Times New Roman" w:cs="Times New Roman"/>
          <w:color w:val="000000" w:themeColor="text1"/>
          <w:sz w:val="24"/>
          <w:szCs w:val="24"/>
          <w:lang w:val="sr-Cyrl-CS"/>
        </w:rPr>
      </w:pPr>
      <w:r w:rsidRPr="005D4335">
        <w:rPr>
          <w:rFonts w:ascii="Times New Roman" w:hAnsi="Times New Roman" w:cs="Times New Roman"/>
          <w:color w:val="000000" w:themeColor="text1"/>
          <w:sz w:val="24"/>
          <w:szCs w:val="24"/>
        </w:rPr>
        <w:t>Инспекторат за рад је израдио и</w:t>
      </w:r>
      <w:r w:rsidRPr="005D4335">
        <w:rPr>
          <w:rFonts w:ascii="Times New Roman" w:hAnsi="Times New Roman" w:cs="Times New Roman"/>
          <w:color w:val="000000" w:themeColor="text1"/>
          <w:sz w:val="24"/>
          <w:szCs w:val="24"/>
          <w:lang w:val="sr-Cyrl-CS"/>
        </w:rPr>
        <w:t xml:space="preserve">нструкције </w:t>
      </w:r>
      <w:r w:rsidRPr="005D4335">
        <w:rPr>
          <w:rFonts w:ascii="Times New Roman" w:hAnsi="Times New Roman" w:cs="Times New Roman"/>
          <w:color w:val="000000" w:themeColor="text1"/>
          <w:sz w:val="24"/>
          <w:szCs w:val="24"/>
        </w:rPr>
        <w:t>o</w:t>
      </w:r>
      <w:r w:rsidRPr="005D4335">
        <w:rPr>
          <w:rFonts w:ascii="Times New Roman" w:hAnsi="Times New Roman" w:cs="Times New Roman"/>
          <w:color w:val="000000" w:themeColor="text1"/>
          <w:sz w:val="24"/>
          <w:szCs w:val="24"/>
          <w:lang w:val="sr-Cyrl-CS"/>
        </w:rPr>
        <w:t xml:space="preserve"> поступању</w:t>
      </w:r>
      <w:r w:rsidRPr="005D4335">
        <w:rPr>
          <w:rFonts w:ascii="Times New Roman" w:hAnsi="Times New Roman" w:cs="Times New Roman"/>
          <w:color w:val="000000" w:themeColor="text1"/>
          <w:sz w:val="24"/>
          <w:szCs w:val="24"/>
        </w:rPr>
        <w:t xml:space="preserve"> инспектора рада </w:t>
      </w:r>
      <w:r w:rsidRPr="005D4335">
        <w:rPr>
          <w:rFonts w:ascii="Times New Roman" w:hAnsi="Times New Roman" w:cs="Times New Roman"/>
          <w:color w:val="000000" w:themeColor="text1"/>
          <w:sz w:val="24"/>
          <w:szCs w:val="24"/>
          <w:lang w:val="sr-Cyrl-CS"/>
        </w:rPr>
        <w:t>приликом</w:t>
      </w:r>
      <w:r w:rsidRPr="005D4335">
        <w:rPr>
          <w:rFonts w:ascii="Times New Roman" w:hAnsi="Times New Roman" w:cs="Times New Roman"/>
          <w:color w:val="000000" w:themeColor="text1"/>
          <w:sz w:val="24"/>
          <w:szCs w:val="24"/>
        </w:rPr>
        <w:t xml:space="preserve"> в</w:t>
      </w:r>
      <w:r w:rsidRPr="005D4335">
        <w:rPr>
          <w:rFonts w:ascii="Times New Roman" w:hAnsi="Times New Roman" w:cs="Times New Roman"/>
          <w:color w:val="000000" w:themeColor="text1"/>
          <w:sz w:val="24"/>
          <w:szCs w:val="24"/>
          <w:lang w:val="sr-Cyrl-CS"/>
        </w:rPr>
        <w:t>ршења</w:t>
      </w:r>
      <w:r w:rsidRPr="005D4335">
        <w:rPr>
          <w:rFonts w:ascii="Times New Roman" w:hAnsi="Times New Roman" w:cs="Times New Roman"/>
          <w:color w:val="000000" w:themeColor="text1"/>
          <w:sz w:val="24"/>
          <w:szCs w:val="24"/>
        </w:rPr>
        <w:t xml:space="preserve"> </w:t>
      </w:r>
      <w:r w:rsidRPr="005D4335">
        <w:rPr>
          <w:rFonts w:ascii="Times New Roman" w:hAnsi="Times New Roman" w:cs="Times New Roman"/>
          <w:color w:val="000000" w:themeColor="text1"/>
          <w:sz w:val="24"/>
          <w:szCs w:val="24"/>
          <w:lang w:val="sr-Cyrl-CS"/>
        </w:rPr>
        <w:t>инспекцијских</w:t>
      </w:r>
      <w:r w:rsidRPr="005D4335">
        <w:rPr>
          <w:rFonts w:ascii="Times New Roman" w:hAnsi="Times New Roman" w:cs="Times New Roman"/>
          <w:color w:val="000000" w:themeColor="text1"/>
          <w:sz w:val="24"/>
          <w:szCs w:val="24"/>
        </w:rPr>
        <w:t xml:space="preserve"> </w:t>
      </w:r>
      <w:r w:rsidRPr="005D4335">
        <w:rPr>
          <w:rFonts w:ascii="Times New Roman" w:hAnsi="Times New Roman" w:cs="Times New Roman"/>
          <w:color w:val="000000" w:themeColor="text1"/>
          <w:sz w:val="24"/>
          <w:szCs w:val="24"/>
          <w:lang w:val="sr-Cyrl-CS"/>
        </w:rPr>
        <w:t>надзора</w:t>
      </w:r>
      <w:r w:rsidRPr="005D4335">
        <w:rPr>
          <w:rFonts w:ascii="Times New Roman" w:hAnsi="Times New Roman" w:cs="Times New Roman"/>
          <w:color w:val="000000" w:themeColor="text1"/>
          <w:sz w:val="24"/>
          <w:szCs w:val="24"/>
        </w:rPr>
        <w:t xml:space="preserve"> </w:t>
      </w:r>
      <w:r w:rsidRPr="005D4335">
        <w:rPr>
          <w:rFonts w:ascii="Times New Roman" w:hAnsi="Times New Roman" w:cs="Times New Roman"/>
          <w:color w:val="000000" w:themeColor="text1"/>
          <w:sz w:val="24"/>
          <w:szCs w:val="24"/>
          <w:lang w:val="sr-Cyrl-CS"/>
        </w:rPr>
        <w:t xml:space="preserve">у области радних односа и </w:t>
      </w:r>
      <w:r w:rsidRPr="005D4335">
        <w:rPr>
          <w:rFonts w:ascii="Times New Roman" w:hAnsi="Times New Roman" w:cs="Times New Roman"/>
          <w:color w:val="000000" w:themeColor="text1"/>
          <w:sz w:val="24"/>
          <w:szCs w:val="24"/>
        </w:rPr>
        <w:t>безбедности</w:t>
      </w:r>
      <w:r w:rsidRPr="005D4335">
        <w:rPr>
          <w:rFonts w:ascii="Times New Roman" w:hAnsi="Times New Roman" w:cs="Times New Roman"/>
          <w:color w:val="000000" w:themeColor="text1"/>
          <w:sz w:val="24"/>
          <w:szCs w:val="24"/>
          <w:lang w:val="en-GB"/>
        </w:rPr>
        <w:t xml:space="preserve"> </w:t>
      </w:r>
      <w:r w:rsidRPr="005D4335">
        <w:rPr>
          <w:rFonts w:ascii="Times New Roman" w:hAnsi="Times New Roman" w:cs="Times New Roman"/>
          <w:color w:val="000000" w:themeColor="text1"/>
          <w:sz w:val="24"/>
          <w:szCs w:val="24"/>
          <w:lang w:val="sr-Cyrl-CS"/>
        </w:rPr>
        <w:t>и здравља на раду, за вршење инспекцијског надзора у делу који се односи на  спровођење поступка процене ризика и доношење акта о процени ризика</w:t>
      </w:r>
      <w:r w:rsidRPr="005D4335">
        <w:rPr>
          <w:rFonts w:ascii="Times New Roman" w:hAnsi="Times New Roman" w:cs="Times New Roman"/>
          <w:color w:val="000000" w:themeColor="text1"/>
          <w:sz w:val="24"/>
          <w:szCs w:val="24"/>
        </w:rPr>
        <w:t xml:space="preserve">, за </w:t>
      </w:r>
      <w:r w:rsidRPr="005D4335">
        <w:rPr>
          <w:rFonts w:ascii="Times New Roman" w:hAnsi="Times New Roman" w:cs="Times New Roman"/>
          <w:color w:val="000000" w:themeColor="text1"/>
          <w:sz w:val="24"/>
          <w:szCs w:val="24"/>
          <w:lang w:val="sr-Cyrl-CS"/>
        </w:rPr>
        <w:t>вршење инспекцијског надзора поводом смртне, тешке повреде на раду са смртним исходом, колективне и тешке повреде на раду,</w:t>
      </w:r>
      <w:r w:rsidRPr="005D4335">
        <w:rPr>
          <w:rFonts w:ascii="Times New Roman" w:hAnsi="Times New Roman" w:cs="Times New Roman"/>
          <w:color w:val="000000" w:themeColor="text1"/>
          <w:sz w:val="24"/>
          <w:szCs w:val="24"/>
          <w:lang w:val="sr-Latn-RS"/>
        </w:rPr>
        <w:t xml:space="preserve"> </w:t>
      </w:r>
      <w:r w:rsidRPr="005D4335">
        <w:rPr>
          <w:rFonts w:ascii="Times New Roman" w:hAnsi="Times New Roman" w:cs="Times New Roman"/>
          <w:color w:val="000000" w:themeColor="text1"/>
          <w:sz w:val="24"/>
          <w:szCs w:val="24"/>
        </w:rPr>
        <w:t xml:space="preserve">у </w:t>
      </w:r>
      <w:r w:rsidRPr="005D4335">
        <w:rPr>
          <w:rFonts w:ascii="Times New Roman" w:hAnsi="Times New Roman" w:cs="Times New Roman"/>
          <w:color w:val="000000" w:themeColor="text1"/>
          <w:sz w:val="24"/>
          <w:szCs w:val="24"/>
          <w:lang w:val="sr-Cyrl-CS"/>
        </w:rPr>
        <w:t>вези вршења инспекцијског надзора над  спровођењем превентивни</w:t>
      </w:r>
      <w:r w:rsidR="00F61868" w:rsidRPr="005D4335">
        <w:rPr>
          <w:rFonts w:ascii="Times New Roman" w:hAnsi="Times New Roman" w:cs="Times New Roman"/>
          <w:color w:val="000000" w:themeColor="text1"/>
          <w:sz w:val="24"/>
          <w:szCs w:val="24"/>
        </w:rPr>
        <w:t>х</w:t>
      </w:r>
      <w:r w:rsidRPr="005D4335">
        <w:rPr>
          <w:rFonts w:ascii="Times New Roman" w:hAnsi="Times New Roman" w:cs="Times New Roman"/>
          <w:color w:val="000000" w:themeColor="text1"/>
          <w:sz w:val="24"/>
          <w:szCs w:val="24"/>
          <w:lang w:val="sr-Cyrl-CS"/>
        </w:rPr>
        <w:t xml:space="preserve"> мера</w:t>
      </w:r>
      <w:r w:rsidR="00F61868" w:rsidRPr="005D4335">
        <w:rPr>
          <w:rFonts w:ascii="Times New Roman" w:hAnsi="Times New Roman" w:cs="Times New Roman"/>
          <w:color w:val="000000" w:themeColor="text1"/>
          <w:sz w:val="24"/>
          <w:szCs w:val="24"/>
          <w:lang w:val="sr-Cyrl-CS"/>
        </w:rPr>
        <w:t xml:space="preserve"> </w:t>
      </w:r>
      <w:r w:rsidRPr="005D4335">
        <w:rPr>
          <w:rFonts w:ascii="Times New Roman" w:hAnsi="Times New Roman" w:cs="Times New Roman"/>
          <w:color w:val="000000" w:themeColor="text1"/>
          <w:sz w:val="24"/>
          <w:szCs w:val="24"/>
          <w:lang w:val="sr-Cyrl-CS"/>
        </w:rPr>
        <w:t xml:space="preserve">за безбедан и здрав рад при коришћењу опреме за рад. </w:t>
      </w:r>
    </w:p>
    <w:p w14:paraId="5C1D753C" w14:textId="550B6728" w:rsidR="00037B42" w:rsidRPr="005D4335" w:rsidRDefault="00037B42" w:rsidP="00037B42">
      <w:pPr>
        <w:ind w:firstLine="720"/>
        <w:jc w:val="both"/>
        <w:rPr>
          <w:rFonts w:ascii="Times New Roman" w:hAnsi="Times New Roman" w:cs="Times New Roman"/>
          <w:color w:val="000000" w:themeColor="text1"/>
          <w:sz w:val="24"/>
          <w:szCs w:val="24"/>
        </w:rPr>
      </w:pPr>
      <w:r w:rsidRPr="005D4335">
        <w:rPr>
          <w:rFonts w:ascii="Times New Roman" w:hAnsi="Times New Roman" w:cs="Times New Roman"/>
          <w:noProof/>
          <w:color w:val="000000" w:themeColor="text1"/>
          <w:sz w:val="24"/>
          <w:szCs w:val="24"/>
        </w:rPr>
        <w:t>Током реализације т</w:t>
      </w:r>
      <w:r w:rsidRPr="005D4335">
        <w:rPr>
          <w:rFonts w:ascii="Times New Roman" w:hAnsi="Times New Roman" w:cs="Times New Roman"/>
          <w:noProof/>
          <w:color w:val="000000" w:themeColor="text1"/>
          <w:sz w:val="24"/>
          <w:szCs w:val="24"/>
          <w:lang w:val="sr-Latn-CS"/>
        </w:rPr>
        <w:t xml:space="preserve">вининг пројекат </w:t>
      </w:r>
      <w:r w:rsidR="00EB5D86" w:rsidRPr="005D4335">
        <w:rPr>
          <w:rFonts w:ascii="Times New Roman" w:hAnsi="Times New Roman" w:cs="Times New Roman"/>
          <w:bCs/>
          <w:noProof/>
          <w:color w:val="000000" w:themeColor="text1"/>
          <w:spacing w:val="-8"/>
          <w:sz w:val="24"/>
          <w:szCs w:val="24"/>
        </w:rPr>
        <w:t>„</w:t>
      </w:r>
      <w:r w:rsidRPr="005D4335">
        <w:rPr>
          <w:rFonts w:ascii="Times New Roman" w:hAnsi="Times New Roman" w:cs="Times New Roman"/>
          <w:bCs/>
          <w:noProof/>
          <w:color w:val="000000" w:themeColor="text1"/>
          <w:spacing w:val="-8"/>
          <w:sz w:val="24"/>
          <w:szCs w:val="24"/>
          <w:lang w:val="sr-Latn-CS"/>
        </w:rPr>
        <w:t>Подршка и унапређење безбедности и здравља на раду и инспекције рада у Републици Србиј</w:t>
      </w:r>
      <w:r w:rsidRPr="005D4335">
        <w:rPr>
          <w:rFonts w:ascii="Times New Roman" w:hAnsi="Times New Roman" w:cs="Times New Roman"/>
          <w:bCs/>
          <w:noProof/>
          <w:color w:val="000000" w:themeColor="text1"/>
          <w:spacing w:val="-8"/>
          <w:sz w:val="24"/>
          <w:szCs w:val="24"/>
        </w:rPr>
        <w:t>и</w:t>
      </w:r>
      <w:r w:rsidR="001128D3" w:rsidRPr="005D4335">
        <w:rPr>
          <w:rFonts w:ascii="Times New Roman" w:hAnsi="Times New Roman" w:cs="Times New Roman"/>
          <w:bCs/>
          <w:noProof/>
          <w:color w:val="000000" w:themeColor="text1"/>
          <w:spacing w:val="-8"/>
          <w:sz w:val="24"/>
          <w:szCs w:val="24"/>
        </w:rPr>
        <w:t>”</w:t>
      </w:r>
      <w:r w:rsidRPr="005D4335">
        <w:rPr>
          <w:rFonts w:ascii="Times New Roman" w:hAnsi="Times New Roman" w:cs="Times New Roman"/>
          <w:bCs/>
          <w:noProof/>
          <w:color w:val="000000" w:themeColor="text1"/>
          <w:spacing w:val="-8"/>
          <w:sz w:val="24"/>
          <w:szCs w:val="24"/>
          <w:lang w:val="sr-Latn-CS"/>
        </w:rPr>
        <w:t xml:space="preserve">, уз </w:t>
      </w:r>
      <w:r w:rsidRPr="005D4335">
        <w:rPr>
          <w:rFonts w:ascii="Times New Roman" w:hAnsi="Times New Roman" w:cs="Times New Roman"/>
          <w:noProof/>
          <w:color w:val="000000" w:themeColor="text1"/>
          <w:spacing w:val="-8"/>
          <w:sz w:val="24"/>
          <w:szCs w:val="24"/>
          <w:lang w:val="sr-Latn-CS"/>
        </w:rPr>
        <w:t xml:space="preserve">финансијску </w:t>
      </w:r>
      <w:r w:rsidRPr="005D4335">
        <w:rPr>
          <w:rFonts w:ascii="Times New Roman" w:hAnsi="Times New Roman" w:cs="Times New Roman"/>
          <w:noProof/>
          <w:color w:val="000000" w:themeColor="text1"/>
          <w:sz w:val="24"/>
          <w:szCs w:val="24"/>
          <w:lang w:val="sr-Latn-CS"/>
        </w:rPr>
        <w:t>подршку Европске уније из средстава ИПА 2014,</w:t>
      </w:r>
      <w:r w:rsidRPr="005D4335">
        <w:rPr>
          <w:rFonts w:ascii="Times New Roman" w:hAnsi="Times New Roman" w:cs="Times New Roman"/>
          <w:noProof/>
          <w:color w:val="000000" w:themeColor="text1"/>
          <w:sz w:val="24"/>
          <w:szCs w:val="24"/>
        </w:rPr>
        <w:t xml:space="preserve"> извршена је а</w:t>
      </w:r>
      <w:r w:rsidRPr="005D4335">
        <w:rPr>
          <w:rFonts w:ascii="Times New Roman" w:hAnsi="Times New Roman" w:cs="Times New Roman"/>
          <w:color w:val="000000" w:themeColor="text1"/>
          <w:sz w:val="24"/>
          <w:szCs w:val="24"/>
          <w:lang w:val="en-GB" w:eastAsia="en-GB"/>
        </w:rPr>
        <w:t>нализа интерне документацијe</w:t>
      </w:r>
      <w:r w:rsidRPr="00822627">
        <w:rPr>
          <w:rFonts w:ascii="Times New Roman" w:hAnsi="Times New Roman" w:cs="Times New Roman"/>
          <w:color w:val="000000" w:themeColor="text1"/>
          <w:sz w:val="24"/>
          <w:szCs w:val="24"/>
          <w:lang w:val="en-GB" w:eastAsia="en-GB"/>
        </w:rPr>
        <w:t>,</w:t>
      </w:r>
      <w:r w:rsidRPr="005D4335">
        <w:rPr>
          <w:rFonts w:ascii="Times New Roman" w:hAnsi="Times New Roman" w:cs="Times New Roman"/>
          <w:b/>
          <w:color w:val="000000" w:themeColor="text1"/>
          <w:sz w:val="24"/>
          <w:szCs w:val="24"/>
          <w:lang w:val="en-GB" w:eastAsia="en-GB"/>
        </w:rPr>
        <w:t xml:space="preserve"> </w:t>
      </w:r>
      <w:r w:rsidRPr="005D4335">
        <w:rPr>
          <w:rFonts w:ascii="Times New Roman" w:hAnsi="Times New Roman" w:cs="Times New Roman"/>
          <w:color w:val="000000" w:themeColor="text1"/>
          <w:sz w:val="24"/>
          <w:szCs w:val="24"/>
          <w:lang w:val="en-GB" w:eastAsia="en-GB"/>
        </w:rPr>
        <w:t>управљачких алата и процеса Инспектората за рад</w:t>
      </w:r>
      <w:r w:rsidRPr="005D4335">
        <w:rPr>
          <w:rFonts w:ascii="Times New Roman" w:hAnsi="Times New Roman" w:cs="Times New Roman"/>
          <w:color w:val="000000" w:themeColor="text1"/>
          <w:sz w:val="24"/>
          <w:szCs w:val="24"/>
          <w:lang w:eastAsia="en-GB"/>
        </w:rPr>
        <w:t xml:space="preserve"> и израђена је Стратешка методологија за инспекторе рада о ефикасном откривању рада </w:t>
      </w:r>
      <w:r w:rsidR="00EB5D86" w:rsidRPr="005D4335">
        <w:rPr>
          <w:rFonts w:ascii="Times New Roman" w:hAnsi="Times New Roman" w:cs="Times New Roman"/>
          <w:color w:val="000000" w:themeColor="text1"/>
          <w:sz w:val="24"/>
          <w:szCs w:val="24"/>
          <w:lang w:eastAsia="en-GB"/>
        </w:rPr>
        <w:t>„</w:t>
      </w:r>
      <w:r w:rsidRPr="005D4335">
        <w:rPr>
          <w:rFonts w:ascii="Times New Roman" w:hAnsi="Times New Roman" w:cs="Times New Roman"/>
          <w:color w:val="000000" w:themeColor="text1"/>
          <w:sz w:val="24"/>
          <w:szCs w:val="24"/>
          <w:lang w:eastAsia="en-GB"/>
        </w:rPr>
        <w:t>на црно</w:t>
      </w:r>
      <w:r w:rsidR="001128D3" w:rsidRPr="005D4335">
        <w:rPr>
          <w:rFonts w:ascii="Times New Roman" w:hAnsi="Times New Roman" w:cs="Times New Roman"/>
          <w:color w:val="000000" w:themeColor="text1"/>
          <w:sz w:val="24"/>
          <w:szCs w:val="24"/>
          <w:lang w:eastAsia="en-GB"/>
        </w:rPr>
        <w:t>”</w:t>
      </w:r>
      <w:r w:rsidRPr="005D4335">
        <w:rPr>
          <w:rFonts w:ascii="Times New Roman" w:hAnsi="Times New Roman" w:cs="Times New Roman"/>
          <w:color w:val="000000" w:themeColor="text1"/>
          <w:sz w:val="24"/>
          <w:szCs w:val="24"/>
          <w:lang w:eastAsia="en-GB"/>
        </w:rPr>
        <w:t xml:space="preserve">, </w:t>
      </w:r>
      <w:r w:rsidRPr="005D4335">
        <w:rPr>
          <w:rFonts w:ascii="Times New Roman" w:hAnsi="Times New Roman" w:cs="Times New Roman"/>
          <w:bCs/>
          <w:color w:val="000000" w:themeColor="text1"/>
          <w:sz w:val="24"/>
          <w:szCs w:val="24"/>
          <w:lang w:eastAsia="en-GB"/>
        </w:rPr>
        <w:t>Водич за инспекцијски надзор у пољопривреди</w:t>
      </w:r>
      <w:r w:rsidR="00BC575C">
        <w:rPr>
          <w:rFonts w:ascii="Times New Roman" w:hAnsi="Times New Roman" w:cs="Times New Roman"/>
          <w:color w:val="000000" w:themeColor="text1"/>
          <w:sz w:val="24"/>
          <w:szCs w:val="24"/>
          <w:lang w:eastAsia="en-GB"/>
        </w:rPr>
        <w:t xml:space="preserve">,  као и </w:t>
      </w:r>
      <w:r w:rsidRPr="005D4335">
        <w:rPr>
          <w:rFonts w:ascii="Times New Roman" w:hAnsi="Times New Roman" w:cs="Times New Roman"/>
          <w:color w:val="000000" w:themeColor="text1"/>
          <w:sz w:val="24"/>
          <w:szCs w:val="24"/>
          <w:lang w:val="en-GB" w:eastAsia="en-GB"/>
        </w:rPr>
        <w:t>Приручник за ефикасну контролу</w:t>
      </w:r>
      <w:r w:rsidRPr="005D4335">
        <w:rPr>
          <w:rFonts w:ascii="Times New Roman" w:hAnsi="Times New Roman" w:cs="Times New Roman"/>
          <w:color w:val="000000" w:themeColor="text1"/>
          <w:sz w:val="24"/>
          <w:szCs w:val="24"/>
          <w:lang w:eastAsia="en-GB"/>
        </w:rPr>
        <w:t xml:space="preserve"> </w:t>
      </w:r>
      <w:r w:rsidRPr="005D4335">
        <w:rPr>
          <w:rFonts w:ascii="Times New Roman" w:hAnsi="Times New Roman" w:cs="Times New Roman"/>
          <w:color w:val="000000" w:themeColor="text1"/>
          <w:sz w:val="24"/>
          <w:szCs w:val="24"/>
          <w:lang w:val="en-GB" w:eastAsia="en-GB"/>
        </w:rPr>
        <w:t>на градилиштима</w:t>
      </w:r>
      <w:r w:rsidRPr="005D4335">
        <w:rPr>
          <w:rFonts w:ascii="Times New Roman" w:hAnsi="Times New Roman" w:cs="Times New Roman"/>
          <w:color w:val="000000" w:themeColor="text1"/>
          <w:sz w:val="24"/>
          <w:szCs w:val="24"/>
          <w:lang w:eastAsia="en-GB"/>
        </w:rPr>
        <w:t xml:space="preserve">. </w:t>
      </w:r>
    </w:p>
    <w:p w14:paraId="1176E93D" w14:textId="0A4B2F6E" w:rsidR="00037B42" w:rsidRPr="005D4335" w:rsidRDefault="00037B42" w:rsidP="00037B42">
      <w:pPr>
        <w:ind w:firstLine="720"/>
        <w:jc w:val="both"/>
        <w:rPr>
          <w:rFonts w:ascii="Times New Roman" w:hAnsi="Times New Roman" w:cs="Times New Roman"/>
          <w:color w:val="000000" w:themeColor="text1"/>
          <w:sz w:val="24"/>
          <w:szCs w:val="24"/>
        </w:rPr>
      </w:pPr>
      <w:r w:rsidRPr="005D4335">
        <w:rPr>
          <w:rFonts w:ascii="Times New Roman" w:hAnsi="Times New Roman" w:cs="Times New Roman"/>
          <w:color w:val="000000" w:themeColor="text1"/>
          <w:sz w:val="24"/>
          <w:szCs w:val="24"/>
        </w:rPr>
        <w:t xml:space="preserve">У оквиру твининг пројекта обучено је 20 инспектора рада по систему тренинг тренера на теме: </w:t>
      </w:r>
      <w:r w:rsidR="00F61868" w:rsidRPr="005D4335">
        <w:rPr>
          <w:rFonts w:ascii="Times New Roman" w:hAnsi="Times New Roman" w:cs="Times New Roman"/>
          <w:color w:val="000000" w:themeColor="text1"/>
          <w:sz w:val="24"/>
          <w:szCs w:val="24"/>
        </w:rPr>
        <w:t xml:space="preserve">тренерске вештине; </w:t>
      </w:r>
      <w:r w:rsidR="00F61868" w:rsidRPr="005D4335">
        <w:rPr>
          <w:rFonts w:ascii="Times New Roman" w:hAnsi="Times New Roman" w:cs="Times New Roman"/>
          <w:color w:val="000000" w:themeColor="text1"/>
          <w:sz w:val="24"/>
          <w:szCs w:val="24"/>
          <w:lang w:eastAsia="en-GB"/>
        </w:rPr>
        <w:t>захтеви за безбедност и здравље на радном месту и  при коришћењу опреме за рад, обезбеђивање и коришћење личне заштитне опреме</w:t>
      </w:r>
      <w:r w:rsidR="00F61868" w:rsidRPr="005D4335">
        <w:rPr>
          <w:rFonts w:ascii="Times New Roman" w:hAnsi="Times New Roman" w:cs="Times New Roman"/>
          <w:color w:val="000000" w:themeColor="text1"/>
          <w:sz w:val="24"/>
          <w:szCs w:val="24"/>
        </w:rPr>
        <w:t>; надзор на градилишту, азбест, безбедносне ознаке; хемикалије, експлозиви, атекс захтеви, канцерогени, мутагени и биолошки агенси; надзор у пољопривреди, ручно манипулисање теретом, бука и вибрације; процена ризика, новине у области безбедности и здравља на раду, организација безбедности и здравља на раду; психосоцијални аспекти рада, стрес на рад</w:t>
      </w:r>
      <w:r w:rsidR="00EC03E3">
        <w:rPr>
          <w:rFonts w:ascii="Times New Roman" w:hAnsi="Times New Roman" w:cs="Times New Roman"/>
          <w:color w:val="000000" w:themeColor="text1"/>
          <w:sz w:val="24"/>
          <w:szCs w:val="24"/>
        </w:rPr>
        <w:t xml:space="preserve">у и услови рада, рад на црно и </w:t>
      </w:r>
      <w:r w:rsidR="00F61868" w:rsidRPr="005D4335">
        <w:rPr>
          <w:rFonts w:ascii="Times New Roman" w:hAnsi="Times New Roman" w:cs="Times New Roman"/>
          <w:color w:val="000000" w:themeColor="text1"/>
          <w:sz w:val="24"/>
          <w:szCs w:val="24"/>
        </w:rPr>
        <w:t xml:space="preserve">теме из области радних односа. </w:t>
      </w:r>
    </w:p>
    <w:p w14:paraId="19DE7F56" w14:textId="73944A08" w:rsidR="00037B42" w:rsidRPr="005D4335" w:rsidRDefault="00B86723" w:rsidP="00037B42">
      <w:pPr>
        <w:ind w:right="4"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eastAsia="sk-SK"/>
        </w:rPr>
        <w:t xml:space="preserve">Формирана је Пилот </w:t>
      </w:r>
      <w:r w:rsidR="00037B42" w:rsidRPr="005D4335">
        <w:rPr>
          <w:rFonts w:ascii="Times New Roman" w:hAnsi="Times New Roman" w:cs="Times New Roman"/>
          <w:color w:val="000000" w:themeColor="text1"/>
          <w:sz w:val="24"/>
          <w:szCs w:val="24"/>
          <w:lang w:eastAsia="sk-SK"/>
        </w:rPr>
        <w:t>учионица која испуњава захтеве интерактивног простора, прилагођеног за еду</w:t>
      </w:r>
      <w:r w:rsidR="001128D3" w:rsidRPr="005D4335">
        <w:rPr>
          <w:rFonts w:ascii="Times New Roman" w:hAnsi="Times New Roman" w:cs="Times New Roman"/>
          <w:color w:val="000000" w:themeColor="text1"/>
          <w:sz w:val="24"/>
          <w:szCs w:val="24"/>
          <w:lang w:eastAsia="sk-SK"/>
        </w:rPr>
        <w:t>к</w:t>
      </w:r>
      <w:r w:rsidR="00037B42" w:rsidRPr="005D4335">
        <w:rPr>
          <w:rFonts w:ascii="Times New Roman" w:hAnsi="Times New Roman" w:cs="Times New Roman"/>
          <w:color w:val="000000" w:themeColor="text1"/>
          <w:sz w:val="24"/>
          <w:szCs w:val="24"/>
          <w:lang w:eastAsia="sk-SK"/>
        </w:rPr>
        <w:t xml:space="preserve">ацију инспектора рада, која </w:t>
      </w:r>
      <w:r w:rsidR="00037B42" w:rsidRPr="005D4335">
        <w:rPr>
          <w:rStyle w:val="jlqj4b"/>
          <w:rFonts w:ascii="Times New Roman" w:hAnsi="Times New Roman" w:cs="Times New Roman"/>
          <w:color w:val="000000" w:themeColor="text1"/>
          <w:sz w:val="24"/>
          <w:szCs w:val="24"/>
        </w:rPr>
        <w:t xml:space="preserve">је </w:t>
      </w:r>
      <w:r w:rsidR="00037B42" w:rsidRPr="005D4335">
        <w:rPr>
          <w:rStyle w:val="jlqj4b"/>
          <w:rFonts w:ascii="Times New Roman" w:hAnsi="Times New Roman" w:cs="Times New Roman"/>
          <w:color w:val="000000" w:themeColor="text1"/>
          <w:sz w:val="24"/>
          <w:szCs w:val="24"/>
          <w:lang w:val="sr-Latn-CS"/>
        </w:rPr>
        <w:t>омогућ</w:t>
      </w:r>
      <w:r w:rsidR="00037B42" w:rsidRPr="005D4335">
        <w:rPr>
          <w:rStyle w:val="jlqj4b"/>
          <w:rFonts w:ascii="Times New Roman" w:hAnsi="Times New Roman" w:cs="Times New Roman"/>
          <w:color w:val="000000" w:themeColor="text1"/>
          <w:sz w:val="24"/>
          <w:szCs w:val="24"/>
        </w:rPr>
        <w:t xml:space="preserve">ила </w:t>
      </w:r>
      <w:r w:rsidR="00037B42" w:rsidRPr="005D4335">
        <w:rPr>
          <w:rStyle w:val="jlqj4b"/>
          <w:rFonts w:ascii="Times New Roman" w:hAnsi="Times New Roman" w:cs="Times New Roman"/>
          <w:color w:val="000000" w:themeColor="text1"/>
          <w:sz w:val="24"/>
          <w:szCs w:val="24"/>
          <w:lang w:val="sr-Latn-CS"/>
        </w:rPr>
        <w:t xml:space="preserve">обуку инспектора рада и постепену примену </w:t>
      </w:r>
      <w:r w:rsidR="00037B42" w:rsidRPr="005D4335">
        <w:rPr>
          <w:rStyle w:val="jlqj4b"/>
          <w:rFonts w:ascii="Times New Roman" w:hAnsi="Times New Roman" w:cs="Times New Roman"/>
          <w:color w:val="000000" w:themeColor="text1"/>
          <w:sz w:val="24"/>
          <w:szCs w:val="24"/>
        </w:rPr>
        <w:t>С</w:t>
      </w:r>
      <w:r w:rsidR="00037B42" w:rsidRPr="005D4335">
        <w:rPr>
          <w:rStyle w:val="jlqj4b"/>
          <w:rFonts w:ascii="Times New Roman" w:hAnsi="Times New Roman" w:cs="Times New Roman"/>
          <w:color w:val="000000" w:themeColor="text1"/>
          <w:sz w:val="24"/>
          <w:szCs w:val="24"/>
          <w:lang w:val="sr-Latn-CS"/>
        </w:rPr>
        <w:t xml:space="preserve">истема образовања и обуке </w:t>
      </w:r>
      <w:r w:rsidR="00037B42" w:rsidRPr="005D4335">
        <w:rPr>
          <w:rStyle w:val="jlqj4b"/>
          <w:rFonts w:ascii="Times New Roman" w:hAnsi="Times New Roman" w:cs="Times New Roman"/>
          <w:color w:val="000000" w:themeColor="text1"/>
          <w:sz w:val="24"/>
          <w:szCs w:val="24"/>
        </w:rPr>
        <w:t>И</w:t>
      </w:r>
      <w:r w:rsidR="00037B42" w:rsidRPr="005D4335">
        <w:rPr>
          <w:rStyle w:val="jlqj4b"/>
          <w:rFonts w:ascii="Times New Roman" w:hAnsi="Times New Roman" w:cs="Times New Roman"/>
          <w:color w:val="000000" w:themeColor="text1"/>
          <w:sz w:val="24"/>
          <w:szCs w:val="24"/>
          <w:lang w:val="sr-Latn-CS"/>
        </w:rPr>
        <w:t>нспектората</w:t>
      </w:r>
      <w:r w:rsidR="00037B42" w:rsidRPr="005D4335">
        <w:rPr>
          <w:rStyle w:val="jlqj4b"/>
          <w:rFonts w:ascii="Times New Roman" w:hAnsi="Times New Roman" w:cs="Times New Roman"/>
          <w:color w:val="000000" w:themeColor="text1"/>
          <w:sz w:val="24"/>
          <w:szCs w:val="24"/>
        </w:rPr>
        <w:t xml:space="preserve"> за</w:t>
      </w:r>
      <w:r w:rsidR="00037B42" w:rsidRPr="005D4335">
        <w:rPr>
          <w:rStyle w:val="jlqj4b"/>
          <w:rFonts w:ascii="Times New Roman" w:hAnsi="Times New Roman" w:cs="Times New Roman"/>
          <w:color w:val="000000" w:themeColor="text1"/>
          <w:sz w:val="24"/>
          <w:szCs w:val="24"/>
          <w:lang w:val="sr-Latn-CS"/>
        </w:rPr>
        <w:t xml:space="preserve"> рад</w:t>
      </w:r>
      <w:r w:rsidR="00037B42" w:rsidRPr="005D4335">
        <w:rPr>
          <w:rStyle w:val="jlqj4b"/>
          <w:rFonts w:ascii="Times New Roman" w:hAnsi="Times New Roman" w:cs="Times New Roman"/>
          <w:color w:val="000000" w:themeColor="text1"/>
          <w:sz w:val="24"/>
          <w:szCs w:val="24"/>
        </w:rPr>
        <w:t xml:space="preserve">, који је </w:t>
      </w:r>
      <w:r w:rsidR="00037B42" w:rsidRPr="005D4335">
        <w:rPr>
          <w:rStyle w:val="jlqj4b"/>
          <w:rFonts w:ascii="Times New Roman" w:hAnsi="Times New Roman" w:cs="Times New Roman"/>
          <w:color w:val="000000" w:themeColor="text1"/>
          <w:sz w:val="24"/>
          <w:szCs w:val="24"/>
          <w:lang w:val="sr-Latn-CS"/>
        </w:rPr>
        <w:t>разрађен у оквиру твининг пројекта.</w:t>
      </w:r>
      <w:r w:rsidR="00037B42" w:rsidRPr="005D4335">
        <w:rPr>
          <w:rFonts w:ascii="Times New Roman" w:hAnsi="Times New Roman" w:cs="Times New Roman"/>
          <w:color w:val="000000" w:themeColor="text1"/>
          <w:sz w:val="24"/>
          <w:szCs w:val="24"/>
        </w:rPr>
        <w:t xml:space="preserve"> Приритет представљају обуке нов</w:t>
      </w:r>
      <w:r w:rsidR="00916481">
        <w:rPr>
          <w:rFonts w:ascii="Times New Roman" w:hAnsi="Times New Roman" w:cs="Times New Roman"/>
          <w:color w:val="000000" w:themeColor="text1"/>
          <w:sz w:val="24"/>
          <w:szCs w:val="24"/>
        </w:rPr>
        <w:t xml:space="preserve">озапослених инспектора рада на </w:t>
      </w:r>
      <w:r w:rsidR="00037B42" w:rsidRPr="005D4335">
        <w:rPr>
          <w:rFonts w:ascii="Times New Roman" w:hAnsi="Times New Roman" w:cs="Times New Roman"/>
          <w:color w:val="000000" w:themeColor="text1"/>
          <w:sz w:val="24"/>
          <w:szCs w:val="24"/>
        </w:rPr>
        <w:t>теме из домена надлежности инспекције рада.</w:t>
      </w:r>
    </w:p>
    <w:p w14:paraId="160CA3EC" w14:textId="17AEF748" w:rsidR="00037B42" w:rsidRPr="005D4335" w:rsidRDefault="00037B42" w:rsidP="00037B42">
      <w:pPr>
        <w:shd w:val="clear" w:color="auto" w:fill="FFFFFF"/>
        <w:ind w:firstLine="720"/>
        <w:jc w:val="both"/>
        <w:rPr>
          <w:rFonts w:ascii="Times New Roman" w:hAnsi="Times New Roman" w:cs="Times New Roman"/>
          <w:b/>
          <w:color w:val="000000" w:themeColor="text1"/>
          <w:sz w:val="24"/>
          <w:szCs w:val="24"/>
        </w:rPr>
      </w:pPr>
      <w:r w:rsidRPr="005D4335">
        <w:rPr>
          <w:rFonts w:ascii="Times New Roman" w:hAnsi="Times New Roman" w:cs="Times New Roman"/>
          <w:color w:val="000000" w:themeColor="text1"/>
          <w:sz w:val="24"/>
          <w:szCs w:val="24"/>
          <w:lang w:eastAsia="sk-SK"/>
        </w:rPr>
        <w:t xml:space="preserve">Такође, </w:t>
      </w:r>
      <w:r w:rsidRPr="005D4335">
        <w:rPr>
          <w:rFonts w:ascii="Times New Roman" w:hAnsi="Times New Roman" w:cs="Times New Roman"/>
          <w:bCs/>
          <w:iCs/>
          <w:color w:val="000000" w:themeColor="text1"/>
          <w:sz w:val="24"/>
          <w:szCs w:val="24"/>
        </w:rPr>
        <w:t>И</w:t>
      </w:r>
      <w:r w:rsidRPr="005D4335">
        <w:rPr>
          <w:rFonts w:ascii="Times New Roman" w:hAnsi="Times New Roman" w:cs="Times New Roman"/>
          <w:color w:val="000000" w:themeColor="text1"/>
          <w:sz w:val="24"/>
          <w:szCs w:val="24"/>
        </w:rPr>
        <w:t>нспекторат за рад, на годишњем нивоу, организује и реализује  тродневна саветовање за инспекторе рада</w:t>
      </w:r>
      <w:r w:rsidRPr="005D4335">
        <w:rPr>
          <w:rFonts w:ascii="Times New Roman" w:hAnsi="Times New Roman" w:cs="Times New Roman"/>
          <w:color w:val="000000" w:themeColor="text1"/>
          <w:sz w:val="24"/>
          <w:szCs w:val="24"/>
          <w:lang w:val="sr-Cyrl-CS"/>
        </w:rPr>
        <w:t xml:space="preserve">. </w:t>
      </w:r>
      <w:r w:rsidRPr="005D4335">
        <w:rPr>
          <w:rFonts w:ascii="Times New Roman" w:hAnsi="Times New Roman" w:cs="Times New Roman"/>
          <w:color w:val="000000" w:themeColor="text1"/>
          <w:sz w:val="24"/>
          <w:szCs w:val="24"/>
        </w:rPr>
        <w:t xml:space="preserve">На саветовањима учествује велики број инспектора рада који се креће и до 150. На саветовањима се ближе представљају нови закони и подзаконски акти из надлежности инспекције рада, а теме семинара  су и друга </w:t>
      </w:r>
      <w:r w:rsidRPr="005D4335">
        <w:rPr>
          <w:rFonts w:ascii="Times New Roman" w:hAnsi="Times New Roman" w:cs="Times New Roman"/>
          <w:color w:val="000000" w:themeColor="text1"/>
          <w:sz w:val="24"/>
          <w:szCs w:val="24"/>
        </w:rPr>
        <w:lastRenderedPageBreak/>
        <w:t>актуелна питањ</w:t>
      </w:r>
      <w:r w:rsidR="00082167">
        <w:rPr>
          <w:rFonts w:ascii="Times New Roman" w:hAnsi="Times New Roman" w:cs="Times New Roman"/>
          <w:color w:val="000000" w:themeColor="text1"/>
          <w:sz w:val="24"/>
          <w:szCs w:val="24"/>
        </w:rPr>
        <w:t>а у вези прописа и инспекцијско</w:t>
      </w:r>
      <w:r w:rsidRPr="005D4335">
        <w:rPr>
          <w:rFonts w:ascii="Times New Roman" w:hAnsi="Times New Roman" w:cs="Times New Roman"/>
          <w:color w:val="000000" w:themeColor="text1"/>
          <w:sz w:val="24"/>
          <w:szCs w:val="24"/>
        </w:rPr>
        <w:t>г надзора над применом прописа из области рада</w:t>
      </w:r>
      <w:r w:rsidRPr="00020096">
        <w:rPr>
          <w:rFonts w:ascii="Times New Roman" w:hAnsi="Times New Roman" w:cs="Times New Roman"/>
          <w:color w:val="000000" w:themeColor="text1"/>
          <w:sz w:val="24"/>
          <w:szCs w:val="24"/>
        </w:rPr>
        <w:t>.</w:t>
      </w:r>
    </w:p>
    <w:p w14:paraId="7C24AE6A" w14:textId="7B4E76C8" w:rsidR="00D10DDC" w:rsidRPr="00301DB6" w:rsidRDefault="00037B42" w:rsidP="00301DB6">
      <w:pPr>
        <w:shd w:val="clear" w:color="auto" w:fill="FFFFFF"/>
        <w:ind w:firstLine="720"/>
        <w:jc w:val="both"/>
        <w:rPr>
          <w:rFonts w:ascii="Times New Roman" w:hAnsi="Times New Roman" w:cs="Times New Roman"/>
          <w:color w:val="000000" w:themeColor="text1"/>
          <w:sz w:val="24"/>
          <w:szCs w:val="24"/>
          <w:lang w:val="sr-Latn-RS"/>
        </w:rPr>
      </w:pPr>
      <w:r w:rsidRPr="005D4335">
        <w:rPr>
          <w:rFonts w:ascii="Times New Roman" w:hAnsi="Times New Roman" w:cs="Times New Roman"/>
          <w:color w:val="000000" w:themeColor="text1"/>
          <w:sz w:val="24"/>
          <w:szCs w:val="24"/>
          <w:lang w:val="sr-Cyrl-CS"/>
        </w:rPr>
        <w:t xml:space="preserve">У Извештајима о раду Инспектората за рад за 2021, 2022. и 2023.годину, који су објављени на </w:t>
      </w:r>
      <w:r w:rsidR="00F61868" w:rsidRPr="005D4335">
        <w:rPr>
          <w:rFonts w:ascii="Times New Roman" w:hAnsi="Times New Roman" w:cs="Times New Roman"/>
          <w:color w:val="000000" w:themeColor="text1"/>
          <w:sz w:val="24"/>
          <w:szCs w:val="24"/>
          <w:lang w:val="sr-Cyrl-CS"/>
        </w:rPr>
        <w:t>интернет страници</w:t>
      </w:r>
      <w:r w:rsidRPr="005D4335">
        <w:rPr>
          <w:rFonts w:ascii="Times New Roman" w:hAnsi="Times New Roman" w:cs="Times New Roman"/>
          <w:color w:val="000000" w:themeColor="text1"/>
          <w:sz w:val="24"/>
          <w:szCs w:val="24"/>
          <w:lang w:val="sr-Cyrl-CS"/>
        </w:rPr>
        <w:t xml:space="preserve"> Министарства за рад, запошљавање, борачка и социјална питања (https://www.minrzs.gov</w:t>
      </w:r>
      <w:r w:rsidR="007157FB">
        <w:rPr>
          <w:rFonts w:ascii="Times New Roman" w:hAnsi="Times New Roman" w:cs="Times New Roman"/>
          <w:color w:val="000000" w:themeColor="text1"/>
          <w:sz w:val="24"/>
          <w:szCs w:val="24"/>
          <w:lang w:val="sr-Cyrl-CS"/>
        </w:rPr>
        <w:t xml:space="preserve">.rs/sr/dokumenti/ostalo?page=9) </w:t>
      </w:r>
      <w:r w:rsidRPr="005D4335">
        <w:rPr>
          <w:rFonts w:ascii="Times New Roman" w:hAnsi="Times New Roman" w:cs="Times New Roman"/>
          <w:color w:val="000000" w:themeColor="text1"/>
          <w:sz w:val="24"/>
          <w:szCs w:val="24"/>
          <w:lang w:val="sr-Cyrl-CS"/>
        </w:rPr>
        <w:t>дате су информације о појединим едук</w:t>
      </w:r>
      <w:r w:rsidRPr="005D4335">
        <w:rPr>
          <w:rFonts w:ascii="Times New Roman" w:hAnsi="Times New Roman" w:cs="Times New Roman"/>
          <w:color w:val="000000" w:themeColor="text1"/>
          <w:sz w:val="24"/>
          <w:szCs w:val="24"/>
          <w:lang w:val="en-GB"/>
        </w:rPr>
        <w:t>a</w:t>
      </w:r>
      <w:r w:rsidRPr="005D4335">
        <w:rPr>
          <w:rFonts w:ascii="Times New Roman" w:hAnsi="Times New Roman" w:cs="Times New Roman"/>
          <w:color w:val="000000" w:themeColor="text1"/>
          <w:sz w:val="24"/>
          <w:szCs w:val="24"/>
          <w:lang w:val="sr-Cyrl-CS"/>
        </w:rPr>
        <w:t xml:space="preserve">цијама које су похађали инспектори рада. </w:t>
      </w:r>
    </w:p>
    <w:p w14:paraId="00CEF775" w14:textId="7DE9503C" w:rsidR="001374C9" w:rsidRPr="00203E0A" w:rsidRDefault="008B54F6"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2.4.3. </w:t>
      </w:r>
      <w:r w:rsidR="001374C9" w:rsidRPr="00203E0A">
        <w:rPr>
          <w:rFonts w:ascii="Times New Roman" w:hAnsi="Times New Roman" w:cs="Times New Roman"/>
          <w:b/>
          <w:bCs/>
          <w:sz w:val="24"/>
          <w:szCs w:val="24"/>
          <w:shd w:val="clear" w:color="auto" w:fill="FFFFFF"/>
        </w:rPr>
        <w:t>Савет за безбедност и здравље на раду</w:t>
      </w:r>
      <w:bookmarkEnd w:id="7"/>
    </w:p>
    <w:p w14:paraId="1EF7FCD4"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Савет за безбедност и здравље на раду образован је Одлуком о образовању Савета за безбедност и здравље на раду („Службени гласник РС”, бр. 40/05 и 71/07). Задаци Савета за безбедност и здравље на раду су да: даје иницијативе за доношење прописа у области безбедности и здравља на раду, даје иницијативу за израду националног програма развоја безбедности и здравља на раду, својим деловањем доприноси приближавању различитих ставова учесника у социјалном дијалогу у овој области, иницира превентивну политику по свим питањима која се односе на безбедност и здравље на раду.</w:t>
      </w:r>
    </w:p>
    <w:p w14:paraId="4FC411ED" w14:textId="7B69CA72" w:rsidR="008B54F6" w:rsidRPr="00203E0A" w:rsidRDefault="001374C9" w:rsidP="00AA050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Током периода спровођења стратегије, Савет се повремено састајао како би разматрао стање у области безбедности и здравља на раду са предлозима за унапређење. Савет је био активан у првом периоду спровођења Стратегије, када су одржане три седнице (две у 2018. години и једна у 2019. години). Стратегијом је потребно предвидети активности како би се обезбедило редовно заседање савета, односно како би се успоставио оквир који обезбеђује адекватан социјални дијалог, те како би се иницирале превентивне мере.</w:t>
      </w:r>
    </w:p>
    <w:p w14:paraId="01D3D279" w14:textId="6F2C3ECD" w:rsidR="001374C9" w:rsidRPr="00203E0A" w:rsidRDefault="008B54F6" w:rsidP="48A77BA5">
      <w:pPr>
        <w:ind w:firstLine="720"/>
        <w:jc w:val="both"/>
        <w:rPr>
          <w:rFonts w:ascii="Times New Roman" w:hAnsi="Times New Roman" w:cs="Times New Roman"/>
          <w:b/>
          <w:bCs/>
          <w:sz w:val="24"/>
          <w:szCs w:val="24"/>
          <w:shd w:val="clear" w:color="auto" w:fill="FFFFFF"/>
        </w:rPr>
      </w:pPr>
      <w:bookmarkStart w:id="8" w:name="_Toc126746517"/>
      <w:r w:rsidRPr="00203E0A">
        <w:rPr>
          <w:rFonts w:ascii="Times New Roman" w:hAnsi="Times New Roman" w:cs="Times New Roman"/>
          <w:b/>
          <w:bCs/>
          <w:sz w:val="24"/>
          <w:szCs w:val="24"/>
          <w:shd w:val="clear" w:color="auto" w:fill="FFFFFF"/>
        </w:rPr>
        <w:t xml:space="preserve">2.4.4. </w:t>
      </w:r>
      <w:r w:rsidR="001374C9" w:rsidRPr="00203E0A">
        <w:rPr>
          <w:rFonts w:ascii="Times New Roman" w:hAnsi="Times New Roman" w:cs="Times New Roman"/>
          <w:b/>
          <w:bCs/>
          <w:sz w:val="24"/>
          <w:szCs w:val="24"/>
          <w:shd w:val="clear" w:color="auto" w:fill="FFFFFF"/>
        </w:rPr>
        <w:t>Социјално-економски савет</w:t>
      </w:r>
      <w:bookmarkEnd w:id="8"/>
      <w:r w:rsidR="001374C9" w:rsidRPr="00203E0A">
        <w:rPr>
          <w:rFonts w:ascii="Times New Roman" w:hAnsi="Times New Roman" w:cs="Times New Roman"/>
          <w:b/>
          <w:bCs/>
          <w:sz w:val="24"/>
          <w:szCs w:val="24"/>
          <w:shd w:val="clear" w:color="auto" w:fill="FFFFFF"/>
        </w:rPr>
        <w:t xml:space="preserve"> </w:t>
      </w:r>
    </w:p>
    <w:p w14:paraId="363E0BA7"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Социјално-економски савет је основан у циљу успостављања и развоја социјалног дијалога у питањима од значаја за остваривање економских и социјалних слобода и права човека, материјалног, социјалног и економског положаја запослених и послодаваца и услова њиховог живота и рада, развоја културе преговарања, подстицања мирног решавања колективних радних спорова, развоја демократије и издавања часописа, брошура и других публикација из делокруга свог рада.</w:t>
      </w:r>
    </w:p>
    <w:p w14:paraId="0551D925"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Социјално-економски савет разматра питања: развоја и унапређивања колективног преговарања, утицаја економске политике и мера за њено спровођење на социјални развој и стабилност, политике запошљавања, политике зарада и цена, конкуренције и продуктивности, приватизације и друга питања структурног прилагођавања, заштите радне и животне средине, образовања и професионалне обуке, здравствене и социјалне заштите и сигурности, демографских кретања и друга питања у складу са актима Социјално-економског савета. </w:t>
      </w:r>
    </w:p>
    <w:p w14:paraId="5A9B44A6" w14:textId="4A70A4CA" w:rsidR="008B54F6" w:rsidRPr="00203E0A" w:rsidRDefault="001374C9" w:rsidP="00AA050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Савет је такође имао активну улогу у изради Нацр</w:t>
      </w:r>
      <w:r w:rsidR="00213B98" w:rsidRPr="00203E0A">
        <w:rPr>
          <w:rFonts w:ascii="Times New Roman" w:hAnsi="Times New Roman" w:cs="Times New Roman"/>
          <w:sz w:val="24"/>
          <w:szCs w:val="24"/>
          <w:shd w:val="clear" w:color="auto" w:fill="FFFFFF"/>
        </w:rPr>
        <w:t xml:space="preserve">та </w:t>
      </w:r>
      <w:r w:rsidR="007126FC" w:rsidRPr="00203E0A">
        <w:rPr>
          <w:rFonts w:ascii="Times New Roman" w:hAnsi="Times New Roman" w:cs="Times New Roman"/>
          <w:sz w:val="24"/>
          <w:szCs w:val="24"/>
          <w:shd w:val="clear" w:color="auto" w:fill="FFFFFF"/>
        </w:rPr>
        <w:t>з</w:t>
      </w:r>
      <w:r w:rsidR="00213B98" w:rsidRPr="00203E0A">
        <w:rPr>
          <w:rFonts w:ascii="Times New Roman" w:hAnsi="Times New Roman" w:cs="Times New Roman"/>
          <w:sz w:val="24"/>
          <w:szCs w:val="24"/>
          <w:shd w:val="clear" w:color="auto" w:fill="FFFFFF"/>
        </w:rPr>
        <w:t>акона о безбедности и здрав</w:t>
      </w:r>
      <w:r w:rsidRPr="00203E0A">
        <w:rPr>
          <w:rFonts w:ascii="Times New Roman" w:hAnsi="Times New Roman" w:cs="Times New Roman"/>
          <w:sz w:val="24"/>
          <w:szCs w:val="24"/>
          <w:shd w:val="clear" w:color="auto" w:fill="FFFFFF"/>
        </w:rPr>
        <w:t xml:space="preserve">љу на раду. Савет је размотрио </w:t>
      </w:r>
      <w:r w:rsidR="007126FC" w:rsidRPr="00203E0A">
        <w:rPr>
          <w:rFonts w:ascii="Times New Roman" w:hAnsi="Times New Roman" w:cs="Times New Roman"/>
          <w:sz w:val="24"/>
          <w:szCs w:val="24"/>
          <w:shd w:val="clear" w:color="auto" w:fill="FFFFFF"/>
        </w:rPr>
        <w:t>Н</w:t>
      </w:r>
      <w:r w:rsidRPr="00203E0A">
        <w:rPr>
          <w:rFonts w:ascii="Times New Roman" w:hAnsi="Times New Roman" w:cs="Times New Roman"/>
          <w:sz w:val="24"/>
          <w:szCs w:val="24"/>
          <w:shd w:val="clear" w:color="auto" w:fill="FFFFFF"/>
        </w:rPr>
        <w:t xml:space="preserve">ацрт </w:t>
      </w:r>
      <w:r w:rsidR="007126FC" w:rsidRPr="00203E0A">
        <w:rPr>
          <w:rFonts w:ascii="Times New Roman" w:hAnsi="Times New Roman" w:cs="Times New Roman"/>
          <w:sz w:val="24"/>
          <w:szCs w:val="24"/>
          <w:shd w:val="clear" w:color="auto" w:fill="FFFFFF"/>
        </w:rPr>
        <w:t>з</w:t>
      </w:r>
      <w:r w:rsidRPr="00203E0A">
        <w:rPr>
          <w:rFonts w:ascii="Times New Roman" w:hAnsi="Times New Roman" w:cs="Times New Roman"/>
          <w:sz w:val="24"/>
          <w:szCs w:val="24"/>
          <w:shd w:val="clear" w:color="auto" w:fill="FFFFFF"/>
        </w:rPr>
        <w:t>акона о безбедности и здрављу на раду и дао позитивно мишљење. Коначно, изузетно важну улогу има радно тело Савета које се бави облашћу безбедности и здравља на раду.</w:t>
      </w:r>
    </w:p>
    <w:p w14:paraId="272F5389" w14:textId="499ED6EE" w:rsidR="001374C9" w:rsidRPr="00203E0A" w:rsidRDefault="008B54F6" w:rsidP="008B54F6">
      <w:pPr>
        <w:ind w:firstLine="720"/>
        <w:jc w:val="both"/>
        <w:rPr>
          <w:rFonts w:ascii="Times New Roman" w:hAnsi="Times New Roman" w:cs="Times New Roman"/>
          <w:sz w:val="24"/>
          <w:szCs w:val="24"/>
          <w:shd w:val="clear" w:color="auto" w:fill="FFFFFF"/>
        </w:rPr>
      </w:pPr>
      <w:bookmarkStart w:id="9" w:name="_Toc126746518"/>
      <w:r w:rsidRPr="00203E0A">
        <w:rPr>
          <w:rFonts w:ascii="Times New Roman" w:hAnsi="Times New Roman" w:cs="Times New Roman"/>
          <w:b/>
          <w:bCs/>
          <w:sz w:val="24"/>
          <w:szCs w:val="24"/>
          <w:shd w:val="clear" w:color="auto" w:fill="FFFFFF"/>
        </w:rPr>
        <w:lastRenderedPageBreak/>
        <w:t xml:space="preserve">2.4.5. </w:t>
      </w:r>
      <w:r w:rsidR="001374C9" w:rsidRPr="00203E0A">
        <w:rPr>
          <w:rFonts w:ascii="Times New Roman" w:hAnsi="Times New Roman" w:cs="Times New Roman"/>
          <w:b/>
          <w:bCs/>
          <w:sz w:val="24"/>
          <w:szCs w:val="24"/>
          <w:shd w:val="clear" w:color="auto" w:fill="FFFFFF"/>
        </w:rPr>
        <w:t>Службе медицине рада</w:t>
      </w:r>
      <w:bookmarkEnd w:id="9"/>
      <w:r w:rsidR="001374C9" w:rsidRPr="00203E0A">
        <w:rPr>
          <w:rFonts w:ascii="Times New Roman" w:hAnsi="Times New Roman" w:cs="Times New Roman"/>
          <w:sz w:val="24"/>
          <w:szCs w:val="24"/>
          <w:shd w:val="clear" w:color="auto" w:fill="FFFFFF"/>
          <w:vertAlign w:val="superscript"/>
        </w:rPr>
        <w:footnoteReference w:id="6"/>
      </w:r>
    </w:p>
    <w:p w14:paraId="5DA48456" w14:textId="397E98F4"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Медицина рада, као мултидисциплинарна област, је повезана директно и индиректно са</w:t>
      </w:r>
      <w:r w:rsidR="00072C66">
        <w:rPr>
          <w:rFonts w:ascii="Times New Roman" w:hAnsi="Times New Roman" w:cs="Times New Roman"/>
          <w:sz w:val="24"/>
          <w:szCs w:val="24"/>
          <w:shd w:val="clear" w:color="auto" w:fill="FFFFFF"/>
        </w:rPr>
        <w:t xml:space="preserve"> више министарстава</w:t>
      </w:r>
      <w:r w:rsidRPr="00203E0A">
        <w:rPr>
          <w:rFonts w:ascii="Times New Roman" w:hAnsi="Times New Roman" w:cs="Times New Roman"/>
          <w:sz w:val="24"/>
          <w:szCs w:val="24"/>
          <w:shd w:val="clear" w:color="auto" w:fill="FFFFFF"/>
        </w:rPr>
        <w:t xml:space="preserve">. Најдиректније везе су са Министарством здравља и Министарством за рад, запошљавање, борачка и социјална питања. Медицина рада представља део здравственог система, у надлежности Министарства здравља које прописује делокруг рада, организацију, услове за обављање делатности из ове области на различитим нивоима и вођење евиденције. Ипак, </w:t>
      </w:r>
      <w:r w:rsidR="00072C66">
        <w:rPr>
          <w:rFonts w:ascii="Times New Roman" w:hAnsi="Times New Roman" w:cs="Times New Roman"/>
          <w:sz w:val="24"/>
          <w:szCs w:val="24"/>
          <w:shd w:val="clear" w:color="auto" w:fill="FFFFFF"/>
        </w:rPr>
        <w:t>највећи део прописа који уређуј</w:t>
      </w:r>
      <w:r w:rsidRPr="00203E0A">
        <w:rPr>
          <w:rFonts w:ascii="Times New Roman" w:hAnsi="Times New Roman" w:cs="Times New Roman"/>
          <w:sz w:val="24"/>
          <w:szCs w:val="24"/>
          <w:shd w:val="clear" w:color="auto" w:fill="FFFFFF"/>
        </w:rPr>
        <w:t>у специфичну активност медицине рада доноси Министарство за рад, запошљавање, борачка и социјална питања. Институт за медицину рад</w:t>
      </w:r>
      <w:r w:rsidR="002A3650" w:rsidRPr="00203E0A">
        <w:rPr>
          <w:rFonts w:ascii="Times New Roman" w:hAnsi="Times New Roman" w:cs="Times New Roman"/>
          <w:sz w:val="24"/>
          <w:szCs w:val="24"/>
          <w:shd w:val="clear" w:color="auto" w:fill="FFFFFF"/>
        </w:rPr>
        <w:t>а Србије „Др Драгомир Карајовић</w:t>
      </w:r>
      <w:r w:rsidR="00AF4124" w:rsidRPr="00203E0A">
        <w:rPr>
          <w:rFonts w:ascii="Times New Roman" w:hAnsi="Times New Roman" w:cs="Times New Roman"/>
          <w:sz w:val="24"/>
          <w:szCs w:val="24"/>
        </w:rPr>
        <w:t>”</w:t>
      </w:r>
      <w:r w:rsidRPr="00203E0A">
        <w:rPr>
          <w:rFonts w:ascii="Times New Roman" w:hAnsi="Times New Roman" w:cs="Times New Roman"/>
          <w:sz w:val="24"/>
          <w:szCs w:val="24"/>
          <w:shd w:val="clear" w:color="auto" w:fill="FFFFFF"/>
        </w:rPr>
        <w:t xml:space="preserve">, је тело које се налази на врху, док су Заводи за медицину рада углавном изгубили своју улогу коју су имали у прошлости. Највећи број служби медицине рада је угашен а уместо њих су отворене установе у приватном власништву, Заводи за здравствену заштиту радника и приватне амбуланте медицине рада. Према расположивим подацима Министарство здравља одобрава све мањи број специјализација медицине рада тако да је укупан број специјализаната медицине рада у Србији 17. Старосна структура специјалиста медицине рада у Србији је неповољна јер је највећи број специјалиста пред пензијом. Институт за јавно здравље Србије </w:t>
      </w:r>
      <w:r w:rsidR="00BB013E" w:rsidRPr="00203E0A">
        <w:rPr>
          <w:rFonts w:ascii="Times New Roman" w:hAnsi="Times New Roman" w:cs="Times New Roman"/>
          <w:sz w:val="24"/>
          <w:szCs w:val="24"/>
        </w:rPr>
        <w:t>„</w:t>
      </w:r>
      <w:r w:rsidRPr="00203E0A">
        <w:rPr>
          <w:rFonts w:ascii="Times New Roman" w:hAnsi="Times New Roman" w:cs="Times New Roman"/>
          <w:sz w:val="24"/>
          <w:szCs w:val="24"/>
        </w:rPr>
        <w:t>Д</w:t>
      </w:r>
      <w:r w:rsidR="004545C7" w:rsidRPr="00203E0A">
        <w:rPr>
          <w:rFonts w:ascii="Times New Roman" w:hAnsi="Times New Roman" w:cs="Times New Roman"/>
          <w:sz w:val="24"/>
          <w:szCs w:val="24"/>
        </w:rPr>
        <w:t>р</w:t>
      </w:r>
      <w:r w:rsidRPr="00203E0A">
        <w:rPr>
          <w:rFonts w:ascii="Times New Roman" w:hAnsi="Times New Roman" w:cs="Times New Roman"/>
          <w:sz w:val="24"/>
          <w:szCs w:val="24"/>
        </w:rPr>
        <w:t xml:space="preserve"> М</w:t>
      </w:r>
      <w:r w:rsidR="004545C7" w:rsidRPr="00203E0A">
        <w:rPr>
          <w:rFonts w:ascii="Times New Roman" w:hAnsi="Times New Roman" w:cs="Times New Roman"/>
          <w:sz w:val="24"/>
          <w:szCs w:val="24"/>
        </w:rPr>
        <w:t>илан</w:t>
      </w:r>
      <w:r w:rsidRPr="00203E0A">
        <w:rPr>
          <w:rFonts w:ascii="Times New Roman" w:hAnsi="Times New Roman" w:cs="Times New Roman"/>
          <w:sz w:val="24"/>
          <w:szCs w:val="24"/>
        </w:rPr>
        <w:t xml:space="preserve"> Ј</w:t>
      </w:r>
      <w:r w:rsidR="004545C7" w:rsidRPr="00203E0A">
        <w:rPr>
          <w:rFonts w:ascii="Times New Roman" w:hAnsi="Times New Roman" w:cs="Times New Roman"/>
          <w:sz w:val="24"/>
          <w:szCs w:val="24"/>
        </w:rPr>
        <w:t>овановић</w:t>
      </w:r>
      <w:r w:rsidRPr="00203E0A">
        <w:rPr>
          <w:rFonts w:ascii="Times New Roman" w:hAnsi="Times New Roman" w:cs="Times New Roman"/>
          <w:sz w:val="24"/>
          <w:szCs w:val="24"/>
        </w:rPr>
        <w:t xml:space="preserve"> - Б</w:t>
      </w:r>
      <w:r w:rsidR="004545C7" w:rsidRPr="00203E0A">
        <w:rPr>
          <w:rFonts w:ascii="Times New Roman" w:hAnsi="Times New Roman" w:cs="Times New Roman"/>
          <w:sz w:val="24"/>
          <w:szCs w:val="24"/>
        </w:rPr>
        <w:t>атут</w:t>
      </w:r>
      <w:r w:rsidRPr="00203E0A">
        <w:rPr>
          <w:rFonts w:ascii="Times New Roman" w:hAnsi="Times New Roman" w:cs="Times New Roman"/>
          <w:sz w:val="24"/>
          <w:szCs w:val="24"/>
        </w:rPr>
        <w:t>”</w:t>
      </w:r>
      <w:r w:rsidRPr="00203E0A">
        <w:rPr>
          <w:rFonts w:ascii="Times New Roman" w:hAnsi="Times New Roman" w:cs="Times New Roman"/>
          <w:sz w:val="24"/>
          <w:szCs w:val="24"/>
          <w:shd w:val="clear" w:color="auto" w:fill="FFFFFF"/>
        </w:rPr>
        <w:t xml:space="preserve"> располаже само подацима о броју услуга које се налазе у шифарнику услуга и само податке државних установа медицине рада тако да се на основу тих података не може сагледати ни број ни спектар услуга медицине рада у Србији.</w:t>
      </w:r>
    </w:p>
    <w:p w14:paraId="69D3F1BA" w14:textId="7CEE1044" w:rsidR="003B0E50" w:rsidRPr="00203E0A" w:rsidRDefault="001374C9" w:rsidP="00AA050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Медицина рада у </w:t>
      </w:r>
      <w:r w:rsidR="00D1116E">
        <w:rPr>
          <w:rFonts w:ascii="Times New Roman" w:hAnsi="Times New Roman" w:cs="Times New Roman"/>
          <w:sz w:val="24"/>
          <w:szCs w:val="24"/>
          <w:shd w:val="clear" w:color="auto" w:fill="FFFFFF"/>
        </w:rPr>
        <w:t xml:space="preserve">Републици </w:t>
      </w:r>
      <w:r w:rsidRPr="00203E0A">
        <w:rPr>
          <w:rFonts w:ascii="Times New Roman" w:hAnsi="Times New Roman" w:cs="Times New Roman"/>
          <w:sz w:val="24"/>
          <w:szCs w:val="24"/>
          <w:shd w:val="clear" w:color="auto" w:fill="FFFFFF"/>
        </w:rPr>
        <w:t xml:space="preserve">Србији је до 2006. године била у процесу транзиције-преласка са старог модела, јединства превентиве и куративе, на нови модел који је доминантно заснован на превентивним активностима. Одлуком Министра здравља 2006. године наложено је свим директорима Домова здравља у Србији да прерасподеле специјалисте медицине рада у јединице које би се саме финансирале или да им алтернативно понуде прелазак у изабране лекаре. Од 586 специјалиста медицине рада само мали број њих се бави превентивним активностима (према незваничним подацима од 81-116). У највећем броју домова здравља дошло је до комплетног гашења служби медицине рада. У међувремену, дошло је до пораста активности привреде и енормног пораста захтева послодаваца за услугама медицине рада на које домови здравља нису могли адекватно да одговоре. Све ово довело је до оснивања великог броја приватних установа медицине рада. </w:t>
      </w:r>
    </w:p>
    <w:p w14:paraId="3F956797" w14:textId="4356372D" w:rsidR="001374C9" w:rsidRPr="00203E0A" w:rsidRDefault="003B0E50"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2.4.6. </w:t>
      </w:r>
      <w:r w:rsidR="001374C9" w:rsidRPr="00203E0A">
        <w:rPr>
          <w:rFonts w:ascii="Times New Roman" w:hAnsi="Times New Roman" w:cs="Times New Roman"/>
          <w:b/>
          <w:bCs/>
          <w:sz w:val="24"/>
          <w:szCs w:val="24"/>
          <w:shd w:val="clear" w:color="auto" w:fill="FFFFFF"/>
        </w:rPr>
        <w:t xml:space="preserve">Унија послодаваца Србије </w:t>
      </w:r>
    </w:p>
    <w:p w14:paraId="61B3EB16"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 области безбедности и здравља на раду, Унија послодаваца Србије, активно учествује у поступку доношења Закона, подзаконских прописа, стратешких докумената и пратећих аката система безбедности и здравља на раду.</w:t>
      </w:r>
    </w:p>
    <w:p w14:paraId="4E4EA606"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На нивоу Уније послодаваца Србије формирано је радно тело за питања безбедности и здравља на раду, а посебан део стручне службе Уније бави се питањима безбедности и здравља на раду.</w:t>
      </w:r>
    </w:p>
    <w:p w14:paraId="3A4417C3"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lastRenderedPageBreak/>
        <w:t>Циљ Уније послодаваца Србије је, између осталог, подизање свести послодаваца о значају безбедних и здравих услова рада, као и подизање опште и пословне културе односно националне културе превенције у области безбедности и здравља на раду.</w:t>
      </w:r>
    </w:p>
    <w:p w14:paraId="60625CCD" w14:textId="2A607965" w:rsidR="003B0E50" w:rsidRPr="00203E0A" w:rsidRDefault="001374C9" w:rsidP="00AA050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Ради остварења овог циља Унија послодаваца Србије самостално или у сарадњи са заинтересованим странама и партнерима организује и учествује у бројним активностима и обукама у области безбедности и здравља на раду. Обуке су посвећене поступку процене ризика за сектор малих и средњих предузећа.</w:t>
      </w:r>
    </w:p>
    <w:p w14:paraId="621A0596" w14:textId="548EE5EC" w:rsidR="001374C9" w:rsidRPr="00203E0A" w:rsidRDefault="003B0E50"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2.4.7. </w:t>
      </w:r>
      <w:r w:rsidR="001374C9" w:rsidRPr="00203E0A">
        <w:rPr>
          <w:rFonts w:ascii="Times New Roman" w:hAnsi="Times New Roman" w:cs="Times New Roman"/>
          <w:b/>
          <w:bCs/>
          <w:sz w:val="24"/>
          <w:szCs w:val="24"/>
          <w:shd w:val="clear" w:color="auto" w:fill="FFFFFF"/>
        </w:rPr>
        <w:t xml:space="preserve">Савез самосталних синдиката Србије </w:t>
      </w:r>
    </w:p>
    <w:p w14:paraId="1B55240F"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Савез самосталних синдиката Србије усвојио је Резолуцију о безбедности и здрављу на раду, а заједно са осталим социјалним партнерима потписник је Декларације о безбедности и здрављу на раду.</w:t>
      </w:r>
    </w:p>
    <w:p w14:paraId="2C5521C0"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 Савезу самосталних синдиката Србије као најстаријој синдикалној организацији у Србији, посебна пажња се се поклања области безбедности и здравља на раду, па је у оквиру службе општих послова формиран посебан стручни тим за безбедност и здравље на раду, а грански синдикати формирали су посебна радна тела за безбедност и здравље на раду.</w:t>
      </w:r>
    </w:p>
    <w:p w14:paraId="58FC9578"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Савез самосталних синдиката Србије непрекидно води активности да се сва права, обавезе и одговорности из радног односа, што значи да се права, обавезе и одговорности из области безбедности и здравља на раду уређују колективним уговором. Због тога је Савез самосталних синдиката Србије припремио огледни примерак колективног уговора о безбедности и здрављу на раду код послодавца, који треба да послужи, пре свега, као помоћ представницима синдиката али и представницима послодаваца, као смерница и помоћ у преговорима социјалних партнера и закључивању колективног уговора код послодавца.</w:t>
      </w:r>
    </w:p>
    <w:p w14:paraId="1607A361" w14:textId="2AAE32CF" w:rsidR="003B0E50" w:rsidRPr="00203E0A" w:rsidRDefault="001374C9" w:rsidP="00AA050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Такође, појединачно или заједно са социјалним партнерима Савез самосталних синдиката Србије и грански синдикати врше континуирано едукацију чланова синдиката о безбедности и здрављу на раду.</w:t>
      </w:r>
    </w:p>
    <w:p w14:paraId="0F4EAED3" w14:textId="24023E2B" w:rsidR="001374C9" w:rsidRPr="00203E0A" w:rsidRDefault="003B0E50"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2.4.8. </w:t>
      </w:r>
      <w:r w:rsidR="001374C9" w:rsidRPr="00203E0A">
        <w:rPr>
          <w:rFonts w:ascii="Times New Roman" w:hAnsi="Times New Roman" w:cs="Times New Roman"/>
          <w:b/>
          <w:bCs/>
          <w:sz w:val="24"/>
          <w:szCs w:val="24"/>
          <w:shd w:val="clear" w:color="auto" w:fill="FFFFFF"/>
        </w:rPr>
        <w:t>Уједињени грански синдикати „Независност”</w:t>
      </w:r>
    </w:p>
    <w:p w14:paraId="58957F6F" w14:textId="77777777" w:rsidR="001374C9" w:rsidRPr="00203E0A" w:rsidRDefault="001374C9" w:rsidP="008B54F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Уједињени грански синдикати „Независност” у својој програмској оријентацији, као једну од значајних активности, утврдили су конкретне активности на континуираном унапређивању безбедности и здравља на раду. Те активности УГС „Независност” спроводе, пре свега, кроз деловање Одбора за безбедност и здравље на раду УГС НЕЗАВИСНОСТ и формираних одбора за безбедност и здравље на раду на нивоу гранских синдиката.</w:t>
      </w:r>
    </w:p>
    <w:p w14:paraId="2D6C534A" w14:textId="451E4838" w:rsidR="003B0E50" w:rsidRPr="00203E0A" w:rsidRDefault="001374C9" w:rsidP="00AA0507">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 xml:space="preserve">Уједињени грански синдикати „УГС” посебну пажњу посвећују: активностима на развијању квалитетне и ефикасне сарадње са Управом за безбедност и здравље на раду и Инспекторатом за рад, са циљем унапређења безбедности и здравља на раду; примени Закона о безбедности и здрављу на раду, као и пратећих нормативних аката, којима се заокружује ова област; учешћу у трипартитним и бипартитним телима о безбедности и здрављу на раду; активностима на промовисању и примени у пракси Декларације социјално – економског савета Републике Србије о безбедности и здрављу на раду; изради колективних уговора о безбедности и здрављу на раду; промотивним </w:t>
      </w:r>
      <w:r w:rsidRPr="00203E0A">
        <w:rPr>
          <w:rFonts w:ascii="Times New Roman" w:hAnsi="Times New Roman" w:cs="Times New Roman"/>
          <w:sz w:val="24"/>
          <w:szCs w:val="24"/>
          <w:shd w:val="clear" w:color="auto" w:fill="FFFFFF"/>
        </w:rPr>
        <w:lastRenderedPageBreak/>
        <w:t>активностима и организовању кампања за смањење повреда на раду и професионалних обољења, посебно у појединим гранама делатности где су оне најчешће (грађевинарство, хемијска индустрија, пољопривреда, здравство и др.); конституисању и функционисању одбора за безбедност и здравље на раду; припреми и изради пропагандног материјала о безбедности и здрављу на раду; едукацији и оспособљавању чланства за правилно и ефикасно деловање везано за безбедност и здравље на раду.</w:t>
      </w:r>
    </w:p>
    <w:p w14:paraId="0673D079" w14:textId="681C9E34" w:rsidR="001374C9" w:rsidRPr="00203E0A" w:rsidRDefault="003B0E50"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2.4.9. </w:t>
      </w:r>
      <w:r w:rsidR="001374C9" w:rsidRPr="00203E0A">
        <w:rPr>
          <w:rFonts w:ascii="Times New Roman" w:hAnsi="Times New Roman" w:cs="Times New Roman"/>
          <w:b/>
          <w:bCs/>
          <w:sz w:val="24"/>
          <w:szCs w:val="24"/>
          <w:shd w:val="clear" w:color="auto" w:fill="FFFFFF"/>
        </w:rPr>
        <w:t>Удружења за безбедност и здравље на раду</w:t>
      </w:r>
    </w:p>
    <w:p w14:paraId="2864A127" w14:textId="564AF2CD" w:rsidR="00CC19F8" w:rsidRPr="00D90441" w:rsidRDefault="001374C9" w:rsidP="00D90441">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Основе организовања и деловања Удружења заснивају се на следећим циљевима, а између осталог да: развија, подстиче и помаже активности свих заинтересованих на сталном и систематском побољшавању и унапређивању безбедности и здравља на раду и услова рада; прати и сагледава проблеме области безбедности и здравља на раду и у оквиру своје активности покреће и предлаже мере заинтересованим и надлежним органима, институцијама и организацијама за њихово решавање; покреће иницијативу за законодавно уређење области безбедности и здравља на раду; информише надлежне органе, институције, асоцијације послодаваца, запослених и других организација запослених о мерама које имају за циљ развој сарадње социјалних партнера и размену мишљења и искустава о безбедности и здравља на раду и о позитивним и негативним искуствима из праксе; организује различите</w:t>
      </w:r>
      <w:r w:rsidR="00147AF0">
        <w:rPr>
          <w:rFonts w:ascii="Times New Roman" w:hAnsi="Times New Roman" w:cs="Times New Roman"/>
          <w:sz w:val="24"/>
          <w:szCs w:val="24"/>
          <w:shd w:val="clear" w:color="auto" w:fill="FFFFFF"/>
        </w:rPr>
        <w:t xml:space="preserve"> видове саветовања и едукација, </w:t>
      </w:r>
      <w:r w:rsidRPr="00203E0A">
        <w:rPr>
          <w:rFonts w:ascii="Times New Roman" w:hAnsi="Times New Roman" w:cs="Times New Roman"/>
          <w:sz w:val="24"/>
          <w:szCs w:val="24"/>
          <w:shd w:val="clear" w:color="auto" w:fill="FFFFFF"/>
        </w:rPr>
        <w:t>шири сазнања и информације о безбедности и здрављу на раду, као о методама и средствима превенције широј јавности.</w:t>
      </w:r>
    </w:p>
    <w:p w14:paraId="46775A87" w14:textId="2B95B3C2" w:rsidR="00F515F5" w:rsidRPr="00203E0A" w:rsidRDefault="00CC19F8" w:rsidP="48A77BA5">
      <w:pPr>
        <w:ind w:firstLine="720"/>
        <w:jc w:val="both"/>
        <w:rPr>
          <w:rFonts w:ascii="Times New Roman" w:hAnsi="Times New Roman" w:cs="Times New Roman"/>
          <w:b/>
          <w:bCs/>
          <w:sz w:val="24"/>
          <w:szCs w:val="24"/>
          <w:shd w:val="clear" w:color="auto" w:fill="FFFFFF"/>
        </w:rPr>
      </w:pPr>
      <w:r w:rsidRPr="00203E0A">
        <w:rPr>
          <w:rFonts w:ascii="Times New Roman" w:hAnsi="Times New Roman" w:cs="Times New Roman"/>
          <w:b/>
          <w:bCs/>
          <w:sz w:val="24"/>
          <w:szCs w:val="24"/>
          <w:shd w:val="clear" w:color="auto" w:fill="FFFFFF"/>
        </w:rPr>
        <w:t xml:space="preserve">3. АНАЛИЗА </w:t>
      </w:r>
      <w:r w:rsidR="00F515F5" w:rsidRPr="00203E0A">
        <w:rPr>
          <w:rFonts w:ascii="Times New Roman" w:hAnsi="Times New Roman" w:cs="Times New Roman"/>
          <w:b/>
          <w:bCs/>
          <w:sz w:val="24"/>
          <w:szCs w:val="24"/>
          <w:shd w:val="clear" w:color="auto" w:fill="FFFFFF"/>
        </w:rPr>
        <w:t>СТАЊА</w:t>
      </w:r>
    </w:p>
    <w:p w14:paraId="7A7E3178" w14:textId="7D3EF5C6" w:rsidR="00EC5D47" w:rsidRPr="00203E0A" w:rsidRDefault="00AD60B6" w:rsidP="48A77BA5">
      <w:pPr>
        <w:ind w:firstLine="720"/>
        <w:jc w:val="both"/>
        <w:rPr>
          <w:rFonts w:ascii="Times New Roman" w:hAnsi="Times New Roman" w:cs="Times New Roman"/>
          <w:b/>
          <w:bCs/>
          <w:sz w:val="24"/>
          <w:szCs w:val="24"/>
          <w:shd w:val="clear" w:color="auto" w:fill="FFFFFF"/>
        </w:rPr>
      </w:pPr>
      <w:bookmarkStart w:id="10" w:name="_Toc126746520"/>
      <w:r w:rsidRPr="00203E0A">
        <w:rPr>
          <w:rFonts w:ascii="Times New Roman" w:hAnsi="Times New Roman" w:cs="Times New Roman"/>
          <w:b/>
          <w:bCs/>
          <w:sz w:val="24"/>
          <w:szCs w:val="24"/>
          <w:shd w:val="clear" w:color="auto" w:fill="FFFFFF"/>
        </w:rPr>
        <w:t xml:space="preserve">3.1. </w:t>
      </w:r>
      <w:r w:rsidR="002D3919" w:rsidRPr="00203E0A">
        <w:rPr>
          <w:rFonts w:ascii="Times New Roman" w:hAnsi="Times New Roman" w:cs="Times New Roman"/>
          <w:b/>
          <w:bCs/>
          <w:sz w:val="24"/>
          <w:szCs w:val="24"/>
          <w:shd w:val="clear" w:color="auto" w:fill="FFFFFF"/>
        </w:rPr>
        <w:t xml:space="preserve">Анализа стања и кретања повреда на раду и професионалних болести </w:t>
      </w:r>
      <w:r w:rsidR="00EC5D47" w:rsidRPr="00203E0A">
        <w:rPr>
          <w:rFonts w:ascii="Times New Roman" w:hAnsi="Times New Roman" w:cs="Times New Roman"/>
          <w:sz w:val="24"/>
          <w:szCs w:val="24"/>
          <w:shd w:val="clear" w:color="auto" w:fill="FFFFFF"/>
          <w:vertAlign w:val="superscript"/>
        </w:rPr>
        <w:footnoteReference w:id="7"/>
      </w:r>
      <w:bookmarkEnd w:id="10"/>
    </w:p>
    <w:p w14:paraId="563CD17D" w14:textId="417E6F08" w:rsidR="00EC5D47" w:rsidRPr="003C6E11" w:rsidRDefault="00EC5D47" w:rsidP="00AD60B6">
      <w:pPr>
        <w:ind w:firstLine="720"/>
        <w:jc w:val="both"/>
        <w:rPr>
          <w:rFonts w:ascii="Times New Roman" w:hAnsi="Times New Roman" w:cs="Times New Roman"/>
          <w:sz w:val="24"/>
          <w:szCs w:val="24"/>
          <w:shd w:val="clear" w:color="auto" w:fill="FFFFFF"/>
        </w:rPr>
      </w:pPr>
      <w:r w:rsidRPr="00203E0A">
        <w:rPr>
          <w:rFonts w:ascii="Times New Roman" w:hAnsi="Times New Roman" w:cs="Times New Roman"/>
          <w:sz w:val="24"/>
          <w:szCs w:val="24"/>
          <w:shd w:val="clear" w:color="auto" w:fill="FFFFFF"/>
        </w:rPr>
        <w:t>У Реп</w:t>
      </w:r>
      <w:r w:rsidR="005C7D9A">
        <w:rPr>
          <w:rFonts w:ascii="Times New Roman" w:hAnsi="Times New Roman" w:cs="Times New Roman"/>
          <w:sz w:val="24"/>
          <w:szCs w:val="24"/>
          <w:shd w:val="clear" w:color="auto" w:fill="FFFFFF"/>
        </w:rPr>
        <w:t xml:space="preserve">ублици Србији </w:t>
      </w:r>
      <w:r w:rsidR="00D1116E">
        <w:rPr>
          <w:rFonts w:ascii="Times New Roman" w:hAnsi="Times New Roman" w:cs="Times New Roman"/>
          <w:sz w:val="24"/>
          <w:szCs w:val="24"/>
          <w:shd w:val="clear" w:color="auto" w:fill="FFFFFF"/>
        </w:rPr>
        <w:t xml:space="preserve">евидентно </w:t>
      </w:r>
      <w:r w:rsidR="005C7D9A">
        <w:rPr>
          <w:rFonts w:ascii="Times New Roman" w:hAnsi="Times New Roman" w:cs="Times New Roman"/>
          <w:sz w:val="24"/>
          <w:szCs w:val="24"/>
          <w:shd w:val="clear" w:color="auto" w:fill="FFFFFF"/>
        </w:rPr>
        <w:t xml:space="preserve">је постојање </w:t>
      </w:r>
      <w:r w:rsidRPr="00203E0A">
        <w:rPr>
          <w:rFonts w:ascii="Times New Roman" w:hAnsi="Times New Roman" w:cs="Times New Roman"/>
          <w:sz w:val="24"/>
          <w:szCs w:val="24"/>
          <w:shd w:val="clear" w:color="auto" w:fill="FFFFFF"/>
        </w:rPr>
        <w:t xml:space="preserve">неколико методолошких приступа који се примењују при евидентирању, обради и евалуацији података о повредама на раду. </w:t>
      </w:r>
      <w:bookmarkStart w:id="11" w:name="_Hlk134775977"/>
      <w:bookmarkStart w:id="12" w:name="_Hlk126758777"/>
      <w:r w:rsidRPr="00203E0A">
        <w:rPr>
          <w:rFonts w:ascii="Times New Roman" w:hAnsi="Times New Roman" w:cs="Times New Roman"/>
          <w:sz w:val="24"/>
          <w:szCs w:val="24"/>
          <w:shd w:val="clear" w:color="auto" w:fill="FFFFFF"/>
        </w:rPr>
        <w:t>Од 2019. године повреде на раду се анализирају према новој методологији која је усклађена са ESAW</w:t>
      </w:r>
      <w:r w:rsidRPr="00203E0A">
        <w:rPr>
          <w:rFonts w:ascii="Times New Roman" w:hAnsi="Times New Roman" w:cs="Times New Roman"/>
          <w:sz w:val="24"/>
          <w:szCs w:val="24"/>
        </w:rPr>
        <w:t xml:space="preserve"> методологијом</w:t>
      </w:r>
      <w:bookmarkEnd w:id="11"/>
      <w:r w:rsidRPr="00203E0A">
        <w:rPr>
          <w:rFonts w:ascii="Times New Roman" w:hAnsi="Times New Roman" w:cs="Times New Roman"/>
          <w:sz w:val="24"/>
          <w:szCs w:val="24"/>
        </w:rPr>
        <w:t>.</w:t>
      </w:r>
      <w:r w:rsidRPr="00203E0A">
        <w:rPr>
          <w:rStyle w:val="FootnoteReference"/>
          <w:rFonts w:ascii="Times New Roman" w:hAnsi="Times New Roman" w:cs="Times New Roman"/>
          <w:sz w:val="24"/>
          <w:szCs w:val="24"/>
        </w:rPr>
        <w:footnoteReference w:id="8"/>
      </w:r>
      <w:r w:rsidRPr="00203E0A">
        <w:rPr>
          <w:rFonts w:ascii="Times New Roman" w:hAnsi="Times New Roman" w:cs="Times New Roman"/>
          <w:sz w:val="24"/>
          <w:szCs w:val="24"/>
        </w:rPr>
        <w:t xml:space="preserve"> Применом наведене методологије омогућено је упоређивање података земаља чланица и анализа повреда на раду са земљама чланицама ЕУ. Увид у јединствену базу података омогућава не само преглед упоредивих података о повредама </w:t>
      </w:r>
      <w:r w:rsidRPr="00203E0A">
        <w:rPr>
          <w:rFonts w:ascii="Times New Roman" w:hAnsi="Times New Roman" w:cs="Times New Roman"/>
          <w:sz w:val="24"/>
          <w:szCs w:val="24"/>
          <w:shd w:val="clear" w:color="auto" w:fill="FFFFFF"/>
        </w:rPr>
        <w:t xml:space="preserve">на раду, већ и праћење трендова у области безбедности и здравља на раду и самим тим </w:t>
      </w:r>
      <w:r w:rsidRPr="003C6E11">
        <w:rPr>
          <w:rFonts w:ascii="Times New Roman" w:hAnsi="Times New Roman" w:cs="Times New Roman"/>
          <w:sz w:val="24"/>
          <w:szCs w:val="24"/>
          <w:shd w:val="clear" w:color="auto" w:fill="FFFFFF"/>
        </w:rPr>
        <w:t xml:space="preserve">предузимање адекватних превентивних мера за спречавање повреда. </w:t>
      </w:r>
    </w:p>
    <w:bookmarkEnd w:id="12"/>
    <w:p w14:paraId="763D7CDA" w14:textId="6B7CB082" w:rsidR="00EC5D47" w:rsidRPr="003C6E11" w:rsidRDefault="00985ACF" w:rsidP="00AD60B6">
      <w:pPr>
        <w:ind w:firstLine="720"/>
        <w:jc w:val="both"/>
        <w:rPr>
          <w:rFonts w:ascii="Times New Roman" w:hAnsi="Times New Roman" w:cs="Times New Roman"/>
          <w:sz w:val="24"/>
          <w:szCs w:val="24"/>
          <w:shd w:val="clear" w:color="auto" w:fill="FFFFFF"/>
        </w:rPr>
      </w:pPr>
      <w:r w:rsidRPr="003C6E11">
        <w:rPr>
          <w:rFonts w:ascii="Times New Roman" w:hAnsi="Times New Roman" w:cs="Times New Roman"/>
          <w:sz w:val="24"/>
          <w:szCs w:val="24"/>
          <w:shd w:val="clear" w:color="auto" w:fill="FFFFFF"/>
        </w:rPr>
        <w:lastRenderedPageBreak/>
        <w:t>У Табели 1</w:t>
      </w:r>
      <w:r w:rsidR="00EC5D47" w:rsidRPr="003C6E11">
        <w:rPr>
          <w:rFonts w:ascii="Times New Roman" w:hAnsi="Times New Roman" w:cs="Times New Roman"/>
          <w:sz w:val="24"/>
          <w:szCs w:val="24"/>
          <w:shd w:val="clear" w:color="auto" w:fill="FFFFFF"/>
        </w:rPr>
        <w:t xml:space="preserve">. приказани су подаци добијени на основу извештаја који </w:t>
      </w:r>
      <w:r w:rsidR="00B37A15" w:rsidRPr="003C6E11">
        <w:rPr>
          <w:rFonts w:ascii="Times New Roman" w:hAnsi="Times New Roman" w:cs="Times New Roman"/>
          <w:sz w:val="24"/>
          <w:szCs w:val="24"/>
          <w:shd w:val="clear" w:color="auto" w:fill="FFFFFF"/>
        </w:rPr>
        <w:t xml:space="preserve">су </w:t>
      </w:r>
      <w:r w:rsidR="00EC5D47" w:rsidRPr="003C6E11">
        <w:rPr>
          <w:rFonts w:ascii="Times New Roman" w:hAnsi="Times New Roman" w:cs="Times New Roman"/>
          <w:sz w:val="24"/>
          <w:szCs w:val="24"/>
          <w:shd w:val="clear" w:color="auto" w:fill="FFFFFF"/>
        </w:rPr>
        <w:t>достав</w:t>
      </w:r>
      <w:r w:rsidR="00B37A15" w:rsidRPr="003C6E11">
        <w:rPr>
          <w:rFonts w:ascii="Times New Roman" w:hAnsi="Times New Roman" w:cs="Times New Roman"/>
          <w:sz w:val="24"/>
          <w:szCs w:val="24"/>
          <w:shd w:val="clear" w:color="auto" w:fill="FFFFFF"/>
        </w:rPr>
        <w:t>или</w:t>
      </w:r>
      <w:r w:rsidR="00EC5D47" w:rsidRPr="003C6E11">
        <w:rPr>
          <w:rFonts w:ascii="Times New Roman" w:hAnsi="Times New Roman" w:cs="Times New Roman"/>
          <w:sz w:val="24"/>
          <w:szCs w:val="24"/>
          <w:shd w:val="clear" w:color="auto" w:fill="FFFFFF"/>
        </w:rPr>
        <w:t xml:space="preserve"> послодавци Управи за безбедност и здравље на раду</w:t>
      </w:r>
      <w:r w:rsidR="00361746" w:rsidRPr="003C6E11">
        <w:rPr>
          <w:rFonts w:ascii="Times New Roman" w:hAnsi="Times New Roman" w:cs="Times New Roman"/>
          <w:sz w:val="24"/>
          <w:szCs w:val="24"/>
          <w:shd w:val="clear" w:color="auto" w:fill="FFFFFF"/>
        </w:rPr>
        <w:t>.</w:t>
      </w:r>
      <w:r w:rsidR="00EC5D47" w:rsidRPr="003C6E11">
        <w:rPr>
          <w:shd w:val="clear" w:color="auto" w:fill="FFFFFF"/>
          <w:vertAlign w:val="superscript"/>
        </w:rPr>
        <w:footnoteReference w:id="9"/>
      </w:r>
      <w:r w:rsidR="00361746" w:rsidRPr="003C6E11">
        <w:rPr>
          <w:rFonts w:ascii="Times New Roman" w:hAnsi="Times New Roman" w:cs="Times New Roman"/>
          <w:sz w:val="24"/>
          <w:szCs w:val="24"/>
          <w:shd w:val="clear" w:color="auto" w:fill="FFFFFF"/>
        </w:rPr>
        <w:t xml:space="preserve"> </w:t>
      </w:r>
      <w:r w:rsidR="00E71820" w:rsidRPr="003C6E11">
        <w:rPr>
          <w:rFonts w:ascii="Times New Roman" w:hAnsi="Times New Roman" w:cs="Times New Roman"/>
          <w:sz w:val="24"/>
          <w:szCs w:val="24"/>
          <w:shd w:val="clear" w:color="auto" w:fill="FFFFFF"/>
        </w:rPr>
        <w:t xml:space="preserve">Подаци указују да је </w:t>
      </w:r>
      <w:r w:rsidR="0040095C" w:rsidRPr="003C6E11">
        <w:rPr>
          <w:rFonts w:ascii="Times New Roman" w:hAnsi="Times New Roman" w:cs="Times New Roman"/>
          <w:sz w:val="24"/>
          <w:szCs w:val="24"/>
          <w:shd w:val="clear" w:color="auto" w:fill="FFFFFF"/>
        </w:rPr>
        <w:t>дошло до повећања броја повреда у свим категоријама у односу на 2018. годину.</w:t>
      </w:r>
      <w:r w:rsidR="00EC5D47" w:rsidRPr="003C6E11">
        <w:rPr>
          <w:rFonts w:ascii="Times New Roman" w:hAnsi="Times New Roman" w:cs="Times New Roman"/>
          <w:sz w:val="24"/>
          <w:szCs w:val="24"/>
          <w:shd w:val="clear" w:color="auto" w:fill="FFFFFF"/>
          <w:vertAlign w:val="superscript"/>
        </w:rPr>
        <w:t xml:space="preserve"> </w:t>
      </w:r>
    </w:p>
    <w:p w14:paraId="2FEBAC3C" w14:textId="280D5FBF" w:rsidR="00EC5D47" w:rsidRPr="00203E0A" w:rsidRDefault="00EC5D47" w:rsidP="48A77BA5">
      <w:pPr>
        <w:ind w:firstLine="720"/>
        <w:jc w:val="both"/>
        <w:rPr>
          <w:rFonts w:ascii="Times New Roman" w:hAnsi="Times New Roman" w:cs="Times New Roman"/>
          <w:b/>
          <w:bCs/>
          <w:i/>
          <w:iCs/>
          <w:sz w:val="24"/>
          <w:szCs w:val="24"/>
          <w:shd w:val="clear" w:color="auto" w:fill="FFFFFF"/>
        </w:rPr>
      </w:pPr>
      <w:r w:rsidRPr="00203E0A">
        <w:rPr>
          <w:rFonts w:ascii="Times New Roman" w:hAnsi="Times New Roman" w:cs="Times New Roman"/>
          <w:b/>
          <w:bCs/>
          <w:i/>
          <w:iCs/>
          <w:sz w:val="24"/>
          <w:szCs w:val="24"/>
          <w:shd w:val="clear" w:color="auto" w:fill="FFFFFF"/>
        </w:rPr>
        <w:t>Табе</w:t>
      </w:r>
      <w:r w:rsidR="00985ACF">
        <w:rPr>
          <w:rFonts w:ascii="Times New Roman" w:hAnsi="Times New Roman" w:cs="Times New Roman"/>
          <w:b/>
          <w:bCs/>
          <w:i/>
          <w:iCs/>
          <w:sz w:val="24"/>
          <w:szCs w:val="24"/>
          <w:shd w:val="clear" w:color="auto" w:fill="FFFFFF"/>
        </w:rPr>
        <w:t>ла 1</w:t>
      </w:r>
      <w:r w:rsidR="0088233F" w:rsidRPr="00203E0A">
        <w:rPr>
          <w:rFonts w:ascii="Times New Roman" w:hAnsi="Times New Roman" w:cs="Times New Roman"/>
          <w:b/>
          <w:bCs/>
          <w:i/>
          <w:iCs/>
          <w:sz w:val="24"/>
          <w:szCs w:val="24"/>
          <w:shd w:val="clear" w:color="auto" w:fill="FFFFFF"/>
        </w:rPr>
        <w:t xml:space="preserve">: </w:t>
      </w:r>
      <w:r w:rsidRPr="00203E0A">
        <w:rPr>
          <w:rFonts w:ascii="Times New Roman" w:hAnsi="Times New Roman" w:cs="Times New Roman"/>
          <w:b/>
          <w:bCs/>
          <w:i/>
          <w:iCs/>
          <w:sz w:val="24"/>
          <w:szCs w:val="24"/>
          <w:shd w:val="clear" w:color="auto" w:fill="FFFFFF"/>
        </w:rPr>
        <w:t>Преглед повреда према тежини (смртне, тешке и лаке повреде)</w:t>
      </w:r>
    </w:p>
    <w:tbl>
      <w:tblPr>
        <w:tblW w:w="9006" w:type="dxa"/>
        <w:jc w:val="center"/>
        <w:tblLook w:val="04A0" w:firstRow="1" w:lastRow="0" w:firstColumn="1" w:lastColumn="0" w:noHBand="0" w:noVBand="1"/>
      </w:tblPr>
      <w:tblGrid>
        <w:gridCol w:w="3392"/>
        <w:gridCol w:w="935"/>
        <w:gridCol w:w="936"/>
        <w:gridCol w:w="936"/>
        <w:gridCol w:w="935"/>
        <w:gridCol w:w="936"/>
        <w:gridCol w:w="936"/>
      </w:tblGrid>
      <w:tr w:rsidR="0010769A" w:rsidRPr="00203E0A" w14:paraId="622D1C25" w14:textId="084E7EED" w:rsidTr="003D2C69">
        <w:trPr>
          <w:trHeight w:val="330"/>
          <w:jc w:val="center"/>
        </w:trPr>
        <w:tc>
          <w:tcPr>
            <w:tcW w:w="339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000" w:themeFill="accent4"/>
            <w:vAlign w:val="center"/>
            <w:hideMark/>
          </w:tcPr>
          <w:p w14:paraId="7F3B4924" w14:textId="77777777"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Тежина повреде</w:t>
            </w:r>
          </w:p>
        </w:tc>
        <w:tc>
          <w:tcPr>
            <w:tcW w:w="935"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2071F7FF" w14:textId="2F7A5C41" w:rsidR="0010769A" w:rsidRPr="00203E0A" w:rsidRDefault="0010769A" w:rsidP="003D2C69">
            <w:pPr>
              <w:spacing w:after="0" w:line="240" w:lineRule="auto"/>
              <w:jc w:val="center"/>
              <w:rPr>
                <w:rFonts w:ascii="Times New Roman" w:hAnsi="Times New Roman" w:cs="Times New Roman"/>
                <w:b/>
                <w:bCs/>
                <w:sz w:val="24"/>
                <w:szCs w:val="24"/>
                <w:lang w:eastAsia="en-GB"/>
              </w:rPr>
            </w:pPr>
            <w:r w:rsidRPr="00203E0A">
              <w:rPr>
                <w:rFonts w:ascii="Times New Roman" w:hAnsi="Times New Roman" w:cs="Times New Roman"/>
                <w:b/>
                <w:bCs/>
                <w:sz w:val="24"/>
                <w:szCs w:val="24"/>
              </w:rPr>
              <w:t>2018*</w:t>
            </w:r>
          </w:p>
        </w:tc>
        <w:tc>
          <w:tcPr>
            <w:tcW w:w="936"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4F43A650" w14:textId="67CA3680" w:rsidR="0010769A" w:rsidRPr="00203E0A" w:rsidRDefault="0010769A" w:rsidP="003D2C69">
            <w:pPr>
              <w:spacing w:after="0" w:line="240" w:lineRule="auto"/>
              <w:jc w:val="center"/>
              <w:rPr>
                <w:rFonts w:ascii="Times New Roman" w:hAnsi="Times New Roman" w:cs="Times New Roman"/>
                <w:b/>
                <w:bCs/>
                <w:sz w:val="24"/>
                <w:szCs w:val="24"/>
                <w:lang w:eastAsia="en-GB"/>
              </w:rPr>
            </w:pPr>
            <w:r w:rsidRPr="00203E0A">
              <w:rPr>
                <w:rFonts w:ascii="Times New Roman" w:hAnsi="Times New Roman" w:cs="Times New Roman"/>
                <w:b/>
                <w:bCs/>
                <w:sz w:val="24"/>
                <w:szCs w:val="24"/>
              </w:rPr>
              <w:t>2019</w:t>
            </w:r>
          </w:p>
        </w:tc>
        <w:tc>
          <w:tcPr>
            <w:tcW w:w="936"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71501923" w14:textId="5399B8C5" w:rsidR="0010769A" w:rsidRPr="00203E0A" w:rsidRDefault="0010769A" w:rsidP="003D2C69">
            <w:pPr>
              <w:spacing w:after="0" w:line="240" w:lineRule="auto"/>
              <w:jc w:val="center"/>
              <w:rPr>
                <w:rFonts w:ascii="Times New Roman" w:hAnsi="Times New Roman" w:cs="Times New Roman"/>
                <w:b/>
                <w:bCs/>
                <w:sz w:val="24"/>
                <w:szCs w:val="24"/>
                <w:lang w:eastAsia="en-GB"/>
              </w:rPr>
            </w:pPr>
            <w:r w:rsidRPr="00203E0A">
              <w:rPr>
                <w:rFonts w:ascii="Times New Roman" w:hAnsi="Times New Roman" w:cs="Times New Roman"/>
                <w:b/>
                <w:bCs/>
                <w:sz w:val="24"/>
                <w:szCs w:val="24"/>
              </w:rPr>
              <w:t>2020</w:t>
            </w:r>
          </w:p>
        </w:tc>
        <w:tc>
          <w:tcPr>
            <w:tcW w:w="935"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28E137E5" w14:textId="4B524976" w:rsidR="0010769A" w:rsidRPr="00203E0A" w:rsidRDefault="0010769A" w:rsidP="003D2C69">
            <w:pPr>
              <w:spacing w:after="0" w:line="240" w:lineRule="auto"/>
              <w:jc w:val="center"/>
              <w:rPr>
                <w:rFonts w:ascii="Times New Roman" w:hAnsi="Times New Roman" w:cs="Times New Roman"/>
                <w:b/>
                <w:bCs/>
                <w:sz w:val="24"/>
                <w:szCs w:val="24"/>
                <w:lang w:eastAsia="en-GB"/>
              </w:rPr>
            </w:pPr>
            <w:r w:rsidRPr="00203E0A">
              <w:rPr>
                <w:rFonts w:ascii="Times New Roman" w:hAnsi="Times New Roman" w:cs="Times New Roman"/>
                <w:b/>
                <w:bCs/>
                <w:sz w:val="24"/>
                <w:szCs w:val="24"/>
              </w:rPr>
              <w:t>2021</w:t>
            </w:r>
          </w:p>
        </w:tc>
        <w:tc>
          <w:tcPr>
            <w:tcW w:w="936"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632A207C" w14:textId="2ED92349" w:rsidR="0010769A" w:rsidRPr="00203E0A" w:rsidRDefault="0010769A" w:rsidP="003D2C69">
            <w:pPr>
              <w:spacing w:after="0" w:line="240" w:lineRule="auto"/>
              <w:jc w:val="center"/>
              <w:rPr>
                <w:rFonts w:ascii="Times New Roman" w:hAnsi="Times New Roman" w:cs="Times New Roman"/>
                <w:b/>
                <w:bCs/>
                <w:sz w:val="24"/>
                <w:szCs w:val="24"/>
                <w:lang w:eastAsia="en-GB"/>
              </w:rPr>
            </w:pPr>
            <w:r w:rsidRPr="00203E0A">
              <w:rPr>
                <w:rFonts w:ascii="Times New Roman" w:hAnsi="Times New Roman" w:cs="Times New Roman"/>
                <w:b/>
                <w:bCs/>
                <w:sz w:val="24"/>
                <w:szCs w:val="24"/>
              </w:rPr>
              <w:t>2022</w:t>
            </w:r>
          </w:p>
        </w:tc>
        <w:tc>
          <w:tcPr>
            <w:tcW w:w="936"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tcPr>
          <w:p w14:paraId="46680464" w14:textId="5790FC6B" w:rsidR="0010769A" w:rsidRPr="003C6E11" w:rsidRDefault="0010769A" w:rsidP="003D2C69">
            <w:pPr>
              <w:spacing w:after="0" w:line="240" w:lineRule="auto"/>
              <w:jc w:val="center"/>
              <w:rPr>
                <w:rFonts w:ascii="Times New Roman" w:hAnsi="Times New Roman" w:cs="Times New Roman"/>
                <w:b/>
                <w:bCs/>
                <w:sz w:val="24"/>
                <w:szCs w:val="24"/>
              </w:rPr>
            </w:pPr>
            <w:r w:rsidRPr="003C6E11">
              <w:rPr>
                <w:rFonts w:ascii="Times New Roman" w:hAnsi="Times New Roman" w:cs="Times New Roman"/>
                <w:b/>
                <w:bCs/>
                <w:sz w:val="24"/>
                <w:szCs w:val="24"/>
              </w:rPr>
              <w:t>2023</w:t>
            </w:r>
          </w:p>
        </w:tc>
      </w:tr>
      <w:tr w:rsidR="0010769A" w:rsidRPr="00203E0A" w14:paraId="121F015C" w14:textId="049989ED" w:rsidTr="00576727">
        <w:trPr>
          <w:trHeight w:val="330"/>
          <w:jc w:val="center"/>
        </w:trPr>
        <w:tc>
          <w:tcPr>
            <w:tcW w:w="3392"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79DB53E" w14:textId="77777777" w:rsidR="0010769A" w:rsidRPr="00203E0A" w:rsidRDefault="0010769A" w:rsidP="00586221">
            <w:pPr>
              <w:spacing w:after="0" w:line="240" w:lineRule="auto"/>
              <w:jc w:val="both"/>
              <w:rPr>
                <w:rFonts w:ascii="Times New Roman" w:hAnsi="Times New Roman" w:cs="Times New Roman"/>
                <w:sz w:val="24"/>
                <w:szCs w:val="24"/>
                <w:lang w:eastAsia="en-GB"/>
              </w:rPr>
            </w:pPr>
            <w:r w:rsidRPr="00203E0A">
              <w:rPr>
                <w:rFonts w:ascii="Times New Roman" w:hAnsi="Times New Roman" w:cs="Times New Roman"/>
                <w:sz w:val="24"/>
                <w:szCs w:val="24"/>
              </w:rPr>
              <w:t>Смртне повреде на раду</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783F0AC0"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7</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258C5213"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pacing w:val="-5"/>
                <w:sz w:val="24"/>
                <w:szCs w:val="24"/>
                <w:lang w:eastAsia="en-GB"/>
              </w:rPr>
              <w:t>14</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13357327"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11</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048F6741"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12</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0C78D20D"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11</w:t>
            </w:r>
          </w:p>
        </w:tc>
        <w:tc>
          <w:tcPr>
            <w:tcW w:w="936" w:type="dxa"/>
            <w:tcBorders>
              <w:top w:val="nil"/>
              <w:left w:val="nil"/>
              <w:bottom w:val="single" w:sz="8" w:space="0" w:color="000000" w:themeColor="text1"/>
              <w:right w:val="single" w:sz="8" w:space="0" w:color="000000" w:themeColor="text1"/>
            </w:tcBorders>
          </w:tcPr>
          <w:p w14:paraId="114D074B" w14:textId="0B21222C" w:rsidR="0010769A" w:rsidRPr="003C6E11" w:rsidRDefault="00E25B79" w:rsidP="00576727">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14</w:t>
            </w:r>
          </w:p>
        </w:tc>
      </w:tr>
      <w:tr w:rsidR="0010769A" w:rsidRPr="00203E0A" w14:paraId="4C1F4DFB" w14:textId="3ACACF78" w:rsidTr="00576727">
        <w:trPr>
          <w:trHeight w:val="330"/>
          <w:jc w:val="center"/>
        </w:trPr>
        <w:tc>
          <w:tcPr>
            <w:tcW w:w="3392"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A83E895" w14:textId="77777777" w:rsidR="0010769A" w:rsidRPr="00203E0A" w:rsidRDefault="0010769A" w:rsidP="00586221">
            <w:pPr>
              <w:spacing w:after="0" w:line="240" w:lineRule="auto"/>
              <w:jc w:val="both"/>
              <w:rPr>
                <w:rFonts w:ascii="Times New Roman" w:hAnsi="Times New Roman" w:cs="Times New Roman"/>
                <w:sz w:val="24"/>
                <w:szCs w:val="24"/>
                <w:lang w:eastAsia="en-GB"/>
              </w:rPr>
            </w:pPr>
            <w:r w:rsidRPr="00203E0A">
              <w:rPr>
                <w:rFonts w:ascii="Times New Roman" w:hAnsi="Times New Roman" w:cs="Times New Roman"/>
                <w:sz w:val="24"/>
                <w:szCs w:val="24"/>
              </w:rPr>
              <w:t>Тешке повреде на раду</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417E84E1"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788</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2DBC8308" w14:textId="4D2AF98D"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pacing w:val="-4"/>
                <w:sz w:val="24"/>
                <w:szCs w:val="24"/>
                <w:lang w:eastAsia="en-GB"/>
              </w:rPr>
              <w:t>1.233</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33FB94D6" w14:textId="6F9266DA"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1.226</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5589A1CB" w14:textId="6B9FC4AF"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1.289</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1C10D099" w14:textId="6CB93239"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w:t>
            </w:r>
            <w:r w:rsidR="00E3797F">
              <w:rPr>
                <w:rFonts w:ascii="Times New Roman" w:hAnsi="Times New Roman" w:cs="Times New Roman"/>
                <w:sz w:val="24"/>
                <w:szCs w:val="24"/>
              </w:rPr>
              <w:t>.</w:t>
            </w:r>
            <w:r w:rsidRPr="00203E0A">
              <w:rPr>
                <w:rFonts w:ascii="Times New Roman" w:hAnsi="Times New Roman" w:cs="Times New Roman"/>
                <w:sz w:val="24"/>
                <w:szCs w:val="24"/>
              </w:rPr>
              <w:t>127</w:t>
            </w:r>
          </w:p>
        </w:tc>
        <w:tc>
          <w:tcPr>
            <w:tcW w:w="936" w:type="dxa"/>
            <w:tcBorders>
              <w:top w:val="nil"/>
              <w:left w:val="nil"/>
              <w:bottom w:val="single" w:sz="8" w:space="0" w:color="000000" w:themeColor="text1"/>
              <w:right w:val="single" w:sz="8" w:space="0" w:color="000000" w:themeColor="text1"/>
            </w:tcBorders>
          </w:tcPr>
          <w:p w14:paraId="1185F57B" w14:textId="477DF515" w:rsidR="0010769A" w:rsidRPr="003C6E11" w:rsidRDefault="00E25B79" w:rsidP="00576727">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1.308</w:t>
            </w:r>
          </w:p>
        </w:tc>
      </w:tr>
      <w:tr w:rsidR="0010769A" w:rsidRPr="00203E0A" w14:paraId="54C590F4" w14:textId="4973DA78" w:rsidTr="00576727">
        <w:trPr>
          <w:trHeight w:val="66"/>
          <w:jc w:val="center"/>
        </w:trPr>
        <w:tc>
          <w:tcPr>
            <w:tcW w:w="3392"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7FF6C33" w14:textId="77777777" w:rsidR="0010769A" w:rsidRPr="00203E0A" w:rsidRDefault="0010769A" w:rsidP="00586221">
            <w:pPr>
              <w:spacing w:after="0" w:line="240" w:lineRule="auto"/>
              <w:jc w:val="both"/>
              <w:rPr>
                <w:rFonts w:ascii="Times New Roman" w:hAnsi="Times New Roman" w:cs="Times New Roman"/>
                <w:sz w:val="24"/>
                <w:szCs w:val="24"/>
                <w:lang w:eastAsia="en-GB"/>
              </w:rPr>
            </w:pPr>
            <w:r w:rsidRPr="00203E0A">
              <w:rPr>
                <w:rFonts w:ascii="Times New Roman" w:hAnsi="Times New Roman" w:cs="Times New Roman"/>
                <w:sz w:val="24"/>
                <w:szCs w:val="24"/>
              </w:rPr>
              <w:t>Тешке повреде (при доласку, одласку са посла)</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4CE6CE72"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522</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4D8AD729"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pacing w:val="-5"/>
                <w:sz w:val="24"/>
                <w:szCs w:val="24"/>
                <w:lang w:eastAsia="en-GB"/>
              </w:rPr>
              <w:t>597</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626D2160"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435</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0FA645C8"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487</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78CFBE54"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596</w:t>
            </w:r>
          </w:p>
        </w:tc>
        <w:tc>
          <w:tcPr>
            <w:tcW w:w="936" w:type="dxa"/>
            <w:tcBorders>
              <w:top w:val="nil"/>
              <w:left w:val="nil"/>
              <w:bottom w:val="single" w:sz="8" w:space="0" w:color="000000" w:themeColor="text1"/>
              <w:right w:val="single" w:sz="8" w:space="0" w:color="000000" w:themeColor="text1"/>
            </w:tcBorders>
            <w:vAlign w:val="center"/>
          </w:tcPr>
          <w:p w14:paraId="7C9101F6" w14:textId="73CCCCC5" w:rsidR="0010769A" w:rsidRPr="003C6E11" w:rsidRDefault="00E25B79" w:rsidP="00576727">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612</w:t>
            </w:r>
          </w:p>
        </w:tc>
      </w:tr>
      <w:tr w:rsidR="0010769A" w:rsidRPr="00203E0A" w14:paraId="0E8182B6" w14:textId="768E19D5" w:rsidTr="00576727">
        <w:trPr>
          <w:trHeight w:val="330"/>
          <w:jc w:val="center"/>
        </w:trPr>
        <w:tc>
          <w:tcPr>
            <w:tcW w:w="3392"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A56C4F8" w14:textId="77777777" w:rsidR="0010769A" w:rsidRPr="00203E0A" w:rsidRDefault="0010769A" w:rsidP="00586221">
            <w:pPr>
              <w:spacing w:after="0" w:line="240" w:lineRule="auto"/>
              <w:jc w:val="both"/>
              <w:rPr>
                <w:rFonts w:ascii="Times New Roman" w:hAnsi="Times New Roman" w:cs="Times New Roman"/>
                <w:sz w:val="24"/>
                <w:szCs w:val="24"/>
                <w:lang w:eastAsia="en-GB"/>
              </w:rPr>
            </w:pPr>
            <w:r w:rsidRPr="00203E0A">
              <w:rPr>
                <w:rFonts w:ascii="Times New Roman" w:hAnsi="Times New Roman" w:cs="Times New Roman"/>
                <w:sz w:val="24"/>
                <w:szCs w:val="24"/>
              </w:rPr>
              <w:t>Лаке повреде</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2DCF4040" w14:textId="21F9A29F"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9.087</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02E0AF25" w14:textId="64C50A5B"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pacing w:val="-2"/>
                <w:sz w:val="24"/>
                <w:szCs w:val="24"/>
                <w:lang w:eastAsia="en-GB"/>
              </w:rPr>
              <w:t>11.462</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00ABD465" w14:textId="77777777"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8623</w:t>
            </w:r>
          </w:p>
        </w:tc>
        <w:tc>
          <w:tcPr>
            <w:tcW w:w="935" w:type="dxa"/>
            <w:tcBorders>
              <w:top w:val="nil"/>
              <w:left w:val="nil"/>
              <w:bottom w:val="single" w:sz="8" w:space="0" w:color="000000" w:themeColor="text1"/>
              <w:right w:val="single" w:sz="8" w:space="0" w:color="000000" w:themeColor="text1"/>
            </w:tcBorders>
            <w:shd w:val="clear" w:color="auto" w:fill="auto"/>
            <w:vAlign w:val="center"/>
            <w:hideMark/>
          </w:tcPr>
          <w:p w14:paraId="5AFFD1C7" w14:textId="14DFA9DC"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9.487</w:t>
            </w:r>
          </w:p>
        </w:tc>
        <w:tc>
          <w:tcPr>
            <w:tcW w:w="936" w:type="dxa"/>
            <w:tcBorders>
              <w:top w:val="nil"/>
              <w:left w:val="nil"/>
              <w:bottom w:val="single" w:sz="8" w:space="0" w:color="000000" w:themeColor="text1"/>
              <w:right w:val="single" w:sz="8" w:space="0" w:color="000000" w:themeColor="text1"/>
            </w:tcBorders>
            <w:shd w:val="clear" w:color="auto" w:fill="auto"/>
            <w:vAlign w:val="center"/>
            <w:hideMark/>
          </w:tcPr>
          <w:p w14:paraId="231F9AC7" w14:textId="14FE2FC3" w:rsidR="0010769A" w:rsidRPr="00203E0A" w:rsidRDefault="0010769A" w:rsidP="00576727">
            <w:pPr>
              <w:spacing w:after="0" w:line="240" w:lineRule="auto"/>
              <w:jc w:val="right"/>
              <w:rPr>
                <w:rFonts w:ascii="Times New Roman" w:hAnsi="Times New Roman" w:cs="Times New Roman"/>
                <w:sz w:val="24"/>
                <w:szCs w:val="24"/>
                <w:lang w:eastAsia="en-GB"/>
              </w:rPr>
            </w:pPr>
            <w:r w:rsidRPr="00203E0A">
              <w:rPr>
                <w:rFonts w:ascii="Times New Roman" w:hAnsi="Times New Roman" w:cs="Times New Roman"/>
                <w:sz w:val="24"/>
                <w:szCs w:val="24"/>
              </w:rPr>
              <w:t>10.958</w:t>
            </w:r>
          </w:p>
        </w:tc>
        <w:tc>
          <w:tcPr>
            <w:tcW w:w="936" w:type="dxa"/>
            <w:tcBorders>
              <w:top w:val="nil"/>
              <w:left w:val="nil"/>
              <w:bottom w:val="single" w:sz="8" w:space="0" w:color="000000" w:themeColor="text1"/>
              <w:right w:val="single" w:sz="8" w:space="0" w:color="000000" w:themeColor="text1"/>
            </w:tcBorders>
          </w:tcPr>
          <w:p w14:paraId="44820946" w14:textId="2081CFDD" w:rsidR="0010769A" w:rsidRPr="003C6E11" w:rsidRDefault="00E25B79" w:rsidP="00576727">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11.472</w:t>
            </w:r>
          </w:p>
        </w:tc>
      </w:tr>
      <w:tr w:rsidR="0010769A" w:rsidRPr="00203E0A" w14:paraId="3CF56A57" w14:textId="20D567ED" w:rsidTr="00576727">
        <w:trPr>
          <w:trHeight w:val="330"/>
          <w:jc w:val="center"/>
        </w:trPr>
        <w:tc>
          <w:tcPr>
            <w:tcW w:w="3392" w:type="dxa"/>
            <w:tcBorders>
              <w:top w:val="nil"/>
              <w:left w:val="single" w:sz="8" w:space="0" w:color="000000" w:themeColor="text1"/>
              <w:bottom w:val="single" w:sz="8" w:space="0" w:color="000000" w:themeColor="text1"/>
              <w:right w:val="single" w:sz="8" w:space="0" w:color="000000" w:themeColor="text1"/>
            </w:tcBorders>
            <w:shd w:val="clear" w:color="auto" w:fill="FFC000" w:themeFill="accent4"/>
            <w:vAlign w:val="center"/>
            <w:hideMark/>
          </w:tcPr>
          <w:p w14:paraId="19803F5C" w14:textId="77777777"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Укупно:</w:t>
            </w:r>
          </w:p>
        </w:tc>
        <w:tc>
          <w:tcPr>
            <w:tcW w:w="935"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680B6B96" w14:textId="408D4A70"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10</w:t>
            </w:r>
            <w:r w:rsidR="008B4DF4">
              <w:rPr>
                <w:rFonts w:ascii="Times New Roman" w:hAnsi="Times New Roman" w:cs="Times New Roman"/>
                <w:b/>
                <w:bCs/>
                <w:sz w:val="24"/>
                <w:szCs w:val="24"/>
              </w:rPr>
              <w:t>.</w:t>
            </w:r>
            <w:r w:rsidRPr="00203E0A">
              <w:rPr>
                <w:rFonts w:ascii="Times New Roman" w:hAnsi="Times New Roman" w:cs="Times New Roman"/>
                <w:b/>
                <w:bCs/>
                <w:sz w:val="24"/>
                <w:szCs w:val="24"/>
              </w:rPr>
              <w:t>404</w:t>
            </w:r>
          </w:p>
        </w:tc>
        <w:tc>
          <w:tcPr>
            <w:tcW w:w="936"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192B380E" w14:textId="29C0395E"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13</w:t>
            </w:r>
            <w:r w:rsidR="008B4DF4">
              <w:rPr>
                <w:rFonts w:ascii="Times New Roman" w:hAnsi="Times New Roman" w:cs="Times New Roman"/>
                <w:b/>
                <w:bCs/>
                <w:sz w:val="24"/>
                <w:szCs w:val="24"/>
              </w:rPr>
              <w:t>.</w:t>
            </w:r>
            <w:r w:rsidRPr="00203E0A">
              <w:rPr>
                <w:rFonts w:ascii="Times New Roman" w:hAnsi="Times New Roman" w:cs="Times New Roman"/>
                <w:b/>
                <w:bCs/>
                <w:sz w:val="24"/>
                <w:szCs w:val="24"/>
              </w:rPr>
              <w:t>306</w:t>
            </w:r>
          </w:p>
        </w:tc>
        <w:tc>
          <w:tcPr>
            <w:tcW w:w="936"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2A122D68" w14:textId="42E0F016"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10</w:t>
            </w:r>
            <w:r w:rsidR="008B4DF4">
              <w:rPr>
                <w:rFonts w:ascii="Times New Roman" w:hAnsi="Times New Roman" w:cs="Times New Roman"/>
                <w:b/>
                <w:bCs/>
                <w:sz w:val="24"/>
                <w:szCs w:val="24"/>
              </w:rPr>
              <w:t>.</w:t>
            </w:r>
            <w:r w:rsidRPr="00203E0A">
              <w:rPr>
                <w:rFonts w:ascii="Times New Roman" w:hAnsi="Times New Roman" w:cs="Times New Roman"/>
                <w:b/>
                <w:bCs/>
                <w:sz w:val="24"/>
                <w:szCs w:val="24"/>
              </w:rPr>
              <w:t>295</w:t>
            </w:r>
          </w:p>
        </w:tc>
        <w:tc>
          <w:tcPr>
            <w:tcW w:w="935"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1664AABA" w14:textId="01D29F0C"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11</w:t>
            </w:r>
            <w:r w:rsidR="008B4DF4">
              <w:rPr>
                <w:rFonts w:ascii="Times New Roman" w:hAnsi="Times New Roman" w:cs="Times New Roman"/>
                <w:b/>
                <w:bCs/>
                <w:sz w:val="24"/>
                <w:szCs w:val="24"/>
              </w:rPr>
              <w:t>.</w:t>
            </w:r>
            <w:r w:rsidRPr="00203E0A">
              <w:rPr>
                <w:rFonts w:ascii="Times New Roman" w:hAnsi="Times New Roman" w:cs="Times New Roman"/>
                <w:b/>
                <w:bCs/>
                <w:sz w:val="24"/>
                <w:szCs w:val="24"/>
              </w:rPr>
              <w:t>275</w:t>
            </w:r>
          </w:p>
        </w:tc>
        <w:tc>
          <w:tcPr>
            <w:tcW w:w="936"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2EF66109" w14:textId="156572CD" w:rsidR="0010769A" w:rsidRPr="00203E0A" w:rsidRDefault="0010769A" w:rsidP="00586221">
            <w:pPr>
              <w:spacing w:after="0" w:line="240" w:lineRule="auto"/>
              <w:jc w:val="both"/>
              <w:rPr>
                <w:rFonts w:ascii="Times New Roman" w:hAnsi="Times New Roman" w:cs="Times New Roman"/>
                <w:b/>
                <w:bCs/>
                <w:sz w:val="24"/>
                <w:szCs w:val="24"/>
                <w:lang w:eastAsia="en-GB"/>
              </w:rPr>
            </w:pPr>
            <w:r w:rsidRPr="00203E0A">
              <w:rPr>
                <w:rFonts w:ascii="Times New Roman" w:hAnsi="Times New Roman" w:cs="Times New Roman"/>
                <w:b/>
                <w:bCs/>
                <w:sz w:val="24"/>
                <w:szCs w:val="24"/>
              </w:rPr>
              <w:t>12</w:t>
            </w:r>
            <w:r w:rsidR="008B4DF4">
              <w:rPr>
                <w:rFonts w:ascii="Times New Roman" w:hAnsi="Times New Roman" w:cs="Times New Roman"/>
                <w:b/>
                <w:bCs/>
                <w:sz w:val="24"/>
                <w:szCs w:val="24"/>
              </w:rPr>
              <w:t>.</w:t>
            </w:r>
            <w:r w:rsidRPr="00203E0A">
              <w:rPr>
                <w:rFonts w:ascii="Times New Roman" w:hAnsi="Times New Roman" w:cs="Times New Roman"/>
                <w:b/>
                <w:bCs/>
                <w:sz w:val="24"/>
                <w:szCs w:val="24"/>
              </w:rPr>
              <w:t>692</w:t>
            </w:r>
          </w:p>
        </w:tc>
        <w:tc>
          <w:tcPr>
            <w:tcW w:w="936" w:type="dxa"/>
            <w:tcBorders>
              <w:top w:val="nil"/>
              <w:left w:val="nil"/>
              <w:bottom w:val="single" w:sz="8" w:space="0" w:color="000000" w:themeColor="text1"/>
              <w:right w:val="single" w:sz="8" w:space="0" w:color="000000" w:themeColor="text1"/>
            </w:tcBorders>
            <w:shd w:val="clear" w:color="auto" w:fill="FFC000" w:themeFill="accent4"/>
          </w:tcPr>
          <w:p w14:paraId="3600A259" w14:textId="611A997E" w:rsidR="0010769A" w:rsidRPr="003C6E11" w:rsidRDefault="00E25B79" w:rsidP="00586221">
            <w:pPr>
              <w:spacing w:after="0" w:line="240" w:lineRule="auto"/>
              <w:jc w:val="both"/>
              <w:rPr>
                <w:rFonts w:ascii="Times New Roman" w:hAnsi="Times New Roman" w:cs="Times New Roman"/>
                <w:b/>
                <w:bCs/>
                <w:sz w:val="24"/>
                <w:szCs w:val="24"/>
              </w:rPr>
            </w:pPr>
            <w:r w:rsidRPr="003C6E11">
              <w:rPr>
                <w:rFonts w:ascii="Times New Roman" w:hAnsi="Times New Roman" w:cs="Times New Roman"/>
                <w:b/>
                <w:bCs/>
                <w:sz w:val="24"/>
                <w:szCs w:val="24"/>
              </w:rPr>
              <w:t>13.406</w:t>
            </w:r>
          </w:p>
        </w:tc>
      </w:tr>
    </w:tbl>
    <w:p w14:paraId="2DFD5DCE" w14:textId="7D0A6D26" w:rsidR="00EC5D47" w:rsidRPr="00203E0A" w:rsidRDefault="48A77BA5" w:rsidP="48A77BA5">
      <w:pPr>
        <w:jc w:val="both"/>
        <w:rPr>
          <w:rFonts w:ascii="Times New Roman" w:hAnsi="Times New Roman" w:cs="Times New Roman"/>
          <w:i/>
          <w:iCs/>
          <w:sz w:val="24"/>
          <w:szCs w:val="24"/>
        </w:rPr>
      </w:pPr>
      <w:r w:rsidRPr="00203E0A">
        <w:rPr>
          <w:rFonts w:ascii="Times New Roman" w:hAnsi="Times New Roman" w:cs="Times New Roman"/>
          <w:i/>
          <w:iCs/>
          <w:sz w:val="24"/>
          <w:szCs w:val="24"/>
        </w:rPr>
        <w:t>Извор: Управа за безбедност и здравље на раду</w:t>
      </w:r>
    </w:p>
    <w:p w14:paraId="12F288B3" w14:textId="1110EC08" w:rsidR="00E25B79" w:rsidRPr="00203E0A" w:rsidRDefault="48A77BA5" w:rsidP="48A77BA5">
      <w:pPr>
        <w:jc w:val="both"/>
        <w:rPr>
          <w:rFonts w:ascii="Times New Roman" w:hAnsi="Times New Roman" w:cs="Times New Roman"/>
          <w:i/>
          <w:iCs/>
          <w:sz w:val="24"/>
          <w:szCs w:val="24"/>
        </w:rPr>
      </w:pPr>
      <w:r w:rsidRPr="00203E0A">
        <w:rPr>
          <w:rFonts w:ascii="Times New Roman" w:hAnsi="Times New Roman" w:cs="Times New Roman"/>
          <w:i/>
          <w:iCs/>
          <w:sz w:val="24"/>
          <w:szCs w:val="24"/>
        </w:rPr>
        <w:t>*Од 2019. године повреде на раду се анализирају према новој методологији која је усклађена са ESAW методологијом</w:t>
      </w:r>
    </w:p>
    <w:p w14:paraId="57EF5238" w14:textId="6B8FC172" w:rsidR="00EC5D47" w:rsidRPr="00203E0A" w:rsidRDefault="48A77BA5" w:rsidP="00DE4C26">
      <w:pPr>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Подаци Републичког фонда за здравствено осигурање и Инспектората за рад </w:t>
      </w:r>
      <w:r w:rsidR="00E71820">
        <w:rPr>
          <w:rFonts w:ascii="Times New Roman" w:hAnsi="Times New Roman" w:cs="Times New Roman"/>
          <w:sz w:val="24"/>
          <w:szCs w:val="24"/>
        </w:rPr>
        <w:t xml:space="preserve">такође </w:t>
      </w:r>
      <w:r w:rsidRPr="00203E0A">
        <w:rPr>
          <w:rFonts w:ascii="Times New Roman" w:hAnsi="Times New Roman" w:cs="Times New Roman"/>
          <w:sz w:val="24"/>
          <w:szCs w:val="24"/>
        </w:rPr>
        <w:t>указују да је број повреда са различитим исходима знатно већи од броја добијеног на основу и</w:t>
      </w:r>
      <w:r w:rsidR="00985ACF">
        <w:rPr>
          <w:rFonts w:ascii="Times New Roman" w:hAnsi="Times New Roman" w:cs="Times New Roman"/>
          <w:sz w:val="24"/>
          <w:szCs w:val="24"/>
        </w:rPr>
        <w:t>звештавања послодаваца. Табела 2</w:t>
      </w:r>
      <w:r w:rsidR="00B2091F">
        <w:rPr>
          <w:rFonts w:ascii="Times New Roman" w:hAnsi="Times New Roman" w:cs="Times New Roman"/>
          <w:sz w:val="24"/>
          <w:szCs w:val="24"/>
        </w:rPr>
        <w:t>.</w:t>
      </w:r>
      <w:r w:rsidRPr="00203E0A">
        <w:rPr>
          <w:rFonts w:ascii="Times New Roman" w:hAnsi="Times New Roman" w:cs="Times New Roman"/>
          <w:sz w:val="24"/>
          <w:szCs w:val="24"/>
        </w:rPr>
        <w:t xml:space="preserve"> приказује Преглед повреда према тежини регистрованих у Републичком фонду за здравствено осигурање (РФЗО). Разлика указује на пр</w:t>
      </w:r>
      <w:r w:rsidR="00295612">
        <w:rPr>
          <w:rFonts w:ascii="Times New Roman" w:hAnsi="Times New Roman" w:cs="Times New Roman"/>
          <w:sz w:val="24"/>
          <w:szCs w:val="24"/>
        </w:rPr>
        <w:t>облем у извештавању, односно не</w:t>
      </w:r>
      <w:r w:rsidRPr="00203E0A">
        <w:rPr>
          <w:rFonts w:ascii="Times New Roman" w:hAnsi="Times New Roman" w:cs="Times New Roman"/>
          <w:sz w:val="24"/>
          <w:szCs w:val="24"/>
        </w:rPr>
        <w:t>пријављивања повреда што ограничава употребну вредност података које прикупља Управа за безбедност и здравље на раду.</w:t>
      </w:r>
    </w:p>
    <w:p w14:paraId="13320F14" w14:textId="36CF0C1A" w:rsidR="00EC5D47" w:rsidRPr="00203E0A" w:rsidRDefault="00985ACF" w:rsidP="001D355A">
      <w:pPr>
        <w:pStyle w:val="Caption"/>
        <w:keepNext/>
        <w:ind w:left="709"/>
        <w:jc w:val="both"/>
        <w:rPr>
          <w:rFonts w:ascii="Times New Roman" w:hAnsi="Times New Roman" w:cs="Times New Roman"/>
          <w:b/>
          <w:bCs/>
          <w:color w:val="auto"/>
          <w:sz w:val="24"/>
          <w:szCs w:val="24"/>
        </w:rPr>
      </w:pPr>
      <w:r>
        <w:rPr>
          <w:rFonts w:ascii="Times New Roman" w:hAnsi="Times New Roman" w:cs="Times New Roman"/>
          <w:b/>
          <w:bCs/>
          <w:color w:val="auto"/>
          <w:sz w:val="24"/>
          <w:szCs w:val="24"/>
        </w:rPr>
        <w:t>Табела 2</w:t>
      </w:r>
      <w:r w:rsidR="48A77BA5" w:rsidRPr="00203E0A">
        <w:rPr>
          <w:rFonts w:ascii="Times New Roman" w:hAnsi="Times New Roman" w:cs="Times New Roman"/>
          <w:b/>
          <w:bCs/>
          <w:color w:val="auto"/>
          <w:sz w:val="24"/>
          <w:szCs w:val="24"/>
        </w:rPr>
        <w:t>: Преглед повреда према тежини (смртне, тешке и лаке повреде)</w:t>
      </w:r>
    </w:p>
    <w:tbl>
      <w:tblPr>
        <w:tblW w:w="9005" w:type="dxa"/>
        <w:jc w:val="center"/>
        <w:tblLook w:val="04A0" w:firstRow="1" w:lastRow="0" w:firstColumn="1" w:lastColumn="0" w:noHBand="0" w:noVBand="1"/>
      </w:tblPr>
      <w:tblGrid>
        <w:gridCol w:w="3775"/>
        <w:gridCol w:w="850"/>
        <w:gridCol w:w="876"/>
        <w:gridCol w:w="876"/>
        <w:gridCol w:w="876"/>
        <w:gridCol w:w="876"/>
        <w:gridCol w:w="876"/>
      </w:tblGrid>
      <w:tr w:rsidR="001D355A" w:rsidRPr="00203E0A" w14:paraId="5BCA6787" w14:textId="427C8696" w:rsidTr="001D355A">
        <w:trPr>
          <w:trHeight w:val="330"/>
          <w:jc w:val="center"/>
        </w:trPr>
        <w:tc>
          <w:tcPr>
            <w:tcW w:w="38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000" w:themeFill="accent4"/>
            <w:vAlign w:val="center"/>
            <w:hideMark/>
          </w:tcPr>
          <w:p w14:paraId="027938DA" w14:textId="77777777" w:rsidR="001D355A" w:rsidRPr="00203E0A" w:rsidRDefault="001D355A" w:rsidP="00F7315B">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sz w:val="24"/>
                <w:szCs w:val="24"/>
              </w:rPr>
              <w:t>Тежина повреде</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7F86BAB7" w14:textId="77777777" w:rsidR="001D355A" w:rsidRPr="00203E0A" w:rsidRDefault="001D355A"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2018</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6EB5EF2C" w14:textId="77777777" w:rsidR="001D355A" w:rsidRPr="00203E0A" w:rsidRDefault="001D355A"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2019</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54A56318" w14:textId="77777777" w:rsidR="001D355A" w:rsidRPr="00203E0A" w:rsidRDefault="001D355A"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2020</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67D77026" w14:textId="77777777" w:rsidR="001D355A" w:rsidRPr="00203E0A" w:rsidRDefault="001D355A"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2021</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4EF6593D" w14:textId="77777777" w:rsidR="001D355A" w:rsidRPr="00203E0A" w:rsidRDefault="001D355A"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2022</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tcPr>
          <w:p w14:paraId="3E440FD2" w14:textId="56AA344E" w:rsidR="001D355A" w:rsidRPr="00203E0A" w:rsidRDefault="001D355A" w:rsidP="003D2C69">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2023</w:t>
            </w:r>
          </w:p>
        </w:tc>
      </w:tr>
      <w:tr w:rsidR="001D355A" w:rsidRPr="00203E0A" w14:paraId="2E90C894" w14:textId="541FB145" w:rsidTr="001D355A">
        <w:trPr>
          <w:trHeight w:val="330"/>
          <w:jc w:val="center"/>
        </w:trPr>
        <w:tc>
          <w:tcPr>
            <w:tcW w:w="381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EF2953C" w14:textId="77777777" w:rsidR="001D355A" w:rsidRPr="00203E0A" w:rsidRDefault="001D355A" w:rsidP="00F7315B">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Смртне повреде на раду</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3B540DEB" w14:textId="77777777"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40</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22A6B23C" w14:textId="77777777"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36</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701074AC" w14:textId="77777777"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34</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4258D243" w14:textId="77777777"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45</w:t>
            </w:r>
          </w:p>
        </w:tc>
        <w:tc>
          <w:tcPr>
            <w:tcW w:w="851" w:type="dxa"/>
            <w:tcBorders>
              <w:top w:val="nil"/>
              <w:left w:val="nil"/>
              <w:bottom w:val="single" w:sz="8" w:space="0" w:color="000000" w:themeColor="text1"/>
              <w:right w:val="single" w:sz="8" w:space="0" w:color="000000" w:themeColor="text1"/>
            </w:tcBorders>
            <w:shd w:val="clear" w:color="auto" w:fill="auto"/>
            <w:vAlign w:val="center"/>
            <w:hideMark/>
          </w:tcPr>
          <w:p w14:paraId="64871DD8" w14:textId="1E8FA7E7"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sz w:val="24"/>
                <w:szCs w:val="24"/>
              </w:rPr>
              <w:t xml:space="preserve"> 64</w:t>
            </w:r>
          </w:p>
        </w:tc>
        <w:tc>
          <w:tcPr>
            <w:tcW w:w="851" w:type="dxa"/>
            <w:tcBorders>
              <w:top w:val="nil"/>
              <w:left w:val="nil"/>
              <w:bottom w:val="single" w:sz="8" w:space="0" w:color="000000" w:themeColor="text1"/>
              <w:right w:val="single" w:sz="8" w:space="0" w:color="000000" w:themeColor="text1"/>
            </w:tcBorders>
          </w:tcPr>
          <w:p w14:paraId="5EE096EE" w14:textId="4C458178" w:rsidR="001D355A" w:rsidRPr="00203E0A" w:rsidRDefault="001D355A" w:rsidP="00080A4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39</w:t>
            </w:r>
          </w:p>
        </w:tc>
      </w:tr>
      <w:tr w:rsidR="001D355A" w:rsidRPr="00203E0A" w14:paraId="16E7EF6E" w14:textId="690B13C2" w:rsidTr="001D355A">
        <w:trPr>
          <w:trHeight w:val="330"/>
          <w:jc w:val="center"/>
        </w:trPr>
        <w:tc>
          <w:tcPr>
            <w:tcW w:w="381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36B98D5" w14:textId="77777777" w:rsidR="001D355A" w:rsidRPr="00203E0A" w:rsidRDefault="001D355A" w:rsidP="00F7315B">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Тешке повреде на раду</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1D2C64B" w14:textId="2A2ACE5F"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719</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1E0E1DD0" w14:textId="51945297"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930</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1E9A83FD" w14:textId="353DF5F3"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115</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28C64911" w14:textId="618D77AA"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455</w:t>
            </w:r>
          </w:p>
        </w:tc>
        <w:tc>
          <w:tcPr>
            <w:tcW w:w="851" w:type="dxa"/>
            <w:tcBorders>
              <w:top w:val="nil"/>
              <w:left w:val="nil"/>
              <w:bottom w:val="single" w:sz="8" w:space="0" w:color="000000" w:themeColor="text1"/>
              <w:right w:val="single" w:sz="8" w:space="0" w:color="000000" w:themeColor="text1"/>
            </w:tcBorders>
            <w:shd w:val="clear" w:color="auto" w:fill="auto"/>
            <w:vAlign w:val="center"/>
            <w:hideMark/>
          </w:tcPr>
          <w:p w14:paraId="59EDE7F1" w14:textId="3C5EFBE2"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472</w:t>
            </w:r>
          </w:p>
        </w:tc>
        <w:tc>
          <w:tcPr>
            <w:tcW w:w="851" w:type="dxa"/>
            <w:tcBorders>
              <w:top w:val="nil"/>
              <w:left w:val="nil"/>
              <w:bottom w:val="single" w:sz="8" w:space="0" w:color="000000" w:themeColor="text1"/>
              <w:right w:val="single" w:sz="8" w:space="0" w:color="000000" w:themeColor="text1"/>
            </w:tcBorders>
          </w:tcPr>
          <w:p w14:paraId="6901D782" w14:textId="341CDB4E" w:rsidR="001D355A" w:rsidRPr="00203E0A" w:rsidRDefault="001D355A" w:rsidP="00080A44">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3.661</w:t>
            </w:r>
          </w:p>
        </w:tc>
      </w:tr>
      <w:tr w:rsidR="001D355A" w:rsidRPr="00203E0A" w14:paraId="72C36DFD" w14:textId="06B594DC" w:rsidTr="001D355A">
        <w:trPr>
          <w:trHeight w:val="330"/>
          <w:jc w:val="center"/>
        </w:trPr>
        <w:tc>
          <w:tcPr>
            <w:tcW w:w="3810"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AD9117F" w14:textId="77777777" w:rsidR="001D355A" w:rsidRPr="00203E0A" w:rsidRDefault="001D355A" w:rsidP="00F7315B">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Лаке повреде</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4811A5D" w14:textId="77777777" w:rsidR="001D355A" w:rsidRPr="00203E0A" w:rsidRDefault="001D355A" w:rsidP="00080A44">
            <w:pPr>
              <w:spacing w:after="0" w:line="240" w:lineRule="auto"/>
              <w:jc w:val="right"/>
              <w:rPr>
                <w:rFonts w:ascii="Times New Roman" w:hAnsi="Times New Roman" w:cs="Times New Roman"/>
                <w:color w:val="000000"/>
                <w:sz w:val="24"/>
                <w:szCs w:val="24"/>
                <w:lang w:eastAsia="en-GB"/>
              </w:rPr>
            </w:pP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77DD4AD5" w14:textId="310B674A"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19</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028</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7F8CC08A" w14:textId="3F03D3C2"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15</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945</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5C37561" w14:textId="5F08A7D0"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17</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558</w:t>
            </w:r>
          </w:p>
        </w:tc>
        <w:tc>
          <w:tcPr>
            <w:tcW w:w="851" w:type="dxa"/>
            <w:tcBorders>
              <w:top w:val="nil"/>
              <w:left w:val="nil"/>
              <w:bottom w:val="single" w:sz="8" w:space="0" w:color="000000" w:themeColor="text1"/>
              <w:right w:val="single" w:sz="8" w:space="0" w:color="000000" w:themeColor="text1"/>
            </w:tcBorders>
            <w:shd w:val="clear" w:color="auto" w:fill="auto"/>
            <w:vAlign w:val="center"/>
            <w:hideMark/>
          </w:tcPr>
          <w:p w14:paraId="467ADED5" w14:textId="005A39C8" w:rsidR="001D355A" w:rsidRPr="00203E0A" w:rsidRDefault="001D355A" w:rsidP="00080A44">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18</w:t>
            </w:r>
            <w:r>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328</w:t>
            </w:r>
          </w:p>
        </w:tc>
        <w:tc>
          <w:tcPr>
            <w:tcW w:w="851" w:type="dxa"/>
            <w:tcBorders>
              <w:top w:val="nil"/>
              <w:left w:val="nil"/>
              <w:bottom w:val="single" w:sz="8" w:space="0" w:color="000000" w:themeColor="text1"/>
              <w:right w:val="single" w:sz="8" w:space="0" w:color="000000" w:themeColor="text1"/>
            </w:tcBorders>
          </w:tcPr>
          <w:p w14:paraId="7F1C6E58" w14:textId="0B49076D" w:rsidR="001D355A" w:rsidRPr="00203E0A" w:rsidRDefault="001D355A" w:rsidP="00080A44">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19.210</w:t>
            </w:r>
          </w:p>
        </w:tc>
      </w:tr>
      <w:tr w:rsidR="001D355A" w:rsidRPr="00203E0A" w14:paraId="47B88210" w14:textId="00C22F8B" w:rsidTr="001D355A">
        <w:trPr>
          <w:trHeight w:val="330"/>
          <w:jc w:val="center"/>
        </w:trPr>
        <w:tc>
          <w:tcPr>
            <w:tcW w:w="3810" w:type="dxa"/>
            <w:tcBorders>
              <w:top w:val="nil"/>
              <w:left w:val="single" w:sz="8" w:space="0" w:color="000000" w:themeColor="text1"/>
              <w:bottom w:val="single" w:sz="8" w:space="0" w:color="000000" w:themeColor="text1"/>
              <w:right w:val="single" w:sz="8" w:space="0" w:color="000000" w:themeColor="text1"/>
            </w:tcBorders>
            <w:shd w:val="clear" w:color="auto" w:fill="FFC000" w:themeFill="accent4"/>
            <w:vAlign w:val="center"/>
            <w:hideMark/>
          </w:tcPr>
          <w:p w14:paraId="4E5F703B" w14:textId="77777777" w:rsidR="001D355A" w:rsidRPr="00203E0A" w:rsidRDefault="001D355A" w:rsidP="00F7315B">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Укупно:</w:t>
            </w:r>
          </w:p>
        </w:tc>
        <w:tc>
          <w:tcPr>
            <w:tcW w:w="851" w:type="dxa"/>
            <w:tcBorders>
              <w:top w:val="nil"/>
              <w:left w:val="nil"/>
              <w:bottom w:val="single" w:sz="8" w:space="0" w:color="000000" w:themeColor="text1"/>
              <w:right w:val="single" w:sz="8" w:space="0" w:color="000000" w:themeColor="text1"/>
            </w:tcBorders>
            <w:shd w:val="clear" w:color="auto" w:fill="FFC000" w:themeFill="accent4"/>
            <w:vAlign w:val="center"/>
          </w:tcPr>
          <w:p w14:paraId="3E6161DF" w14:textId="51AEC739" w:rsidR="001D355A" w:rsidRPr="00203E0A" w:rsidRDefault="001D355A" w:rsidP="00080A44">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3</w:t>
            </w:r>
            <w:r>
              <w:rPr>
                <w:rFonts w:ascii="Times New Roman" w:hAnsi="Times New Roman" w:cs="Times New Roman"/>
                <w:b/>
                <w:bCs/>
                <w:color w:val="000000" w:themeColor="text1"/>
                <w:sz w:val="24"/>
                <w:szCs w:val="24"/>
              </w:rPr>
              <w:t>.</w:t>
            </w:r>
            <w:r w:rsidRPr="00203E0A">
              <w:rPr>
                <w:rFonts w:ascii="Times New Roman" w:hAnsi="Times New Roman" w:cs="Times New Roman"/>
                <w:b/>
                <w:bCs/>
                <w:color w:val="000000" w:themeColor="text1"/>
                <w:sz w:val="24"/>
                <w:szCs w:val="24"/>
              </w:rPr>
              <w:t>759</w:t>
            </w:r>
          </w:p>
        </w:tc>
        <w:tc>
          <w:tcPr>
            <w:tcW w:w="851" w:type="dxa"/>
            <w:tcBorders>
              <w:top w:val="nil"/>
              <w:left w:val="nil"/>
              <w:bottom w:val="single" w:sz="8" w:space="0" w:color="000000" w:themeColor="text1"/>
              <w:right w:val="single" w:sz="8" w:space="0" w:color="000000" w:themeColor="text1"/>
            </w:tcBorders>
            <w:shd w:val="clear" w:color="auto" w:fill="FFC000" w:themeFill="accent4"/>
            <w:vAlign w:val="center"/>
          </w:tcPr>
          <w:p w14:paraId="38F48B11" w14:textId="626C3EDA" w:rsidR="001D355A" w:rsidRPr="00203E0A" w:rsidRDefault="001D355A" w:rsidP="00080A44">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22</w:t>
            </w:r>
            <w:r>
              <w:rPr>
                <w:rFonts w:ascii="Times New Roman" w:hAnsi="Times New Roman" w:cs="Times New Roman"/>
                <w:b/>
                <w:bCs/>
                <w:color w:val="000000" w:themeColor="text1"/>
                <w:sz w:val="24"/>
                <w:szCs w:val="24"/>
              </w:rPr>
              <w:t>.</w:t>
            </w:r>
            <w:r w:rsidRPr="00203E0A">
              <w:rPr>
                <w:rFonts w:ascii="Times New Roman" w:hAnsi="Times New Roman" w:cs="Times New Roman"/>
                <w:b/>
                <w:bCs/>
                <w:color w:val="000000" w:themeColor="text1"/>
                <w:sz w:val="24"/>
                <w:szCs w:val="24"/>
              </w:rPr>
              <w:t>994</w:t>
            </w:r>
          </w:p>
        </w:tc>
        <w:tc>
          <w:tcPr>
            <w:tcW w:w="851" w:type="dxa"/>
            <w:tcBorders>
              <w:top w:val="nil"/>
              <w:left w:val="nil"/>
              <w:bottom w:val="single" w:sz="8" w:space="0" w:color="000000" w:themeColor="text1"/>
              <w:right w:val="single" w:sz="8" w:space="0" w:color="000000" w:themeColor="text1"/>
            </w:tcBorders>
            <w:shd w:val="clear" w:color="auto" w:fill="FFC000" w:themeFill="accent4"/>
            <w:vAlign w:val="center"/>
          </w:tcPr>
          <w:p w14:paraId="1887E9F6" w14:textId="40DC1D5C" w:rsidR="001D355A" w:rsidRPr="00203E0A" w:rsidRDefault="001D355A" w:rsidP="00080A44">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19</w:t>
            </w:r>
            <w:r>
              <w:rPr>
                <w:rFonts w:ascii="Times New Roman" w:hAnsi="Times New Roman" w:cs="Times New Roman"/>
                <w:b/>
                <w:bCs/>
                <w:color w:val="000000" w:themeColor="text1"/>
                <w:sz w:val="24"/>
                <w:szCs w:val="24"/>
              </w:rPr>
              <w:t>.</w:t>
            </w:r>
            <w:r w:rsidRPr="00203E0A">
              <w:rPr>
                <w:rFonts w:ascii="Times New Roman" w:hAnsi="Times New Roman" w:cs="Times New Roman"/>
                <w:b/>
                <w:bCs/>
                <w:color w:val="000000" w:themeColor="text1"/>
                <w:sz w:val="24"/>
                <w:szCs w:val="24"/>
              </w:rPr>
              <w:t>094</w:t>
            </w:r>
          </w:p>
        </w:tc>
        <w:tc>
          <w:tcPr>
            <w:tcW w:w="851" w:type="dxa"/>
            <w:tcBorders>
              <w:top w:val="nil"/>
              <w:left w:val="nil"/>
              <w:bottom w:val="single" w:sz="8" w:space="0" w:color="000000" w:themeColor="text1"/>
              <w:right w:val="single" w:sz="8" w:space="0" w:color="000000" w:themeColor="text1"/>
            </w:tcBorders>
            <w:shd w:val="clear" w:color="auto" w:fill="FFC000" w:themeFill="accent4"/>
            <w:vAlign w:val="center"/>
          </w:tcPr>
          <w:p w14:paraId="31275397" w14:textId="43838A4C" w:rsidR="001D355A" w:rsidRPr="00203E0A" w:rsidRDefault="001D355A" w:rsidP="00080A44">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21</w:t>
            </w:r>
            <w:r>
              <w:rPr>
                <w:rFonts w:ascii="Times New Roman" w:hAnsi="Times New Roman" w:cs="Times New Roman"/>
                <w:b/>
                <w:bCs/>
                <w:color w:val="000000" w:themeColor="text1"/>
                <w:sz w:val="24"/>
                <w:szCs w:val="24"/>
              </w:rPr>
              <w:t>.</w:t>
            </w:r>
            <w:r w:rsidRPr="00203E0A">
              <w:rPr>
                <w:rFonts w:ascii="Times New Roman" w:hAnsi="Times New Roman" w:cs="Times New Roman"/>
                <w:b/>
                <w:bCs/>
                <w:color w:val="000000" w:themeColor="text1"/>
                <w:sz w:val="24"/>
                <w:szCs w:val="24"/>
              </w:rPr>
              <w:t>058</w:t>
            </w:r>
          </w:p>
        </w:tc>
        <w:tc>
          <w:tcPr>
            <w:tcW w:w="851"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4CBE9DCC" w14:textId="237AB97F" w:rsidR="001D355A" w:rsidRPr="00203E0A" w:rsidRDefault="001D355A" w:rsidP="00080A44">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21</w:t>
            </w:r>
            <w:r>
              <w:rPr>
                <w:rFonts w:ascii="Times New Roman" w:hAnsi="Times New Roman" w:cs="Times New Roman"/>
                <w:b/>
                <w:bCs/>
                <w:color w:val="000000" w:themeColor="text1"/>
                <w:sz w:val="24"/>
                <w:szCs w:val="24"/>
              </w:rPr>
              <w:t>.</w:t>
            </w:r>
            <w:r w:rsidRPr="00203E0A">
              <w:rPr>
                <w:rFonts w:ascii="Times New Roman" w:hAnsi="Times New Roman" w:cs="Times New Roman"/>
                <w:b/>
                <w:bCs/>
                <w:color w:val="000000" w:themeColor="text1"/>
                <w:sz w:val="24"/>
                <w:szCs w:val="24"/>
              </w:rPr>
              <w:t>864</w:t>
            </w:r>
          </w:p>
        </w:tc>
        <w:tc>
          <w:tcPr>
            <w:tcW w:w="851" w:type="dxa"/>
            <w:tcBorders>
              <w:top w:val="nil"/>
              <w:left w:val="nil"/>
              <w:bottom w:val="single" w:sz="8" w:space="0" w:color="000000" w:themeColor="text1"/>
              <w:right w:val="single" w:sz="8" w:space="0" w:color="000000" w:themeColor="text1"/>
            </w:tcBorders>
            <w:shd w:val="clear" w:color="auto" w:fill="FFC000" w:themeFill="accent4"/>
          </w:tcPr>
          <w:p w14:paraId="34A6877E" w14:textId="079CDB96" w:rsidR="001D355A" w:rsidRPr="00203E0A" w:rsidRDefault="001D355A" w:rsidP="00080A44">
            <w:pPr>
              <w:spacing w:after="0" w:line="240" w:lineRule="auto"/>
              <w:jc w:val="right"/>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22.910</w:t>
            </w:r>
          </w:p>
        </w:tc>
      </w:tr>
    </w:tbl>
    <w:p w14:paraId="6246D669" w14:textId="6C695C1B" w:rsidR="00981883" w:rsidRPr="00203E0A" w:rsidRDefault="48A77BA5" w:rsidP="00F7315B">
      <w:pPr>
        <w:spacing w:after="150"/>
        <w:jc w:val="both"/>
        <w:rPr>
          <w:rFonts w:ascii="Times New Roman" w:hAnsi="Times New Roman" w:cs="Times New Roman"/>
          <w:i/>
          <w:iCs/>
          <w:color w:val="000000"/>
          <w:sz w:val="24"/>
          <w:szCs w:val="24"/>
        </w:rPr>
      </w:pPr>
      <w:r w:rsidRPr="00203E0A">
        <w:rPr>
          <w:rFonts w:ascii="Times New Roman" w:hAnsi="Times New Roman" w:cs="Times New Roman"/>
          <w:i/>
          <w:iCs/>
          <w:color w:val="000000" w:themeColor="text1"/>
          <w:sz w:val="24"/>
          <w:szCs w:val="24"/>
        </w:rPr>
        <w:t>Извор: Републички фонд за здравствено осигурање</w:t>
      </w:r>
    </w:p>
    <w:p w14:paraId="1486F4AE" w14:textId="22F5FD14" w:rsidR="00080A44" w:rsidRPr="003C6E11" w:rsidRDefault="00985ACF" w:rsidP="00985ACF">
      <w:pPr>
        <w:ind w:firstLine="720"/>
        <w:jc w:val="both"/>
        <w:rPr>
          <w:rFonts w:ascii="Times New Roman" w:hAnsi="Times New Roman" w:cs="Times New Roman"/>
          <w:b/>
          <w:bCs/>
          <w:i/>
          <w:iCs/>
          <w:sz w:val="24"/>
          <w:szCs w:val="24"/>
        </w:rPr>
      </w:pPr>
      <w:r>
        <w:rPr>
          <w:rFonts w:ascii="Times New Roman" w:hAnsi="Times New Roman" w:cs="Times New Roman"/>
          <w:b/>
          <w:bCs/>
          <w:i/>
          <w:iCs/>
          <w:sz w:val="24"/>
          <w:szCs w:val="24"/>
        </w:rPr>
        <w:t>Табела 3</w:t>
      </w:r>
      <w:r w:rsidR="48A77BA5" w:rsidRPr="00203E0A">
        <w:rPr>
          <w:rFonts w:ascii="Times New Roman" w:hAnsi="Times New Roman" w:cs="Times New Roman"/>
          <w:b/>
          <w:bCs/>
          <w:i/>
          <w:iCs/>
          <w:sz w:val="24"/>
          <w:szCs w:val="24"/>
        </w:rPr>
        <w:t xml:space="preserve">: Број извршних инспекцијских надзора у случају смртне повреде, тешке повреде са смртним исходом, колективних, тешких и лаких </w:t>
      </w:r>
      <w:r w:rsidR="48A77BA5" w:rsidRPr="003C6E11">
        <w:rPr>
          <w:rFonts w:ascii="Times New Roman" w:hAnsi="Times New Roman" w:cs="Times New Roman"/>
          <w:b/>
          <w:bCs/>
          <w:i/>
          <w:iCs/>
          <w:sz w:val="24"/>
          <w:szCs w:val="24"/>
        </w:rPr>
        <w:t>повред</w:t>
      </w:r>
      <w:r w:rsidR="0036308E" w:rsidRPr="003C6E11">
        <w:rPr>
          <w:rFonts w:ascii="Times New Roman" w:hAnsi="Times New Roman" w:cs="Times New Roman"/>
          <w:b/>
          <w:bCs/>
          <w:i/>
          <w:iCs/>
          <w:sz w:val="24"/>
          <w:szCs w:val="24"/>
        </w:rPr>
        <w:t>а</w:t>
      </w:r>
      <w:r w:rsidR="00CA6DD0" w:rsidRPr="003C6E11">
        <w:rPr>
          <w:rFonts w:ascii="Times New Roman" w:hAnsi="Times New Roman" w:cs="Times New Roman"/>
          <w:b/>
          <w:bCs/>
          <w:i/>
          <w:iCs/>
          <w:sz w:val="24"/>
          <w:szCs w:val="24"/>
        </w:rPr>
        <w:t xml:space="preserve">  </w:t>
      </w:r>
    </w:p>
    <w:tbl>
      <w:tblPr>
        <w:tblW w:w="9004" w:type="dxa"/>
        <w:jc w:val="center"/>
        <w:tblLook w:val="04A0" w:firstRow="1" w:lastRow="0" w:firstColumn="1" w:lastColumn="0" w:noHBand="0" w:noVBand="1"/>
      </w:tblPr>
      <w:tblGrid>
        <w:gridCol w:w="3767"/>
        <w:gridCol w:w="849"/>
        <w:gridCol w:w="843"/>
        <w:gridCol w:w="843"/>
        <w:gridCol w:w="927"/>
        <w:gridCol w:w="886"/>
        <w:gridCol w:w="889"/>
      </w:tblGrid>
      <w:tr w:rsidR="003C6E11" w:rsidRPr="003C6E11" w14:paraId="13917E87" w14:textId="794A3D03" w:rsidTr="003D2C69">
        <w:trPr>
          <w:trHeight w:val="330"/>
          <w:jc w:val="center"/>
        </w:trPr>
        <w:tc>
          <w:tcPr>
            <w:tcW w:w="3894"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C000" w:themeFill="accent4"/>
            <w:vAlign w:val="center"/>
            <w:hideMark/>
          </w:tcPr>
          <w:p w14:paraId="61992FD4" w14:textId="77777777"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sz w:val="24"/>
                <w:szCs w:val="24"/>
              </w:rPr>
              <w:t>Тежина повреде</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4CCCC7A9" w14:textId="77777777" w:rsidR="0040095C" w:rsidRPr="00203E0A" w:rsidRDefault="0040095C"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2018*</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67146A98" w14:textId="77777777" w:rsidR="0040095C" w:rsidRPr="00203E0A" w:rsidRDefault="0040095C"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2019</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154A3F02" w14:textId="77777777" w:rsidR="0040095C" w:rsidRPr="00203E0A" w:rsidRDefault="0040095C"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2020</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5C5FF7E2" w14:textId="77777777" w:rsidR="0040095C" w:rsidRPr="00203E0A" w:rsidRDefault="0040095C"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2021</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hideMark/>
          </w:tcPr>
          <w:p w14:paraId="68B56FDE" w14:textId="77777777" w:rsidR="0040095C" w:rsidRPr="00203E0A" w:rsidRDefault="0040095C" w:rsidP="003D2C69">
            <w:pPr>
              <w:spacing w:after="0" w:line="240" w:lineRule="auto"/>
              <w:jc w:val="center"/>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2022</w:t>
            </w:r>
          </w:p>
        </w:tc>
        <w:tc>
          <w:tcPr>
            <w:tcW w:w="851" w:type="dxa"/>
            <w:tcBorders>
              <w:top w:val="single" w:sz="8" w:space="0" w:color="000000" w:themeColor="text1"/>
              <w:left w:val="nil"/>
              <w:bottom w:val="single" w:sz="8" w:space="0" w:color="000000" w:themeColor="text1"/>
              <w:right w:val="single" w:sz="8" w:space="0" w:color="000000" w:themeColor="text1"/>
            </w:tcBorders>
            <w:shd w:val="clear" w:color="auto" w:fill="FFC000" w:themeFill="accent4"/>
            <w:vAlign w:val="center"/>
          </w:tcPr>
          <w:p w14:paraId="3013A642" w14:textId="255B054B" w:rsidR="0040095C" w:rsidRPr="003C6E11" w:rsidRDefault="0040095C" w:rsidP="003D2C69">
            <w:pPr>
              <w:spacing w:after="0" w:line="240" w:lineRule="auto"/>
              <w:jc w:val="center"/>
              <w:rPr>
                <w:rFonts w:ascii="Times New Roman" w:hAnsi="Times New Roman" w:cs="Times New Roman"/>
                <w:b/>
                <w:bCs/>
                <w:sz w:val="24"/>
                <w:szCs w:val="24"/>
              </w:rPr>
            </w:pPr>
            <w:r w:rsidRPr="003C6E11">
              <w:rPr>
                <w:rFonts w:ascii="Times New Roman" w:hAnsi="Times New Roman" w:cs="Times New Roman"/>
                <w:b/>
                <w:bCs/>
                <w:sz w:val="24"/>
                <w:szCs w:val="24"/>
              </w:rPr>
              <w:t>2023</w:t>
            </w:r>
          </w:p>
        </w:tc>
      </w:tr>
      <w:tr w:rsidR="003C6E11" w:rsidRPr="003C6E11" w14:paraId="0D52022C" w14:textId="25208C2F" w:rsidTr="001D355A">
        <w:trPr>
          <w:trHeight w:val="330"/>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FAFC394" w14:textId="77777777" w:rsidR="0040095C" w:rsidRPr="00203E0A" w:rsidRDefault="0040095C" w:rsidP="00120B2C">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Смртне повреде на раду</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24EEE9FF"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24</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7C939E52"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33</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462DA2F4"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31</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FD14B85"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44</w:t>
            </w:r>
          </w:p>
        </w:tc>
        <w:tc>
          <w:tcPr>
            <w:tcW w:w="851" w:type="dxa"/>
            <w:tcBorders>
              <w:top w:val="nil"/>
              <w:left w:val="nil"/>
              <w:bottom w:val="single" w:sz="8" w:space="0" w:color="000000" w:themeColor="text1"/>
              <w:right w:val="single" w:sz="8" w:space="0" w:color="000000" w:themeColor="text1"/>
            </w:tcBorders>
            <w:shd w:val="clear" w:color="auto" w:fill="auto"/>
            <w:vAlign w:val="center"/>
            <w:hideMark/>
          </w:tcPr>
          <w:p w14:paraId="7B4B2832"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26</w:t>
            </w:r>
          </w:p>
        </w:tc>
        <w:tc>
          <w:tcPr>
            <w:tcW w:w="851" w:type="dxa"/>
            <w:tcBorders>
              <w:top w:val="nil"/>
              <w:left w:val="nil"/>
              <w:bottom w:val="single" w:sz="8" w:space="0" w:color="000000" w:themeColor="text1"/>
              <w:right w:val="single" w:sz="8" w:space="0" w:color="000000" w:themeColor="text1"/>
            </w:tcBorders>
          </w:tcPr>
          <w:p w14:paraId="6CAEB8D2" w14:textId="3231D46A" w:rsidR="0040095C" w:rsidRPr="003C6E11" w:rsidRDefault="0043232F"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22</w:t>
            </w:r>
          </w:p>
        </w:tc>
      </w:tr>
      <w:tr w:rsidR="003C6E11" w:rsidRPr="003C6E11" w14:paraId="0E48A195" w14:textId="10FFBA04" w:rsidTr="003D2C69">
        <w:trPr>
          <w:trHeight w:val="330"/>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E2A1D24" w14:textId="77777777" w:rsidR="0040095C" w:rsidRPr="00203E0A" w:rsidRDefault="0040095C" w:rsidP="00120B2C">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 xml:space="preserve">Тешке повреде са смртним исходом </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0ACA8AC"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29</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0ACFA9FA"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16</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BB886FA"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12</w:t>
            </w:r>
          </w:p>
        </w:tc>
        <w:tc>
          <w:tcPr>
            <w:tcW w:w="851" w:type="dxa"/>
            <w:tcBorders>
              <w:top w:val="nil"/>
              <w:left w:val="nil"/>
              <w:bottom w:val="single" w:sz="8" w:space="0" w:color="000000" w:themeColor="text1"/>
              <w:right w:val="single" w:sz="8" w:space="0" w:color="000000" w:themeColor="text1"/>
            </w:tcBorders>
            <w:shd w:val="clear" w:color="auto" w:fill="auto"/>
            <w:vAlign w:val="center"/>
          </w:tcPr>
          <w:p w14:paraId="511F16A3"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17</w:t>
            </w:r>
          </w:p>
        </w:tc>
        <w:tc>
          <w:tcPr>
            <w:tcW w:w="851" w:type="dxa"/>
            <w:tcBorders>
              <w:top w:val="nil"/>
              <w:left w:val="nil"/>
              <w:bottom w:val="single" w:sz="8" w:space="0" w:color="000000" w:themeColor="text1"/>
              <w:right w:val="single" w:sz="8" w:space="0" w:color="000000" w:themeColor="text1"/>
            </w:tcBorders>
            <w:shd w:val="clear" w:color="auto" w:fill="auto"/>
            <w:vAlign w:val="center"/>
            <w:hideMark/>
          </w:tcPr>
          <w:p w14:paraId="30B441AF"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21</w:t>
            </w:r>
          </w:p>
        </w:tc>
        <w:tc>
          <w:tcPr>
            <w:tcW w:w="851" w:type="dxa"/>
            <w:tcBorders>
              <w:top w:val="nil"/>
              <w:left w:val="nil"/>
              <w:bottom w:val="single" w:sz="8" w:space="0" w:color="000000" w:themeColor="text1"/>
              <w:right w:val="single" w:sz="8" w:space="0" w:color="000000" w:themeColor="text1"/>
            </w:tcBorders>
            <w:vAlign w:val="center"/>
          </w:tcPr>
          <w:p w14:paraId="3D8FEBAB" w14:textId="68E967F2" w:rsidR="0040095C" w:rsidRPr="003C6E11" w:rsidRDefault="001E35E2"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18</w:t>
            </w:r>
          </w:p>
        </w:tc>
      </w:tr>
      <w:tr w:rsidR="003C6E11" w:rsidRPr="003C6E11" w14:paraId="15379D54" w14:textId="06FDC8B9" w:rsidTr="001D355A">
        <w:trPr>
          <w:trHeight w:val="330"/>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FFF2CC" w:themeFill="accent4" w:themeFillTint="33"/>
            <w:vAlign w:val="center"/>
          </w:tcPr>
          <w:p w14:paraId="136B7DCA" w14:textId="77777777"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Смртне и тешке повреде са смртним исходом</w:t>
            </w:r>
          </w:p>
        </w:tc>
        <w:tc>
          <w:tcPr>
            <w:tcW w:w="851" w:type="dxa"/>
            <w:tcBorders>
              <w:top w:val="nil"/>
              <w:left w:val="nil"/>
              <w:bottom w:val="single" w:sz="8" w:space="0" w:color="000000" w:themeColor="text1"/>
              <w:right w:val="single" w:sz="8" w:space="0" w:color="000000" w:themeColor="text1"/>
            </w:tcBorders>
            <w:shd w:val="clear" w:color="auto" w:fill="FFF2CC" w:themeFill="accent4" w:themeFillTint="33"/>
            <w:vAlign w:val="center"/>
          </w:tcPr>
          <w:p w14:paraId="1DC56BC0" w14:textId="77777777" w:rsidR="0040095C" w:rsidRPr="00203E0A" w:rsidRDefault="0040095C" w:rsidP="00586221">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53</w:t>
            </w:r>
          </w:p>
        </w:tc>
        <w:tc>
          <w:tcPr>
            <w:tcW w:w="851" w:type="dxa"/>
            <w:tcBorders>
              <w:top w:val="nil"/>
              <w:left w:val="nil"/>
              <w:bottom w:val="single" w:sz="8" w:space="0" w:color="000000" w:themeColor="text1"/>
              <w:right w:val="single" w:sz="8" w:space="0" w:color="000000" w:themeColor="text1"/>
            </w:tcBorders>
            <w:shd w:val="clear" w:color="auto" w:fill="FFF2CC" w:themeFill="accent4" w:themeFillTint="33"/>
            <w:vAlign w:val="center"/>
          </w:tcPr>
          <w:p w14:paraId="39C37586" w14:textId="77777777" w:rsidR="0040095C" w:rsidRPr="00203E0A" w:rsidRDefault="0040095C" w:rsidP="00586221">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49</w:t>
            </w:r>
          </w:p>
        </w:tc>
        <w:tc>
          <w:tcPr>
            <w:tcW w:w="851" w:type="dxa"/>
            <w:tcBorders>
              <w:top w:val="nil"/>
              <w:left w:val="nil"/>
              <w:bottom w:val="single" w:sz="8" w:space="0" w:color="000000" w:themeColor="text1"/>
              <w:right w:val="single" w:sz="8" w:space="0" w:color="000000" w:themeColor="text1"/>
            </w:tcBorders>
            <w:shd w:val="clear" w:color="auto" w:fill="FFF2CC" w:themeFill="accent4" w:themeFillTint="33"/>
            <w:vAlign w:val="center"/>
          </w:tcPr>
          <w:p w14:paraId="1A80682E" w14:textId="77777777" w:rsidR="0040095C" w:rsidRPr="00203E0A" w:rsidRDefault="0040095C" w:rsidP="00586221">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43</w:t>
            </w:r>
          </w:p>
        </w:tc>
        <w:tc>
          <w:tcPr>
            <w:tcW w:w="851" w:type="dxa"/>
            <w:tcBorders>
              <w:top w:val="nil"/>
              <w:left w:val="nil"/>
              <w:bottom w:val="single" w:sz="8" w:space="0" w:color="000000" w:themeColor="text1"/>
              <w:right w:val="single" w:sz="8" w:space="0" w:color="000000" w:themeColor="text1"/>
            </w:tcBorders>
            <w:shd w:val="clear" w:color="auto" w:fill="FFF2CC" w:themeFill="accent4" w:themeFillTint="33"/>
            <w:vAlign w:val="center"/>
          </w:tcPr>
          <w:p w14:paraId="4B295FA9" w14:textId="77777777" w:rsidR="0040095C" w:rsidRPr="00203E0A" w:rsidRDefault="0040095C" w:rsidP="00586221">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61</w:t>
            </w:r>
          </w:p>
        </w:tc>
        <w:tc>
          <w:tcPr>
            <w:tcW w:w="851" w:type="dxa"/>
            <w:tcBorders>
              <w:top w:val="nil"/>
              <w:left w:val="nil"/>
              <w:bottom w:val="single" w:sz="8" w:space="0" w:color="000000" w:themeColor="text1"/>
              <w:right w:val="single" w:sz="8" w:space="0" w:color="000000" w:themeColor="text1"/>
            </w:tcBorders>
            <w:shd w:val="clear" w:color="auto" w:fill="FFF2CC" w:themeFill="accent4" w:themeFillTint="33"/>
            <w:vAlign w:val="center"/>
          </w:tcPr>
          <w:p w14:paraId="0D47C405" w14:textId="77777777" w:rsidR="0040095C" w:rsidRPr="00203E0A" w:rsidRDefault="0040095C" w:rsidP="00586221">
            <w:pPr>
              <w:spacing w:after="0" w:line="240" w:lineRule="auto"/>
              <w:jc w:val="right"/>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47</w:t>
            </w:r>
          </w:p>
        </w:tc>
        <w:tc>
          <w:tcPr>
            <w:tcW w:w="851" w:type="dxa"/>
            <w:tcBorders>
              <w:top w:val="nil"/>
              <w:left w:val="nil"/>
              <w:bottom w:val="single" w:sz="8" w:space="0" w:color="000000" w:themeColor="text1"/>
              <w:right w:val="single" w:sz="8" w:space="0" w:color="000000" w:themeColor="text1"/>
            </w:tcBorders>
            <w:shd w:val="clear" w:color="auto" w:fill="FFF2CC" w:themeFill="accent4" w:themeFillTint="33"/>
            <w:vAlign w:val="center"/>
          </w:tcPr>
          <w:p w14:paraId="510A15BB" w14:textId="5FF43F8E" w:rsidR="0040095C" w:rsidRPr="003C6E11" w:rsidRDefault="001E35E2" w:rsidP="00586221">
            <w:pPr>
              <w:spacing w:after="0" w:line="240" w:lineRule="auto"/>
              <w:jc w:val="right"/>
              <w:rPr>
                <w:rFonts w:ascii="Times New Roman" w:hAnsi="Times New Roman" w:cs="Times New Roman"/>
                <w:b/>
                <w:bCs/>
                <w:sz w:val="24"/>
                <w:szCs w:val="24"/>
              </w:rPr>
            </w:pPr>
            <w:r w:rsidRPr="003C6E11">
              <w:rPr>
                <w:rFonts w:ascii="Times New Roman" w:hAnsi="Times New Roman" w:cs="Times New Roman"/>
                <w:b/>
                <w:bCs/>
                <w:sz w:val="24"/>
                <w:szCs w:val="24"/>
              </w:rPr>
              <w:t>40</w:t>
            </w:r>
          </w:p>
        </w:tc>
      </w:tr>
      <w:tr w:rsidR="0040095C" w:rsidRPr="00203E0A" w14:paraId="4A0BE870" w14:textId="5057750B" w:rsidTr="00080A44">
        <w:trPr>
          <w:trHeight w:val="330"/>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119B6B1F" w14:textId="30CFD230" w:rsidR="0040095C" w:rsidRPr="00203E0A" w:rsidRDefault="0040095C" w:rsidP="00120B2C">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Колективне</w:t>
            </w:r>
            <w:r w:rsidR="001E35E2">
              <w:rPr>
                <w:rFonts w:ascii="Times New Roman" w:hAnsi="Times New Roman" w:cs="Times New Roman"/>
                <w:color w:val="000000" w:themeColor="text1"/>
                <w:sz w:val="24"/>
                <w:szCs w:val="24"/>
              </w:rPr>
              <w:t xml:space="preserve"> повреде</w:t>
            </w:r>
          </w:p>
        </w:tc>
        <w:tc>
          <w:tcPr>
            <w:tcW w:w="816" w:type="dxa"/>
            <w:tcBorders>
              <w:top w:val="nil"/>
              <w:left w:val="nil"/>
              <w:bottom w:val="single" w:sz="8" w:space="0" w:color="000000" w:themeColor="text1"/>
              <w:right w:val="single" w:sz="8" w:space="0" w:color="000000" w:themeColor="text1"/>
            </w:tcBorders>
            <w:shd w:val="clear" w:color="auto" w:fill="auto"/>
            <w:vAlign w:val="center"/>
          </w:tcPr>
          <w:p w14:paraId="1269424E"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15</w:t>
            </w:r>
          </w:p>
        </w:tc>
        <w:tc>
          <w:tcPr>
            <w:tcW w:w="783" w:type="dxa"/>
            <w:tcBorders>
              <w:top w:val="nil"/>
              <w:left w:val="nil"/>
              <w:bottom w:val="single" w:sz="8" w:space="0" w:color="000000" w:themeColor="text1"/>
              <w:right w:val="single" w:sz="8" w:space="0" w:color="000000" w:themeColor="text1"/>
            </w:tcBorders>
            <w:shd w:val="clear" w:color="auto" w:fill="auto"/>
            <w:vAlign w:val="center"/>
          </w:tcPr>
          <w:p w14:paraId="6B216D18"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23</w:t>
            </w:r>
          </w:p>
        </w:tc>
        <w:tc>
          <w:tcPr>
            <w:tcW w:w="783" w:type="dxa"/>
            <w:tcBorders>
              <w:top w:val="nil"/>
              <w:left w:val="nil"/>
              <w:bottom w:val="single" w:sz="8" w:space="0" w:color="000000" w:themeColor="text1"/>
              <w:right w:val="single" w:sz="8" w:space="0" w:color="000000" w:themeColor="text1"/>
            </w:tcBorders>
            <w:shd w:val="clear" w:color="auto" w:fill="auto"/>
            <w:vAlign w:val="center"/>
          </w:tcPr>
          <w:p w14:paraId="7C632BD9"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15</w:t>
            </w:r>
          </w:p>
        </w:tc>
        <w:tc>
          <w:tcPr>
            <w:tcW w:w="936" w:type="dxa"/>
            <w:tcBorders>
              <w:top w:val="nil"/>
              <w:left w:val="nil"/>
              <w:bottom w:val="single" w:sz="8" w:space="0" w:color="000000" w:themeColor="text1"/>
              <w:right w:val="single" w:sz="8" w:space="0" w:color="000000" w:themeColor="text1"/>
            </w:tcBorders>
            <w:shd w:val="clear" w:color="auto" w:fill="auto"/>
            <w:vAlign w:val="center"/>
          </w:tcPr>
          <w:p w14:paraId="03962709"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19</w:t>
            </w:r>
          </w:p>
        </w:tc>
        <w:tc>
          <w:tcPr>
            <w:tcW w:w="896" w:type="dxa"/>
            <w:tcBorders>
              <w:top w:val="nil"/>
              <w:left w:val="nil"/>
              <w:bottom w:val="single" w:sz="8" w:space="0" w:color="000000" w:themeColor="text1"/>
              <w:right w:val="single" w:sz="8" w:space="0" w:color="000000" w:themeColor="text1"/>
            </w:tcBorders>
            <w:shd w:val="clear" w:color="auto" w:fill="auto"/>
            <w:vAlign w:val="center"/>
          </w:tcPr>
          <w:p w14:paraId="326439D8"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16</w:t>
            </w:r>
          </w:p>
        </w:tc>
        <w:tc>
          <w:tcPr>
            <w:tcW w:w="896" w:type="dxa"/>
            <w:tcBorders>
              <w:top w:val="nil"/>
              <w:left w:val="nil"/>
              <w:bottom w:val="single" w:sz="8" w:space="0" w:color="000000" w:themeColor="text1"/>
              <w:right w:val="single" w:sz="8" w:space="0" w:color="000000" w:themeColor="text1"/>
            </w:tcBorders>
          </w:tcPr>
          <w:p w14:paraId="463205DB" w14:textId="1569F4C4" w:rsidR="0040095C" w:rsidRPr="003C6E11" w:rsidRDefault="001E35E2"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25</w:t>
            </w:r>
          </w:p>
        </w:tc>
      </w:tr>
      <w:tr w:rsidR="0040095C" w:rsidRPr="00203E0A" w14:paraId="5AADFDC1" w14:textId="5B296D5D" w:rsidTr="00080A44">
        <w:trPr>
          <w:trHeight w:val="66"/>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5E0E9C7" w14:textId="77777777" w:rsidR="0040095C" w:rsidRPr="00203E0A" w:rsidRDefault="0040095C" w:rsidP="00120B2C">
            <w:pPr>
              <w:spacing w:after="0" w:line="240" w:lineRule="auto"/>
              <w:jc w:val="both"/>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Тешке повреде</w:t>
            </w:r>
          </w:p>
        </w:tc>
        <w:tc>
          <w:tcPr>
            <w:tcW w:w="816" w:type="dxa"/>
            <w:tcBorders>
              <w:top w:val="nil"/>
              <w:left w:val="nil"/>
              <w:bottom w:val="single" w:sz="8" w:space="0" w:color="000000" w:themeColor="text1"/>
              <w:right w:val="single" w:sz="8" w:space="0" w:color="000000" w:themeColor="text1"/>
            </w:tcBorders>
            <w:shd w:val="clear" w:color="auto" w:fill="auto"/>
            <w:vAlign w:val="center"/>
          </w:tcPr>
          <w:p w14:paraId="60755002"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779</w:t>
            </w:r>
          </w:p>
        </w:tc>
        <w:tc>
          <w:tcPr>
            <w:tcW w:w="783" w:type="dxa"/>
            <w:tcBorders>
              <w:top w:val="nil"/>
              <w:left w:val="nil"/>
              <w:bottom w:val="single" w:sz="8" w:space="0" w:color="000000" w:themeColor="text1"/>
              <w:right w:val="single" w:sz="8" w:space="0" w:color="000000" w:themeColor="text1"/>
            </w:tcBorders>
            <w:shd w:val="clear" w:color="auto" w:fill="auto"/>
            <w:vAlign w:val="center"/>
          </w:tcPr>
          <w:p w14:paraId="0F8B38F7"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819</w:t>
            </w:r>
          </w:p>
        </w:tc>
        <w:tc>
          <w:tcPr>
            <w:tcW w:w="783" w:type="dxa"/>
            <w:tcBorders>
              <w:top w:val="nil"/>
              <w:left w:val="nil"/>
              <w:bottom w:val="single" w:sz="8" w:space="0" w:color="000000" w:themeColor="text1"/>
              <w:right w:val="single" w:sz="8" w:space="0" w:color="000000" w:themeColor="text1"/>
            </w:tcBorders>
            <w:shd w:val="clear" w:color="auto" w:fill="auto"/>
            <w:vAlign w:val="center"/>
          </w:tcPr>
          <w:p w14:paraId="6B152635"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798</w:t>
            </w:r>
          </w:p>
        </w:tc>
        <w:tc>
          <w:tcPr>
            <w:tcW w:w="936" w:type="dxa"/>
            <w:tcBorders>
              <w:top w:val="nil"/>
              <w:left w:val="nil"/>
              <w:bottom w:val="single" w:sz="8" w:space="0" w:color="000000" w:themeColor="text1"/>
              <w:right w:val="single" w:sz="8" w:space="0" w:color="000000" w:themeColor="text1"/>
            </w:tcBorders>
            <w:shd w:val="clear" w:color="auto" w:fill="auto"/>
            <w:vAlign w:val="center"/>
          </w:tcPr>
          <w:p w14:paraId="2567AE3A"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957</w:t>
            </w:r>
          </w:p>
        </w:tc>
        <w:tc>
          <w:tcPr>
            <w:tcW w:w="896" w:type="dxa"/>
            <w:tcBorders>
              <w:top w:val="nil"/>
              <w:left w:val="nil"/>
              <w:bottom w:val="single" w:sz="8" w:space="0" w:color="000000" w:themeColor="text1"/>
              <w:right w:val="single" w:sz="8" w:space="0" w:color="000000" w:themeColor="text1"/>
            </w:tcBorders>
            <w:shd w:val="clear" w:color="auto" w:fill="auto"/>
            <w:vAlign w:val="center"/>
            <w:hideMark/>
          </w:tcPr>
          <w:p w14:paraId="15939B00" w14:textId="77777777" w:rsidR="0040095C" w:rsidRPr="00203E0A" w:rsidRDefault="0040095C" w:rsidP="00586221">
            <w:pPr>
              <w:spacing w:after="0" w:line="240" w:lineRule="auto"/>
              <w:jc w:val="right"/>
              <w:rPr>
                <w:rFonts w:ascii="Times New Roman" w:hAnsi="Times New Roman" w:cs="Times New Roman"/>
                <w:color w:val="000000"/>
                <w:sz w:val="24"/>
                <w:szCs w:val="24"/>
                <w:lang w:eastAsia="en-GB"/>
              </w:rPr>
            </w:pPr>
            <w:r w:rsidRPr="00203E0A">
              <w:rPr>
                <w:rFonts w:ascii="Times New Roman" w:hAnsi="Times New Roman" w:cs="Times New Roman"/>
                <w:color w:val="000000" w:themeColor="text1"/>
                <w:sz w:val="24"/>
                <w:szCs w:val="24"/>
              </w:rPr>
              <w:t>844</w:t>
            </w:r>
          </w:p>
        </w:tc>
        <w:tc>
          <w:tcPr>
            <w:tcW w:w="896" w:type="dxa"/>
            <w:tcBorders>
              <w:top w:val="nil"/>
              <w:left w:val="nil"/>
              <w:bottom w:val="single" w:sz="8" w:space="0" w:color="000000" w:themeColor="text1"/>
              <w:right w:val="single" w:sz="8" w:space="0" w:color="000000" w:themeColor="text1"/>
            </w:tcBorders>
          </w:tcPr>
          <w:p w14:paraId="5F557521" w14:textId="0CBAB160" w:rsidR="0040095C" w:rsidRPr="003C6E11" w:rsidRDefault="00A628A1"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886</w:t>
            </w:r>
          </w:p>
        </w:tc>
      </w:tr>
      <w:tr w:rsidR="0040095C" w:rsidRPr="00203E0A" w14:paraId="700BA53E" w14:textId="60668ACF" w:rsidTr="00080A44">
        <w:trPr>
          <w:trHeight w:val="66"/>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2C5427F5" w14:textId="527EDA4D" w:rsidR="0040095C" w:rsidRPr="00203E0A" w:rsidRDefault="0040095C" w:rsidP="00120B2C">
            <w:pPr>
              <w:spacing w:after="0" w:line="240" w:lineRule="auto"/>
              <w:jc w:val="both"/>
              <w:rPr>
                <w:rFonts w:ascii="Times New Roman" w:hAnsi="Times New Roman" w:cs="Times New Roman"/>
                <w:color w:val="000000" w:themeColor="text1"/>
                <w:sz w:val="24"/>
                <w:szCs w:val="24"/>
              </w:rPr>
            </w:pPr>
            <w:r w:rsidRPr="00203E0A">
              <w:rPr>
                <w:rFonts w:ascii="Times New Roman" w:hAnsi="Times New Roman" w:cs="Times New Roman"/>
                <w:color w:val="000000" w:themeColor="text1"/>
                <w:sz w:val="24"/>
                <w:szCs w:val="24"/>
              </w:rPr>
              <w:lastRenderedPageBreak/>
              <w:t>Лаке повреде</w:t>
            </w:r>
          </w:p>
        </w:tc>
        <w:tc>
          <w:tcPr>
            <w:tcW w:w="816" w:type="dxa"/>
            <w:tcBorders>
              <w:top w:val="nil"/>
              <w:left w:val="nil"/>
              <w:bottom w:val="single" w:sz="8" w:space="0" w:color="000000" w:themeColor="text1"/>
              <w:right w:val="single" w:sz="8" w:space="0" w:color="000000" w:themeColor="text1"/>
            </w:tcBorders>
            <w:shd w:val="clear" w:color="auto" w:fill="auto"/>
            <w:vAlign w:val="center"/>
          </w:tcPr>
          <w:p w14:paraId="338DAC69" w14:textId="244B15D7" w:rsidR="0040095C" w:rsidRPr="00203E0A" w:rsidRDefault="0040095C" w:rsidP="00586221">
            <w:pPr>
              <w:spacing w:after="0" w:line="240" w:lineRule="auto"/>
              <w:jc w:val="right"/>
              <w:rPr>
                <w:rFonts w:ascii="Times New Roman" w:hAnsi="Times New Roman" w:cs="Times New Roman"/>
                <w:color w:val="000000" w:themeColor="text1"/>
                <w:sz w:val="24"/>
                <w:szCs w:val="24"/>
              </w:rPr>
            </w:pPr>
            <w:r w:rsidRPr="00203E0A">
              <w:rPr>
                <w:rFonts w:ascii="Times New Roman" w:hAnsi="Times New Roman" w:cs="Times New Roman"/>
                <w:color w:val="000000" w:themeColor="text1"/>
                <w:sz w:val="24"/>
                <w:szCs w:val="24"/>
              </w:rPr>
              <w:t>61</w:t>
            </w:r>
          </w:p>
        </w:tc>
        <w:tc>
          <w:tcPr>
            <w:tcW w:w="783" w:type="dxa"/>
            <w:tcBorders>
              <w:top w:val="nil"/>
              <w:left w:val="nil"/>
              <w:bottom w:val="single" w:sz="8" w:space="0" w:color="000000" w:themeColor="text1"/>
              <w:right w:val="single" w:sz="8" w:space="0" w:color="000000" w:themeColor="text1"/>
            </w:tcBorders>
            <w:shd w:val="clear" w:color="auto" w:fill="auto"/>
            <w:vAlign w:val="center"/>
          </w:tcPr>
          <w:p w14:paraId="5D1BF9C8" w14:textId="4FF223B0" w:rsidR="0040095C" w:rsidRPr="00203E0A" w:rsidRDefault="0040095C" w:rsidP="00586221">
            <w:pPr>
              <w:spacing w:after="0" w:line="240" w:lineRule="auto"/>
              <w:jc w:val="right"/>
              <w:rPr>
                <w:rFonts w:ascii="Times New Roman" w:hAnsi="Times New Roman" w:cs="Times New Roman"/>
                <w:color w:val="000000" w:themeColor="text1"/>
                <w:sz w:val="24"/>
                <w:szCs w:val="24"/>
              </w:rPr>
            </w:pPr>
            <w:r w:rsidRPr="00203E0A">
              <w:rPr>
                <w:rFonts w:ascii="Times New Roman" w:hAnsi="Times New Roman" w:cs="Times New Roman"/>
                <w:color w:val="000000" w:themeColor="text1"/>
                <w:sz w:val="24"/>
                <w:szCs w:val="24"/>
              </w:rPr>
              <w:t>93</w:t>
            </w:r>
          </w:p>
        </w:tc>
        <w:tc>
          <w:tcPr>
            <w:tcW w:w="783" w:type="dxa"/>
            <w:tcBorders>
              <w:top w:val="nil"/>
              <w:left w:val="nil"/>
              <w:bottom w:val="single" w:sz="8" w:space="0" w:color="000000" w:themeColor="text1"/>
              <w:right w:val="single" w:sz="8" w:space="0" w:color="000000" w:themeColor="text1"/>
            </w:tcBorders>
            <w:shd w:val="clear" w:color="auto" w:fill="auto"/>
            <w:vAlign w:val="center"/>
          </w:tcPr>
          <w:p w14:paraId="154A4BFE" w14:textId="35E369AA" w:rsidR="0040095C" w:rsidRPr="00203E0A" w:rsidRDefault="0040095C" w:rsidP="00586221">
            <w:pPr>
              <w:spacing w:after="0" w:line="240" w:lineRule="auto"/>
              <w:jc w:val="right"/>
              <w:rPr>
                <w:rFonts w:ascii="Times New Roman" w:hAnsi="Times New Roman" w:cs="Times New Roman"/>
                <w:color w:val="000000" w:themeColor="text1"/>
                <w:sz w:val="24"/>
                <w:szCs w:val="24"/>
              </w:rPr>
            </w:pPr>
            <w:r w:rsidRPr="00203E0A">
              <w:rPr>
                <w:rFonts w:ascii="Times New Roman" w:hAnsi="Times New Roman" w:cs="Times New Roman"/>
                <w:color w:val="000000" w:themeColor="text1"/>
                <w:sz w:val="24"/>
                <w:szCs w:val="24"/>
              </w:rPr>
              <w:t>35</w:t>
            </w:r>
          </w:p>
        </w:tc>
        <w:tc>
          <w:tcPr>
            <w:tcW w:w="936" w:type="dxa"/>
            <w:tcBorders>
              <w:top w:val="nil"/>
              <w:left w:val="nil"/>
              <w:bottom w:val="single" w:sz="8" w:space="0" w:color="000000" w:themeColor="text1"/>
              <w:right w:val="single" w:sz="8" w:space="0" w:color="000000" w:themeColor="text1"/>
            </w:tcBorders>
            <w:shd w:val="clear" w:color="auto" w:fill="auto"/>
            <w:vAlign w:val="center"/>
          </w:tcPr>
          <w:p w14:paraId="5E521D0C" w14:textId="2DCC1F61" w:rsidR="0040095C" w:rsidRPr="003C6E11" w:rsidRDefault="00305C43"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59</w:t>
            </w:r>
          </w:p>
        </w:tc>
        <w:tc>
          <w:tcPr>
            <w:tcW w:w="896" w:type="dxa"/>
            <w:tcBorders>
              <w:top w:val="nil"/>
              <w:left w:val="nil"/>
              <w:bottom w:val="single" w:sz="8" w:space="0" w:color="000000" w:themeColor="text1"/>
              <w:right w:val="single" w:sz="8" w:space="0" w:color="000000" w:themeColor="text1"/>
            </w:tcBorders>
            <w:shd w:val="clear" w:color="auto" w:fill="auto"/>
            <w:vAlign w:val="center"/>
          </w:tcPr>
          <w:p w14:paraId="0F314408" w14:textId="4CC2E775" w:rsidR="0040095C" w:rsidRPr="003C6E11" w:rsidRDefault="00305C43"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75</w:t>
            </w:r>
          </w:p>
        </w:tc>
        <w:tc>
          <w:tcPr>
            <w:tcW w:w="896" w:type="dxa"/>
            <w:tcBorders>
              <w:top w:val="nil"/>
              <w:left w:val="nil"/>
              <w:bottom w:val="single" w:sz="8" w:space="0" w:color="000000" w:themeColor="text1"/>
              <w:right w:val="single" w:sz="8" w:space="0" w:color="000000" w:themeColor="text1"/>
            </w:tcBorders>
          </w:tcPr>
          <w:p w14:paraId="58E7FF77" w14:textId="7DED328C" w:rsidR="0040095C" w:rsidRPr="003C6E11" w:rsidRDefault="00A628A1" w:rsidP="00586221">
            <w:pPr>
              <w:spacing w:after="0" w:line="240" w:lineRule="auto"/>
              <w:jc w:val="right"/>
              <w:rPr>
                <w:rFonts w:ascii="Times New Roman" w:hAnsi="Times New Roman" w:cs="Times New Roman"/>
                <w:sz w:val="24"/>
                <w:szCs w:val="24"/>
              </w:rPr>
            </w:pPr>
            <w:r w:rsidRPr="003C6E11">
              <w:rPr>
                <w:rFonts w:ascii="Times New Roman" w:hAnsi="Times New Roman" w:cs="Times New Roman"/>
                <w:sz w:val="24"/>
                <w:szCs w:val="24"/>
              </w:rPr>
              <w:t>88</w:t>
            </w:r>
          </w:p>
        </w:tc>
      </w:tr>
      <w:tr w:rsidR="0040095C" w:rsidRPr="00203E0A" w14:paraId="4D45D68F" w14:textId="61807C89" w:rsidTr="00080A44">
        <w:trPr>
          <w:trHeight w:val="330"/>
          <w:jc w:val="center"/>
        </w:trPr>
        <w:tc>
          <w:tcPr>
            <w:tcW w:w="3894" w:type="dxa"/>
            <w:tcBorders>
              <w:top w:val="nil"/>
              <w:left w:val="single" w:sz="8" w:space="0" w:color="000000" w:themeColor="text1"/>
              <w:bottom w:val="single" w:sz="8" w:space="0" w:color="000000" w:themeColor="text1"/>
              <w:right w:val="single" w:sz="8" w:space="0" w:color="000000" w:themeColor="text1"/>
            </w:tcBorders>
            <w:shd w:val="clear" w:color="auto" w:fill="FFC000" w:themeFill="accent4"/>
            <w:vAlign w:val="center"/>
            <w:hideMark/>
          </w:tcPr>
          <w:p w14:paraId="5FECBC23" w14:textId="77777777"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Укупно:</w:t>
            </w:r>
          </w:p>
        </w:tc>
        <w:tc>
          <w:tcPr>
            <w:tcW w:w="816" w:type="dxa"/>
            <w:tcBorders>
              <w:top w:val="nil"/>
              <w:left w:val="nil"/>
              <w:bottom w:val="single" w:sz="8" w:space="0" w:color="000000" w:themeColor="text1"/>
              <w:right w:val="single" w:sz="8" w:space="0" w:color="000000" w:themeColor="text1"/>
            </w:tcBorders>
            <w:shd w:val="clear" w:color="auto" w:fill="FFC000" w:themeFill="accent4"/>
            <w:vAlign w:val="center"/>
          </w:tcPr>
          <w:p w14:paraId="17FA818E" w14:textId="417A0507"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 xml:space="preserve">    847</w:t>
            </w:r>
          </w:p>
        </w:tc>
        <w:tc>
          <w:tcPr>
            <w:tcW w:w="783" w:type="dxa"/>
            <w:tcBorders>
              <w:top w:val="nil"/>
              <w:left w:val="nil"/>
              <w:bottom w:val="single" w:sz="8" w:space="0" w:color="000000" w:themeColor="text1"/>
              <w:right w:val="single" w:sz="8" w:space="0" w:color="000000" w:themeColor="text1"/>
            </w:tcBorders>
            <w:shd w:val="clear" w:color="auto" w:fill="FFC000" w:themeFill="accent4"/>
            <w:vAlign w:val="center"/>
          </w:tcPr>
          <w:p w14:paraId="0048DB36" w14:textId="391F2C92"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 xml:space="preserve">   891</w:t>
            </w:r>
          </w:p>
        </w:tc>
        <w:tc>
          <w:tcPr>
            <w:tcW w:w="783" w:type="dxa"/>
            <w:tcBorders>
              <w:top w:val="nil"/>
              <w:left w:val="nil"/>
              <w:bottom w:val="single" w:sz="8" w:space="0" w:color="000000" w:themeColor="text1"/>
              <w:right w:val="single" w:sz="8" w:space="0" w:color="000000" w:themeColor="text1"/>
            </w:tcBorders>
            <w:shd w:val="clear" w:color="auto" w:fill="FFC000" w:themeFill="accent4"/>
            <w:vAlign w:val="center"/>
          </w:tcPr>
          <w:p w14:paraId="060E6A0E" w14:textId="1E2A9271"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 xml:space="preserve">   856</w:t>
            </w:r>
          </w:p>
        </w:tc>
        <w:tc>
          <w:tcPr>
            <w:tcW w:w="936" w:type="dxa"/>
            <w:tcBorders>
              <w:top w:val="nil"/>
              <w:left w:val="nil"/>
              <w:bottom w:val="single" w:sz="8" w:space="0" w:color="000000" w:themeColor="text1"/>
              <w:right w:val="single" w:sz="8" w:space="0" w:color="000000" w:themeColor="text1"/>
            </w:tcBorders>
            <w:shd w:val="clear" w:color="auto" w:fill="FFC000" w:themeFill="accent4"/>
            <w:vAlign w:val="center"/>
          </w:tcPr>
          <w:p w14:paraId="720760D8" w14:textId="75CB646D"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 xml:space="preserve"> 1.047</w:t>
            </w:r>
          </w:p>
        </w:tc>
        <w:tc>
          <w:tcPr>
            <w:tcW w:w="896" w:type="dxa"/>
            <w:tcBorders>
              <w:top w:val="nil"/>
              <w:left w:val="nil"/>
              <w:bottom w:val="single" w:sz="8" w:space="0" w:color="000000" w:themeColor="text1"/>
              <w:right w:val="single" w:sz="8" w:space="0" w:color="000000" w:themeColor="text1"/>
            </w:tcBorders>
            <w:shd w:val="clear" w:color="auto" w:fill="FFC000" w:themeFill="accent4"/>
            <w:vAlign w:val="center"/>
            <w:hideMark/>
          </w:tcPr>
          <w:p w14:paraId="201B2ACE" w14:textId="2A419202" w:rsidR="0040095C" w:rsidRPr="00203E0A" w:rsidRDefault="0040095C" w:rsidP="00120B2C">
            <w:pPr>
              <w:spacing w:after="0" w:line="240" w:lineRule="auto"/>
              <w:jc w:val="both"/>
              <w:rPr>
                <w:rFonts w:ascii="Times New Roman" w:hAnsi="Times New Roman" w:cs="Times New Roman"/>
                <w:b/>
                <w:bCs/>
                <w:color w:val="000000"/>
                <w:sz w:val="24"/>
                <w:szCs w:val="24"/>
                <w:lang w:eastAsia="en-GB"/>
              </w:rPr>
            </w:pPr>
            <w:r w:rsidRPr="00203E0A">
              <w:rPr>
                <w:rFonts w:ascii="Times New Roman" w:hAnsi="Times New Roman" w:cs="Times New Roman"/>
                <w:b/>
                <w:bCs/>
                <w:color w:val="000000" w:themeColor="text1"/>
                <w:sz w:val="24"/>
                <w:szCs w:val="24"/>
              </w:rPr>
              <w:t xml:space="preserve">     907</w:t>
            </w:r>
          </w:p>
        </w:tc>
        <w:tc>
          <w:tcPr>
            <w:tcW w:w="896" w:type="dxa"/>
            <w:tcBorders>
              <w:top w:val="nil"/>
              <w:left w:val="nil"/>
              <w:bottom w:val="single" w:sz="8" w:space="0" w:color="000000" w:themeColor="text1"/>
              <w:right w:val="single" w:sz="8" w:space="0" w:color="000000" w:themeColor="text1"/>
            </w:tcBorders>
            <w:shd w:val="clear" w:color="auto" w:fill="FFC000" w:themeFill="accent4"/>
          </w:tcPr>
          <w:p w14:paraId="1936831E" w14:textId="60B4A28F" w:rsidR="0040095C" w:rsidRPr="003C6E11" w:rsidRDefault="00A628A1" w:rsidP="00080A44">
            <w:pPr>
              <w:spacing w:after="0" w:line="240" w:lineRule="auto"/>
              <w:jc w:val="right"/>
              <w:rPr>
                <w:rFonts w:ascii="Times New Roman" w:hAnsi="Times New Roman" w:cs="Times New Roman"/>
                <w:b/>
                <w:bCs/>
                <w:sz w:val="24"/>
                <w:szCs w:val="24"/>
              </w:rPr>
            </w:pPr>
            <w:r w:rsidRPr="003C6E11">
              <w:rPr>
                <w:rFonts w:ascii="Times New Roman" w:hAnsi="Times New Roman" w:cs="Times New Roman"/>
                <w:b/>
                <w:bCs/>
                <w:sz w:val="24"/>
                <w:szCs w:val="24"/>
              </w:rPr>
              <w:t>1.039</w:t>
            </w:r>
          </w:p>
        </w:tc>
      </w:tr>
    </w:tbl>
    <w:p w14:paraId="0B450EDC" w14:textId="585C3617" w:rsidR="00EC5D47" w:rsidRDefault="00EC5D47" w:rsidP="00120B2C">
      <w:pPr>
        <w:spacing w:after="150"/>
        <w:jc w:val="both"/>
        <w:rPr>
          <w:rFonts w:ascii="Times New Roman" w:hAnsi="Times New Roman" w:cs="Times New Roman"/>
          <w:i/>
          <w:iCs/>
          <w:color w:val="000000"/>
          <w:sz w:val="24"/>
          <w:szCs w:val="24"/>
        </w:rPr>
      </w:pPr>
      <w:r w:rsidRPr="00203E0A">
        <w:rPr>
          <w:rFonts w:ascii="Times New Roman" w:hAnsi="Times New Roman" w:cs="Times New Roman"/>
          <w:i/>
          <w:iCs/>
          <w:color w:val="000000"/>
          <w:sz w:val="24"/>
          <w:szCs w:val="24"/>
        </w:rPr>
        <w:t xml:space="preserve">Извор: </w:t>
      </w:r>
      <w:r w:rsidRPr="003C6E11">
        <w:rPr>
          <w:rFonts w:ascii="Times New Roman" w:hAnsi="Times New Roman" w:cs="Times New Roman"/>
          <w:i/>
          <w:iCs/>
          <w:sz w:val="24"/>
          <w:szCs w:val="24"/>
        </w:rPr>
        <w:t>Извештај</w:t>
      </w:r>
      <w:r w:rsidR="00326E7F" w:rsidRPr="003C6E11">
        <w:rPr>
          <w:rFonts w:ascii="Times New Roman" w:hAnsi="Times New Roman" w:cs="Times New Roman"/>
          <w:i/>
          <w:iCs/>
          <w:sz w:val="24"/>
          <w:szCs w:val="24"/>
        </w:rPr>
        <w:t>и</w:t>
      </w:r>
      <w:r w:rsidRPr="003C6E11">
        <w:rPr>
          <w:rFonts w:ascii="Times New Roman" w:hAnsi="Times New Roman" w:cs="Times New Roman"/>
          <w:i/>
          <w:iCs/>
          <w:sz w:val="24"/>
          <w:szCs w:val="24"/>
        </w:rPr>
        <w:t xml:space="preserve"> о</w:t>
      </w:r>
      <w:r w:rsidRPr="00203E0A">
        <w:rPr>
          <w:rFonts w:ascii="Times New Roman" w:hAnsi="Times New Roman" w:cs="Times New Roman"/>
          <w:i/>
          <w:iCs/>
          <w:color w:val="000000"/>
          <w:sz w:val="24"/>
          <w:szCs w:val="24"/>
        </w:rPr>
        <w:t xml:space="preserve"> раду Инспектората за рад</w:t>
      </w:r>
      <w:r w:rsidRPr="00203E0A">
        <w:rPr>
          <w:rStyle w:val="FootnoteReference"/>
          <w:rFonts w:ascii="Times New Roman" w:hAnsi="Times New Roman" w:cs="Times New Roman"/>
          <w:color w:val="000000"/>
          <w:sz w:val="24"/>
          <w:szCs w:val="24"/>
        </w:rPr>
        <w:footnoteReference w:id="10"/>
      </w:r>
    </w:p>
    <w:p w14:paraId="49318A2B" w14:textId="77777777" w:rsidR="00080A44" w:rsidRPr="003C6E11" w:rsidRDefault="0057630A" w:rsidP="00F34E96">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Табела указује на значајне годишње варијације према тежини повреда. </w:t>
      </w:r>
    </w:p>
    <w:p w14:paraId="2A6B074C" w14:textId="506DC6BC" w:rsidR="0082566F" w:rsidRPr="003C6E11" w:rsidRDefault="00EE3048" w:rsidP="00F34E96">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Т</w:t>
      </w:r>
      <w:r w:rsidR="48A77BA5" w:rsidRPr="003C6E11">
        <w:rPr>
          <w:rFonts w:ascii="Times New Roman" w:hAnsi="Times New Roman" w:cs="Times New Roman"/>
          <w:sz w:val="24"/>
          <w:szCs w:val="24"/>
        </w:rPr>
        <w:t xml:space="preserve">оком 2019. и 2020. године, дошло је до значајног раста </w:t>
      </w:r>
      <w:r w:rsidR="002A0E55">
        <w:rPr>
          <w:rFonts w:ascii="Times New Roman" w:hAnsi="Times New Roman" w:cs="Times New Roman"/>
          <w:sz w:val="24"/>
          <w:szCs w:val="24"/>
        </w:rPr>
        <w:t>инспекцијских над</w:t>
      </w:r>
      <w:r w:rsidR="00087E83" w:rsidRPr="003C6E11">
        <w:rPr>
          <w:rFonts w:ascii="Times New Roman" w:hAnsi="Times New Roman" w:cs="Times New Roman"/>
          <w:sz w:val="24"/>
          <w:szCs w:val="24"/>
        </w:rPr>
        <w:t>зора</w:t>
      </w:r>
      <w:r w:rsidR="00F36FCC" w:rsidRPr="003C6E11">
        <w:rPr>
          <w:rFonts w:ascii="Times New Roman" w:hAnsi="Times New Roman" w:cs="Times New Roman"/>
          <w:sz w:val="24"/>
          <w:szCs w:val="24"/>
        </w:rPr>
        <w:t xml:space="preserve"> услед </w:t>
      </w:r>
      <w:r w:rsidR="48A77BA5" w:rsidRPr="003C6E11">
        <w:rPr>
          <w:rFonts w:ascii="Times New Roman" w:hAnsi="Times New Roman" w:cs="Times New Roman"/>
          <w:sz w:val="24"/>
          <w:szCs w:val="24"/>
        </w:rPr>
        <w:t>повреда са смртним исходом. У периоду од 2013. до 2017</w:t>
      </w:r>
      <w:r w:rsidR="00267F39">
        <w:rPr>
          <w:rFonts w:ascii="Times New Roman" w:hAnsi="Times New Roman" w:cs="Times New Roman"/>
          <w:sz w:val="24"/>
          <w:szCs w:val="24"/>
        </w:rPr>
        <w:t xml:space="preserve">. </w:t>
      </w:r>
      <w:r w:rsidR="48A77BA5" w:rsidRPr="003C6E11">
        <w:rPr>
          <w:rFonts w:ascii="Times New Roman" w:hAnsi="Times New Roman" w:cs="Times New Roman"/>
          <w:sz w:val="24"/>
          <w:szCs w:val="24"/>
        </w:rPr>
        <w:t xml:space="preserve">(период важења претходне стратегије) просечан број таквих </w:t>
      </w:r>
      <w:r w:rsidR="00F36FCC" w:rsidRPr="003C6E11">
        <w:rPr>
          <w:rFonts w:ascii="Times New Roman" w:hAnsi="Times New Roman" w:cs="Times New Roman"/>
          <w:sz w:val="24"/>
          <w:szCs w:val="24"/>
        </w:rPr>
        <w:t xml:space="preserve">надзора </w:t>
      </w:r>
      <w:r w:rsidR="48A77BA5" w:rsidRPr="003C6E11">
        <w:rPr>
          <w:rFonts w:ascii="Times New Roman" w:hAnsi="Times New Roman" w:cs="Times New Roman"/>
          <w:sz w:val="24"/>
          <w:szCs w:val="24"/>
        </w:rPr>
        <w:t xml:space="preserve">износио је 39. </w:t>
      </w:r>
      <w:r w:rsidR="0057630A" w:rsidRPr="003C6E11">
        <w:rPr>
          <w:rFonts w:ascii="Times New Roman" w:hAnsi="Times New Roman" w:cs="Times New Roman"/>
          <w:sz w:val="24"/>
          <w:szCs w:val="24"/>
        </w:rPr>
        <w:t>У 2023.</w:t>
      </w:r>
      <w:r w:rsidR="003D2C69" w:rsidRPr="003C6E11">
        <w:rPr>
          <w:rFonts w:ascii="Times New Roman" w:hAnsi="Times New Roman" w:cs="Times New Roman"/>
          <w:sz w:val="24"/>
          <w:szCs w:val="24"/>
        </w:rPr>
        <w:t xml:space="preserve"> </w:t>
      </w:r>
      <w:r w:rsidR="0057630A" w:rsidRPr="003C6E11">
        <w:rPr>
          <w:rFonts w:ascii="Times New Roman" w:hAnsi="Times New Roman" w:cs="Times New Roman"/>
          <w:sz w:val="24"/>
          <w:szCs w:val="24"/>
        </w:rPr>
        <w:t xml:space="preserve">години извршeна су 22 инспекцијска надзора </w:t>
      </w:r>
      <w:r w:rsidR="003D2C69" w:rsidRPr="003C6E11">
        <w:rPr>
          <w:rFonts w:ascii="Times New Roman" w:hAnsi="Times New Roman" w:cs="Times New Roman"/>
          <w:sz w:val="24"/>
          <w:szCs w:val="24"/>
        </w:rPr>
        <w:t>поводом смртних повреда на раду</w:t>
      </w:r>
      <w:r w:rsidR="0057630A" w:rsidRPr="003C6E11">
        <w:rPr>
          <w:rFonts w:ascii="Times New Roman" w:hAnsi="Times New Roman" w:cs="Times New Roman"/>
          <w:sz w:val="24"/>
          <w:szCs w:val="24"/>
        </w:rPr>
        <w:t xml:space="preserve"> и 18  инспекцијских надзора поводом тешких повреда на раду са смртним исходом, односно 40 лица је  изгубило  живот услед смртних и тешких повреда на раду са смртним исходом</w:t>
      </w:r>
      <w:r w:rsidR="0082566F" w:rsidRPr="003C6E11">
        <w:rPr>
          <w:rFonts w:ascii="Times New Roman" w:hAnsi="Times New Roman" w:cs="Times New Roman"/>
          <w:sz w:val="24"/>
          <w:szCs w:val="24"/>
        </w:rPr>
        <w:t>.</w:t>
      </w:r>
      <w:r w:rsidR="0082566F" w:rsidRPr="003C6E11">
        <w:rPr>
          <w:rStyle w:val="FootnoteReference"/>
          <w:rFonts w:ascii="Times New Roman" w:hAnsi="Times New Roman" w:cs="Times New Roman"/>
          <w:sz w:val="24"/>
          <w:szCs w:val="24"/>
        </w:rPr>
        <w:footnoteReference w:id="11"/>
      </w:r>
      <w:r w:rsidR="0082566F" w:rsidRPr="003C6E11">
        <w:rPr>
          <w:rFonts w:ascii="Times New Roman" w:hAnsi="Times New Roman" w:cs="Times New Roman"/>
          <w:sz w:val="24"/>
          <w:szCs w:val="24"/>
        </w:rPr>
        <w:t xml:space="preserve"> </w:t>
      </w:r>
      <w:r w:rsidR="48A77BA5" w:rsidRPr="003C6E11">
        <w:rPr>
          <w:rFonts w:ascii="Times New Roman" w:hAnsi="Times New Roman" w:cs="Times New Roman"/>
          <w:sz w:val="24"/>
          <w:szCs w:val="24"/>
        </w:rPr>
        <w:t xml:space="preserve">У периоду од 2018. до </w:t>
      </w:r>
      <w:r w:rsidR="00326E7F" w:rsidRPr="003C6E11">
        <w:rPr>
          <w:rFonts w:ascii="Times New Roman" w:hAnsi="Times New Roman" w:cs="Times New Roman"/>
          <w:sz w:val="24"/>
          <w:szCs w:val="24"/>
        </w:rPr>
        <w:t>202</w:t>
      </w:r>
      <w:r w:rsidR="00F36FCC" w:rsidRPr="003C6E11">
        <w:rPr>
          <w:rFonts w:ascii="Times New Roman" w:hAnsi="Times New Roman" w:cs="Times New Roman"/>
          <w:sz w:val="24"/>
          <w:szCs w:val="24"/>
        </w:rPr>
        <w:t>3</w:t>
      </w:r>
      <w:r w:rsidR="00326E7F" w:rsidRPr="003C6E11">
        <w:rPr>
          <w:rFonts w:ascii="Times New Roman" w:hAnsi="Times New Roman" w:cs="Times New Roman"/>
          <w:sz w:val="24"/>
          <w:szCs w:val="24"/>
        </w:rPr>
        <w:t xml:space="preserve">. </w:t>
      </w:r>
      <w:r w:rsidR="48A77BA5" w:rsidRPr="003C6E11">
        <w:rPr>
          <w:rFonts w:ascii="Times New Roman" w:hAnsi="Times New Roman" w:cs="Times New Roman"/>
          <w:sz w:val="24"/>
          <w:szCs w:val="24"/>
        </w:rPr>
        <w:t xml:space="preserve">године, просек је износио </w:t>
      </w:r>
      <w:r w:rsidR="00087E83" w:rsidRPr="003C6E11">
        <w:rPr>
          <w:rFonts w:ascii="Times New Roman" w:hAnsi="Times New Roman" w:cs="Times New Roman"/>
          <w:sz w:val="24"/>
          <w:szCs w:val="24"/>
        </w:rPr>
        <w:t>48</w:t>
      </w:r>
      <w:r w:rsidR="48A77BA5" w:rsidRPr="003C6E11">
        <w:rPr>
          <w:rFonts w:ascii="Times New Roman" w:hAnsi="Times New Roman" w:cs="Times New Roman"/>
          <w:sz w:val="24"/>
          <w:szCs w:val="24"/>
        </w:rPr>
        <w:t>.</w:t>
      </w:r>
      <w:r w:rsidR="00087E83" w:rsidRPr="003C6E11">
        <w:rPr>
          <w:rFonts w:ascii="Times New Roman" w:hAnsi="Times New Roman" w:cs="Times New Roman"/>
          <w:sz w:val="24"/>
          <w:szCs w:val="24"/>
        </w:rPr>
        <w:t>8</w:t>
      </w:r>
      <w:r w:rsidR="48A77BA5" w:rsidRPr="003C6E11">
        <w:rPr>
          <w:rFonts w:ascii="Times New Roman" w:hAnsi="Times New Roman" w:cs="Times New Roman"/>
          <w:sz w:val="24"/>
          <w:szCs w:val="24"/>
        </w:rPr>
        <w:t xml:space="preserve">, што представља повећање од </w:t>
      </w:r>
      <w:r w:rsidR="0077665B" w:rsidRPr="003C6E11">
        <w:rPr>
          <w:rFonts w:ascii="Times New Roman" w:hAnsi="Times New Roman" w:cs="Times New Roman"/>
          <w:sz w:val="24"/>
          <w:szCs w:val="24"/>
        </w:rPr>
        <w:t>25</w:t>
      </w:r>
      <w:r w:rsidR="48A77BA5" w:rsidRPr="003C6E11">
        <w:rPr>
          <w:rFonts w:ascii="Times New Roman" w:hAnsi="Times New Roman" w:cs="Times New Roman"/>
          <w:sz w:val="24"/>
          <w:szCs w:val="24"/>
        </w:rPr>
        <w:t>.</w:t>
      </w:r>
      <w:r w:rsidR="0077665B" w:rsidRPr="003C6E11">
        <w:rPr>
          <w:rFonts w:ascii="Times New Roman" w:hAnsi="Times New Roman" w:cs="Times New Roman"/>
          <w:sz w:val="24"/>
          <w:szCs w:val="24"/>
        </w:rPr>
        <w:t>1</w:t>
      </w:r>
      <w:r w:rsidR="48A77BA5" w:rsidRPr="003C6E11">
        <w:rPr>
          <w:rFonts w:ascii="Times New Roman" w:hAnsi="Times New Roman" w:cs="Times New Roman"/>
          <w:sz w:val="24"/>
          <w:szCs w:val="24"/>
        </w:rPr>
        <w:t xml:space="preserve">%. </w:t>
      </w:r>
    </w:p>
    <w:p w14:paraId="074A4740" w14:textId="5190B916" w:rsidR="00EC5D47" w:rsidRPr="003C6E11" w:rsidRDefault="0077665B" w:rsidP="00DE4C26">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Ипак, т</w:t>
      </w:r>
      <w:r w:rsidR="48A77BA5" w:rsidRPr="003C6E11">
        <w:rPr>
          <w:rFonts w:ascii="Times New Roman" w:hAnsi="Times New Roman" w:cs="Times New Roman"/>
          <w:sz w:val="24"/>
          <w:szCs w:val="24"/>
        </w:rPr>
        <w:t>реба имати у виду да је у истом периоду дошло до значајног раста запослености, те да је у односу на апсолутне промене тако посматрано показатељ стопа учесталости повољнији.</w:t>
      </w:r>
      <w:r w:rsidR="0082566F" w:rsidRPr="003C6E11">
        <w:rPr>
          <w:rFonts w:ascii="Times New Roman" w:hAnsi="Times New Roman" w:cs="Times New Roman"/>
          <w:sz w:val="24"/>
          <w:szCs w:val="24"/>
        </w:rPr>
        <w:t xml:space="preserve"> Наиме, м</w:t>
      </w:r>
      <w:r w:rsidR="00EC5D47" w:rsidRPr="003C6E11">
        <w:rPr>
          <w:rFonts w:ascii="Times New Roman" w:hAnsi="Times New Roman" w:cs="Times New Roman"/>
          <w:sz w:val="24"/>
          <w:szCs w:val="24"/>
        </w:rPr>
        <w:t xml:space="preserve">етодологија ESAW користи две врсте показатеља: број повреда </w:t>
      </w:r>
      <w:r w:rsidR="0082566F" w:rsidRPr="003C6E11">
        <w:rPr>
          <w:rFonts w:ascii="Times New Roman" w:hAnsi="Times New Roman" w:cs="Times New Roman"/>
          <w:sz w:val="24"/>
          <w:szCs w:val="24"/>
        </w:rPr>
        <w:t xml:space="preserve">– апсолутни показатељ </w:t>
      </w:r>
      <w:r w:rsidR="00EC5D47" w:rsidRPr="003C6E11">
        <w:rPr>
          <w:rFonts w:ascii="Times New Roman" w:hAnsi="Times New Roman" w:cs="Times New Roman"/>
          <w:sz w:val="24"/>
          <w:szCs w:val="24"/>
        </w:rPr>
        <w:t>и стоп</w:t>
      </w:r>
      <w:r w:rsidR="003F3F7E">
        <w:rPr>
          <w:rFonts w:ascii="Times New Roman" w:hAnsi="Times New Roman" w:cs="Times New Roman"/>
          <w:sz w:val="24"/>
          <w:szCs w:val="24"/>
        </w:rPr>
        <w:t xml:space="preserve">у </w:t>
      </w:r>
      <w:r w:rsidR="00EC5D47" w:rsidRPr="003C6E11">
        <w:rPr>
          <w:rFonts w:ascii="Times New Roman" w:hAnsi="Times New Roman" w:cs="Times New Roman"/>
          <w:sz w:val="24"/>
          <w:szCs w:val="24"/>
        </w:rPr>
        <w:t>учесталости (</w:t>
      </w:r>
      <w:r w:rsidR="00EC5D47" w:rsidRPr="003C6E11">
        <w:rPr>
          <w:rFonts w:ascii="Times New Roman" w:hAnsi="Times New Roman" w:cs="Times New Roman"/>
          <w:i/>
          <w:iCs/>
          <w:sz w:val="24"/>
          <w:szCs w:val="24"/>
        </w:rPr>
        <w:t>incidence rate</w:t>
      </w:r>
      <w:r w:rsidR="00EC5D47" w:rsidRPr="003C6E11">
        <w:rPr>
          <w:rFonts w:ascii="Times New Roman" w:hAnsi="Times New Roman" w:cs="Times New Roman"/>
          <w:sz w:val="24"/>
          <w:szCs w:val="24"/>
        </w:rPr>
        <w:t>)</w:t>
      </w:r>
      <w:r w:rsidR="00B05065" w:rsidRPr="003C6E11">
        <w:rPr>
          <w:rFonts w:ascii="Times New Roman" w:hAnsi="Times New Roman" w:cs="Times New Roman"/>
          <w:sz w:val="24"/>
          <w:szCs w:val="24"/>
        </w:rPr>
        <w:t xml:space="preserve"> –</w:t>
      </w:r>
      <w:r w:rsidR="0082566F" w:rsidRPr="003C6E11">
        <w:rPr>
          <w:rFonts w:ascii="Times New Roman" w:hAnsi="Times New Roman" w:cs="Times New Roman"/>
          <w:sz w:val="24"/>
          <w:szCs w:val="24"/>
        </w:rPr>
        <w:t xml:space="preserve"> релативни показатељ</w:t>
      </w:r>
      <w:r w:rsidR="00EC5D47" w:rsidRPr="003C6E11">
        <w:rPr>
          <w:rFonts w:ascii="Times New Roman" w:hAnsi="Times New Roman" w:cs="Times New Roman"/>
          <w:sz w:val="24"/>
          <w:szCs w:val="24"/>
        </w:rPr>
        <w:t>. Приликом обрачуна учесталости, број повреда посматра се у односу на референтну популацију (број запослених односно лица која су изложена ризику од повреда на раду). Графикон 1 показује (нестандардизовану) стопу учесталости смртних повреда у Републици Србији у односу на чланице ЕУ и просек ЕУ за 2020. годину. У 2022. години референтна популација за Србију дата је према подацима Анкете о радној снази и њу чини 2.888.700 запослених.</w:t>
      </w:r>
      <w:r w:rsidR="00EC5D47" w:rsidRPr="003C6E11">
        <w:rPr>
          <w:rStyle w:val="FootnoteReference"/>
          <w:rFonts w:ascii="Times New Roman" w:hAnsi="Times New Roman" w:cs="Times New Roman"/>
          <w:sz w:val="24"/>
          <w:szCs w:val="24"/>
        </w:rPr>
        <w:footnoteReference w:id="12"/>
      </w:r>
      <w:r w:rsidR="00EC5D47" w:rsidRPr="003C6E11">
        <w:rPr>
          <w:rFonts w:ascii="Times New Roman" w:hAnsi="Times New Roman" w:cs="Times New Roman"/>
          <w:sz w:val="24"/>
          <w:szCs w:val="24"/>
        </w:rPr>
        <w:t xml:space="preserve"> Тиме стопа учесталости износи  1.6 на основу података РФЗО, односно 2.18 на основу података Инспектората за рад (укључивањем тешких повреда са смртним исходом и колективних повреда).    </w:t>
      </w:r>
    </w:p>
    <w:p w14:paraId="479C113B" w14:textId="18EDAFB7" w:rsidR="00EC5D47" w:rsidRPr="00203E0A" w:rsidRDefault="48A77BA5" w:rsidP="00DE4C26">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Србиј</w:t>
      </w:r>
      <w:r w:rsidR="003D50FE" w:rsidRPr="003C6E11">
        <w:rPr>
          <w:rFonts w:ascii="Times New Roman" w:hAnsi="Times New Roman" w:cs="Times New Roman"/>
          <w:sz w:val="24"/>
          <w:szCs w:val="24"/>
        </w:rPr>
        <w:t xml:space="preserve">а се у зависности од године креће </w:t>
      </w:r>
      <w:r w:rsidRPr="003C6E11">
        <w:rPr>
          <w:rFonts w:ascii="Times New Roman" w:hAnsi="Times New Roman" w:cs="Times New Roman"/>
          <w:sz w:val="24"/>
          <w:szCs w:val="24"/>
        </w:rPr>
        <w:t>близу просека ЕУ (1.77 на 100.000 запослених</w:t>
      </w:r>
      <w:r w:rsidR="00CD3DEE" w:rsidRPr="003C6E11">
        <w:rPr>
          <w:rFonts w:ascii="Times New Roman" w:hAnsi="Times New Roman" w:cs="Times New Roman"/>
          <w:sz w:val="24"/>
          <w:szCs w:val="24"/>
        </w:rPr>
        <w:t xml:space="preserve">). Ипак, </w:t>
      </w:r>
      <w:r w:rsidR="00622BE6" w:rsidRPr="003C6E11">
        <w:rPr>
          <w:rFonts w:ascii="Times New Roman" w:hAnsi="Times New Roman" w:cs="Times New Roman"/>
          <w:sz w:val="24"/>
          <w:szCs w:val="24"/>
        </w:rPr>
        <w:t xml:space="preserve">учесталост </w:t>
      </w:r>
      <w:r w:rsidR="004D5559" w:rsidRPr="003C6E11">
        <w:rPr>
          <w:rFonts w:ascii="Times New Roman" w:hAnsi="Times New Roman" w:cs="Times New Roman"/>
          <w:sz w:val="24"/>
          <w:szCs w:val="24"/>
        </w:rPr>
        <w:t xml:space="preserve">је </w:t>
      </w:r>
      <w:r w:rsidR="00622BE6" w:rsidRPr="003C6E11">
        <w:rPr>
          <w:rFonts w:ascii="Times New Roman" w:hAnsi="Times New Roman" w:cs="Times New Roman"/>
          <w:sz w:val="24"/>
          <w:szCs w:val="24"/>
        </w:rPr>
        <w:t>знатн</w:t>
      </w:r>
      <w:r w:rsidR="00586221" w:rsidRPr="003C6E11">
        <w:rPr>
          <w:rFonts w:ascii="Times New Roman" w:hAnsi="Times New Roman" w:cs="Times New Roman"/>
          <w:sz w:val="24"/>
          <w:szCs w:val="24"/>
        </w:rPr>
        <w:t>о</w:t>
      </w:r>
      <w:r w:rsidR="00622BE6" w:rsidRPr="003C6E11">
        <w:rPr>
          <w:rFonts w:ascii="Times New Roman" w:hAnsi="Times New Roman" w:cs="Times New Roman"/>
          <w:sz w:val="24"/>
          <w:szCs w:val="24"/>
        </w:rPr>
        <w:t xml:space="preserve"> виша </w:t>
      </w:r>
      <w:r w:rsidRPr="003C6E11">
        <w:rPr>
          <w:rFonts w:ascii="Times New Roman" w:hAnsi="Times New Roman" w:cs="Times New Roman"/>
          <w:sz w:val="24"/>
          <w:szCs w:val="24"/>
        </w:rPr>
        <w:t xml:space="preserve">у односу на земље у којима је стопа учесталости испод један, али и знатно испод земаља у којима је стопа изнад једног лица на 100.000 запослених. Треба напоменути да су повреде на раду </w:t>
      </w:r>
      <w:r w:rsidRPr="00203E0A">
        <w:rPr>
          <w:rFonts w:ascii="Times New Roman" w:hAnsi="Times New Roman" w:cs="Times New Roman"/>
          <w:sz w:val="24"/>
          <w:szCs w:val="24"/>
        </w:rPr>
        <w:t xml:space="preserve">са смртним исходом релативно ретки случајеви, тако да стопа учесталости може знатно да варира на годишњем нивоу. </w:t>
      </w:r>
    </w:p>
    <w:p w14:paraId="494DDA00" w14:textId="180570D6" w:rsidR="00EC5D47" w:rsidRPr="00203E0A" w:rsidRDefault="48A77BA5" w:rsidP="00586221">
      <w:pPr>
        <w:pStyle w:val="Caption"/>
        <w:keepNext/>
        <w:jc w:val="center"/>
        <w:rPr>
          <w:rFonts w:ascii="Times New Roman" w:hAnsi="Times New Roman" w:cs="Times New Roman"/>
          <w:b/>
          <w:bCs/>
          <w:color w:val="auto"/>
          <w:sz w:val="22"/>
          <w:szCs w:val="22"/>
        </w:rPr>
      </w:pPr>
      <w:r w:rsidRPr="00203E0A">
        <w:rPr>
          <w:rFonts w:ascii="Times New Roman" w:hAnsi="Times New Roman" w:cs="Times New Roman"/>
          <w:b/>
          <w:bCs/>
          <w:color w:val="auto"/>
          <w:sz w:val="22"/>
          <w:szCs w:val="22"/>
        </w:rPr>
        <w:lastRenderedPageBreak/>
        <w:t xml:space="preserve">Графикон </w:t>
      </w:r>
      <w:r w:rsidR="00EC5D47" w:rsidRPr="00203E0A">
        <w:rPr>
          <w:rFonts w:ascii="Times New Roman" w:hAnsi="Times New Roman" w:cs="Times New Roman"/>
          <w:b/>
          <w:bCs/>
          <w:color w:val="auto"/>
          <w:sz w:val="22"/>
          <w:szCs w:val="22"/>
        </w:rPr>
        <w:fldChar w:fldCharType="begin"/>
      </w:r>
      <w:r w:rsidR="00EC5D47" w:rsidRPr="00203E0A">
        <w:rPr>
          <w:rFonts w:ascii="Times New Roman" w:hAnsi="Times New Roman" w:cs="Times New Roman"/>
          <w:b/>
          <w:bCs/>
          <w:color w:val="auto"/>
          <w:sz w:val="22"/>
          <w:szCs w:val="22"/>
        </w:rPr>
        <w:instrText xml:space="preserve"> SEQ Графикон \* ARABIC </w:instrText>
      </w:r>
      <w:r w:rsidR="00EC5D47" w:rsidRPr="00203E0A">
        <w:rPr>
          <w:rFonts w:ascii="Times New Roman" w:hAnsi="Times New Roman" w:cs="Times New Roman"/>
          <w:b/>
          <w:bCs/>
          <w:color w:val="auto"/>
          <w:sz w:val="22"/>
          <w:szCs w:val="22"/>
        </w:rPr>
        <w:fldChar w:fldCharType="separate"/>
      </w:r>
      <w:r w:rsidR="001E585C">
        <w:rPr>
          <w:rFonts w:ascii="Times New Roman" w:hAnsi="Times New Roman" w:cs="Times New Roman"/>
          <w:b/>
          <w:bCs/>
          <w:noProof/>
          <w:color w:val="auto"/>
          <w:sz w:val="22"/>
          <w:szCs w:val="22"/>
        </w:rPr>
        <w:t>1</w:t>
      </w:r>
      <w:r w:rsidR="00EC5D47" w:rsidRPr="00203E0A">
        <w:rPr>
          <w:rFonts w:ascii="Times New Roman" w:hAnsi="Times New Roman" w:cs="Times New Roman"/>
          <w:b/>
          <w:bCs/>
          <w:color w:val="auto"/>
          <w:sz w:val="22"/>
          <w:szCs w:val="22"/>
        </w:rPr>
        <w:fldChar w:fldCharType="end"/>
      </w:r>
      <w:r w:rsidRPr="00203E0A">
        <w:rPr>
          <w:rFonts w:ascii="Times New Roman" w:hAnsi="Times New Roman" w:cs="Times New Roman"/>
          <w:b/>
          <w:bCs/>
          <w:color w:val="auto"/>
          <w:sz w:val="22"/>
          <w:szCs w:val="22"/>
        </w:rPr>
        <w:t>: Стопа учесталости смртних повреда на раду</w:t>
      </w:r>
      <w:r w:rsidR="006D462F" w:rsidRPr="00203E0A">
        <w:rPr>
          <w:rFonts w:ascii="Times New Roman" w:hAnsi="Times New Roman" w:cs="Times New Roman"/>
          <w:b/>
          <w:bCs/>
          <w:color w:val="auto"/>
          <w:sz w:val="22"/>
          <w:szCs w:val="22"/>
        </w:rPr>
        <w:t xml:space="preserve"> 2021</w:t>
      </w:r>
      <w:r w:rsidR="00937EA5" w:rsidRPr="00203E0A">
        <w:rPr>
          <w:rFonts w:ascii="Times New Roman" w:hAnsi="Times New Roman" w:cs="Times New Roman"/>
          <w:b/>
          <w:bCs/>
          <w:color w:val="auto"/>
          <w:sz w:val="22"/>
          <w:szCs w:val="22"/>
        </w:rPr>
        <w:t xml:space="preserve"> (fatal accidents)</w:t>
      </w:r>
    </w:p>
    <w:p w14:paraId="0C5C21BE" w14:textId="637D98FD" w:rsidR="00650FFB" w:rsidRPr="00203E0A" w:rsidRDefault="00650FFB" w:rsidP="00EC5D47">
      <w:pPr>
        <w:spacing w:after="150"/>
        <w:jc w:val="both"/>
        <w:rPr>
          <w:rFonts w:ascii="Times New Roman" w:hAnsi="Times New Roman" w:cs="Times New Roman"/>
          <w:color w:val="000000"/>
          <w:sz w:val="24"/>
          <w:szCs w:val="24"/>
        </w:rPr>
      </w:pPr>
      <w:r w:rsidRPr="00203E0A">
        <w:rPr>
          <w:noProof/>
          <w:shd w:val="clear" w:color="auto" w:fill="FFC000" w:themeFill="accent4"/>
          <w:lang w:val="en-US"/>
        </w:rPr>
        <w:drawing>
          <wp:inline distT="0" distB="0" distL="0" distR="0" wp14:anchorId="64630603" wp14:editId="2D8B4942">
            <wp:extent cx="5731510" cy="2606040"/>
            <wp:effectExtent l="0" t="0" r="2540" b="3810"/>
            <wp:docPr id="1011916289" name="Chart 1">
              <a:extLst xmlns:a="http://schemas.openxmlformats.org/drawingml/2006/main">
                <a:ext uri="{FF2B5EF4-FFF2-40B4-BE49-F238E27FC236}">
                  <a16:creationId xmlns:a16="http://schemas.microsoft.com/office/drawing/2014/main" id="{C2C814A3-9120-3325-7E7C-784119F4E8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79E2C12" w14:textId="147E863E" w:rsidR="00EC5D47" w:rsidRPr="00203E0A" w:rsidRDefault="48A77BA5" w:rsidP="00586221">
      <w:pPr>
        <w:spacing w:after="150"/>
        <w:jc w:val="both"/>
        <w:rPr>
          <w:rFonts w:ascii="Times New Roman" w:hAnsi="Times New Roman" w:cs="Times New Roman"/>
          <w:i/>
          <w:iCs/>
          <w:color w:val="000000" w:themeColor="text1"/>
          <w:sz w:val="20"/>
          <w:szCs w:val="20"/>
        </w:rPr>
      </w:pPr>
      <w:r w:rsidRPr="00203E0A">
        <w:rPr>
          <w:rFonts w:ascii="Times New Roman" w:hAnsi="Times New Roman" w:cs="Times New Roman"/>
          <w:i/>
          <w:iCs/>
          <w:color w:val="000000" w:themeColor="text1"/>
          <w:sz w:val="20"/>
          <w:szCs w:val="20"/>
        </w:rPr>
        <w:t xml:space="preserve">Извор: За ЕУ </w:t>
      </w:r>
      <w:r w:rsidR="00937EA5" w:rsidRPr="00203E0A">
        <w:rPr>
          <w:rFonts w:ascii="Times New Roman" w:hAnsi="Times New Roman" w:cs="Times New Roman"/>
          <w:i/>
          <w:iCs/>
          <w:color w:val="000000" w:themeColor="text1"/>
          <w:sz w:val="20"/>
          <w:szCs w:val="20"/>
        </w:rPr>
        <w:t>Eurostat</w:t>
      </w:r>
      <w:r w:rsidRPr="00203E0A">
        <w:rPr>
          <w:rFonts w:ascii="Times New Roman" w:hAnsi="Times New Roman" w:cs="Times New Roman"/>
          <w:i/>
          <w:iCs/>
          <w:color w:val="000000" w:themeColor="text1"/>
          <w:sz w:val="20"/>
          <w:szCs w:val="20"/>
        </w:rPr>
        <w:t xml:space="preserve"> </w:t>
      </w:r>
      <w:hyperlink r:id="rId9" w:history="1">
        <w:r w:rsidR="00A63491" w:rsidRPr="00203E0A">
          <w:rPr>
            <w:rFonts w:ascii="Times New Roman" w:hAnsi="Times New Roman" w:cs="Times New Roman"/>
            <w:i/>
            <w:iCs/>
            <w:color w:val="000000" w:themeColor="text1"/>
            <w:sz w:val="20"/>
            <w:szCs w:val="20"/>
          </w:rPr>
          <w:t>https://ec.europa.eu/eurostat/databrowser/view/hsw_n2_02/default/table?lang=en</w:t>
        </w:r>
      </w:hyperlink>
      <w:r w:rsidR="00A63491" w:rsidRPr="00203E0A">
        <w:rPr>
          <w:rFonts w:ascii="Times New Roman" w:hAnsi="Times New Roman" w:cs="Times New Roman"/>
          <w:i/>
          <w:iCs/>
          <w:color w:val="000000" w:themeColor="text1"/>
          <w:sz w:val="20"/>
          <w:szCs w:val="20"/>
        </w:rPr>
        <w:t xml:space="preserve"> </w:t>
      </w:r>
    </w:p>
    <w:p w14:paraId="5A0D6769" w14:textId="76EE6B64" w:rsidR="00EC5D47" w:rsidRPr="00203E0A" w:rsidRDefault="48A77BA5" w:rsidP="00DE4C26">
      <w:pPr>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У погледу стопе учесталости повреда на раду без смртног исхода ситуација је </w:t>
      </w:r>
      <w:r w:rsidR="00656D63" w:rsidRPr="00203E0A">
        <w:rPr>
          <w:rFonts w:ascii="Times New Roman" w:hAnsi="Times New Roman" w:cs="Times New Roman"/>
          <w:sz w:val="24"/>
          <w:szCs w:val="24"/>
        </w:rPr>
        <w:t xml:space="preserve">на основу података РФЗО </w:t>
      </w:r>
      <w:r w:rsidRPr="00203E0A">
        <w:rPr>
          <w:rFonts w:ascii="Times New Roman" w:hAnsi="Times New Roman" w:cs="Times New Roman"/>
          <w:sz w:val="24"/>
          <w:szCs w:val="24"/>
        </w:rPr>
        <w:t xml:space="preserve">неповољнија. Наиме, просек ЕУ за 2021. годину износио је 1.516 повреда на 100.000, при чему је распон стопа међу државама чланицама </w:t>
      </w:r>
      <w:r w:rsidR="008C782D" w:rsidRPr="00203E0A">
        <w:rPr>
          <w:rFonts w:ascii="Times New Roman" w:hAnsi="Times New Roman" w:cs="Times New Roman"/>
          <w:sz w:val="24"/>
          <w:szCs w:val="24"/>
        </w:rPr>
        <w:t xml:space="preserve">значајно </w:t>
      </w:r>
      <w:r w:rsidRPr="00203E0A">
        <w:rPr>
          <w:rFonts w:ascii="Times New Roman" w:hAnsi="Times New Roman" w:cs="Times New Roman"/>
          <w:sz w:val="24"/>
          <w:szCs w:val="24"/>
        </w:rPr>
        <w:t xml:space="preserve">варирао. Ипак, и земље ЕУ се попут Србије суочавају са проблемом </w:t>
      </w:r>
      <w:r w:rsidR="00C07A87">
        <w:rPr>
          <w:rFonts w:ascii="Times New Roman" w:hAnsi="Times New Roman" w:cs="Times New Roman"/>
          <w:sz w:val="24"/>
          <w:szCs w:val="24"/>
        </w:rPr>
        <w:t>не</w:t>
      </w:r>
      <w:r w:rsidRPr="00203E0A">
        <w:rPr>
          <w:rFonts w:ascii="Times New Roman" w:hAnsi="Times New Roman" w:cs="Times New Roman"/>
          <w:sz w:val="24"/>
          <w:szCs w:val="24"/>
        </w:rPr>
        <w:t>пријављивања. Постоји више узрока овог проблема чији значај варира од државе до државе – компликован процес пријављивања, неадекватни подстицаји пријављивања повреда на раду, необавезујуће законске обавезе за п</w:t>
      </w:r>
      <w:r w:rsidR="000F5917">
        <w:rPr>
          <w:rFonts w:ascii="Times New Roman" w:hAnsi="Times New Roman" w:cs="Times New Roman"/>
          <w:sz w:val="24"/>
          <w:szCs w:val="24"/>
        </w:rPr>
        <w:t>ослодавце, и др. Ипак, околност</w:t>
      </w:r>
      <w:r w:rsidR="00117FFD">
        <w:rPr>
          <w:rFonts w:ascii="Times New Roman" w:hAnsi="Times New Roman" w:cs="Times New Roman"/>
          <w:sz w:val="24"/>
          <w:szCs w:val="24"/>
        </w:rPr>
        <w:t>и</w:t>
      </w:r>
      <w:r w:rsidRPr="00203E0A">
        <w:rPr>
          <w:rFonts w:ascii="Times New Roman" w:hAnsi="Times New Roman" w:cs="Times New Roman"/>
          <w:sz w:val="24"/>
          <w:szCs w:val="24"/>
        </w:rPr>
        <w:t xml:space="preserve"> у случају учесталости повреда на раду са смр</w:t>
      </w:r>
      <w:r w:rsidR="00117FFD">
        <w:rPr>
          <w:rFonts w:ascii="Times New Roman" w:hAnsi="Times New Roman" w:cs="Times New Roman"/>
          <w:sz w:val="24"/>
          <w:szCs w:val="24"/>
        </w:rPr>
        <w:t>тним исходом су другачије</w:t>
      </w:r>
      <w:r w:rsidRPr="00203E0A">
        <w:rPr>
          <w:rFonts w:ascii="Times New Roman" w:hAnsi="Times New Roman" w:cs="Times New Roman"/>
          <w:sz w:val="24"/>
          <w:szCs w:val="24"/>
        </w:rPr>
        <w:t xml:space="preserve"> јер је много теже избећи њихово пријављивање, те су подаци начелно упоредиви. </w:t>
      </w:r>
    </w:p>
    <w:p w14:paraId="4F44FBD0" w14:textId="29E4F351" w:rsidR="00EC5D47" w:rsidRPr="00203E0A" w:rsidRDefault="48A77BA5" w:rsidP="00DE4C26">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sz w:val="24"/>
          <w:szCs w:val="24"/>
        </w:rPr>
        <w:t xml:space="preserve">Поређења ради, у Србији стопа учесталости за повреде </w:t>
      </w:r>
      <w:r w:rsidR="007918D9" w:rsidRPr="00203E0A">
        <w:rPr>
          <w:rFonts w:ascii="Times New Roman" w:hAnsi="Times New Roman" w:cs="Times New Roman"/>
          <w:sz w:val="24"/>
          <w:szCs w:val="24"/>
        </w:rPr>
        <w:t xml:space="preserve">на 100.000 запослених </w:t>
      </w:r>
      <w:r w:rsidRPr="00203E0A">
        <w:rPr>
          <w:rFonts w:ascii="Times New Roman" w:hAnsi="Times New Roman" w:cs="Times New Roman"/>
          <w:sz w:val="24"/>
          <w:szCs w:val="24"/>
        </w:rPr>
        <w:t xml:space="preserve">на раду без смртног исхода у 2021. години износи 748 уколико се примењују подаци РФЗО, док би ова стопа била значајније потцењена (уколико би се користили подаци Управе за безбедности и здравља на раду (333), због поменутог проблема са непријављивањем повреда. Стога приликом поређења са другим земљама, као и избора показатеља остварења </w:t>
      </w:r>
      <w:r w:rsidRPr="00203E0A">
        <w:rPr>
          <w:rFonts w:ascii="Times New Roman" w:hAnsi="Times New Roman" w:cs="Times New Roman"/>
          <w:color w:val="000000" w:themeColor="text1"/>
          <w:sz w:val="24"/>
          <w:szCs w:val="24"/>
        </w:rPr>
        <w:t xml:space="preserve">циљева Стратегије треба узети у обзир ограничену упоредивост код овог типа повреда. </w:t>
      </w:r>
    </w:p>
    <w:p w14:paraId="4C266C3A" w14:textId="5DEBE246" w:rsidR="00937EA5" w:rsidRPr="00203E0A" w:rsidRDefault="00937EA5">
      <w:pPr>
        <w:rPr>
          <w:rFonts w:ascii="Times New Roman" w:hAnsi="Times New Roman" w:cs="Times New Roman"/>
          <w:b/>
          <w:bCs/>
          <w:i/>
          <w:iCs/>
          <w:sz w:val="24"/>
          <w:szCs w:val="24"/>
        </w:rPr>
      </w:pPr>
    </w:p>
    <w:p w14:paraId="775BEE4D" w14:textId="59021E02" w:rsidR="00937EA5" w:rsidRPr="00203E0A" w:rsidRDefault="48A77BA5" w:rsidP="0005501F">
      <w:pPr>
        <w:pStyle w:val="Caption"/>
        <w:keepNext/>
        <w:jc w:val="center"/>
        <w:rPr>
          <w:rFonts w:ascii="Times New Roman" w:hAnsi="Times New Roman" w:cs="Times New Roman"/>
          <w:b/>
          <w:bCs/>
        </w:rPr>
      </w:pPr>
      <w:r w:rsidRPr="00203E0A">
        <w:rPr>
          <w:rFonts w:ascii="Times New Roman" w:hAnsi="Times New Roman" w:cs="Times New Roman"/>
          <w:b/>
          <w:bCs/>
          <w:color w:val="auto"/>
          <w:sz w:val="22"/>
          <w:szCs w:val="22"/>
        </w:rPr>
        <w:lastRenderedPageBreak/>
        <w:t xml:space="preserve">Графикон </w:t>
      </w:r>
      <w:r w:rsidR="00EC5D47" w:rsidRPr="00203E0A">
        <w:rPr>
          <w:rFonts w:ascii="Times New Roman" w:hAnsi="Times New Roman" w:cs="Times New Roman"/>
          <w:b/>
          <w:bCs/>
          <w:color w:val="auto"/>
          <w:sz w:val="22"/>
          <w:szCs w:val="22"/>
        </w:rPr>
        <w:fldChar w:fldCharType="begin"/>
      </w:r>
      <w:r w:rsidR="00EC5D47" w:rsidRPr="00203E0A">
        <w:rPr>
          <w:rFonts w:ascii="Times New Roman" w:hAnsi="Times New Roman" w:cs="Times New Roman"/>
          <w:b/>
          <w:bCs/>
          <w:color w:val="auto"/>
          <w:sz w:val="22"/>
          <w:szCs w:val="22"/>
        </w:rPr>
        <w:instrText xml:space="preserve"> SEQ Графикон \* ARABIC </w:instrText>
      </w:r>
      <w:r w:rsidR="00EC5D47" w:rsidRPr="00203E0A">
        <w:rPr>
          <w:rFonts w:ascii="Times New Roman" w:hAnsi="Times New Roman" w:cs="Times New Roman"/>
          <w:b/>
          <w:bCs/>
          <w:color w:val="auto"/>
          <w:sz w:val="22"/>
          <w:szCs w:val="22"/>
        </w:rPr>
        <w:fldChar w:fldCharType="separate"/>
      </w:r>
      <w:r w:rsidR="001E585C">
        <w:rPr>
          <w:rFonts w:ascii="Times New Roman" w:hAnsi="Times New Roman" w:cs="Times New Roman"/>
          <w:b/>
          <w:bCs/>
          <w:noProof/>
          <w:color w:val="auto"/>
          <w:sz w:val="22"/>
          <w:szCs w:val="22"/>
        </w:rPr>
        <w:t>2</w:t>
      </w:r>
      <w:r w:rsidR="00EC5D47" w:rsidRPr="00203E0A">
        <w:rPr>
          <w:rFonts w:ascii="Times New Roman" w:hAnsi="Times New Roman" w:cs="Times New Roman"/>
          <w:b/>
          <w:bCs/>
          <w:color w:val="auto"/>
          <w:sz w:val="22"/>
          <w:szCs w:val="22"/>
        </w:rPr>
        <w:fldChar w:fldCharType="end"/>
      </w:r>
      <w:r w:rsidRPr="00203E0A">
        <w:rPr>
          <w:rFonts w:ascii="Times New Roman" w:hAnsi="Times New Roman" w:cs="Times New Roman"/>
          <w:b/>
          <w:bCs/>
          <w:color w:val="auto"/>
          <w:sz w:val="22"/>
          <w:szCs w:val="22"/>
        </w:rPr>
        <w:t>: Стопа учесталости повреда на раду без смртног исхода за 2021. годину</w:t>
      </w:r>
      <w:r w:rsidR="00937EA5" w:rsidRPr="00203E0A">
        <w:rPr>
          <w:rFonts w:ascii="Times New Roman" w:hAnsi="Times New Roman" w:cs="Times New Roman"/>
          <w:b/>
          <w:bCs/>
          <w:color w:val="auto"/>
          <w:sz w:val="22"/>
          <w:szCs w:val="22"/>
        </w:rPr>
        <w:t xml:space="preserve"> (non-fatal accidents)</w:t>
      </w:r>
    </w:p>
    <w:p w14:paraId="4138ADDD" w14:textId="6852138F" w:rsidR="00937EA5" w:rsidRPr="00203E0A" w:rsidRDefault="00937EA5" w:rsidP="0005501F">
      <w:r w:rsidRPr="00203E0A">
        <w:rPr>
          <w:noProof/>
          <w:lang w:val="en-US"/>
        </w:rPr>
        <w:drawing>
          <wp:inline distT="0" distB="0" distL="0" distR="0" wp14:anchorId="2FC54318" wp14:editId="58469E4D">
            <wp:extent cx="5731510" cy="2606040"/>
            <wp:effectExtent l="0" t="0" r="2540" b="3810"/>
            <wp:docPr id="397284677" name="Chart 1">
              <a:extLst xmlns:a="http://schemas.openxmlformats.org/drawingml/2006/main">
                <a:ext uri="{FF2B5EF4-FFF2-40B4-BE49-F238E27FC236}">
                  <a16:creationId xmlns:a16="http://schemas.microsoft.com/office/drawing/2014/main" id="{98570ED1-8762-4485-8806-36C4C2DB1C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AA49E8" w14:textId="631F1EED" w:rsidR="00EC5D47" w:rsidRPr="00203E0A" w:rsidRDefault="48A77BA5">
      <w:pPr>
        <w:spacing w:after="150"/>
        <w:jc w:val="both"/>
        <w:rPr>
          <w:sz w:val="18"/>
          <w:szCs w:val="18"/>
        </w:rPr>
      </w:pPr>
      <w:r w:rsidRPr="00203E0A">
        <w:rPr>
          <w:rFonts w:ascii="Times New Roman" w:hAnsi="Times New Roman" w:cs="Times New Roman"/>
          <w:i/>
          <w:iCs/>
          <w:color w:val="000000" w:themeColor="text1"/>
          <w:sz w:val="20"/>
          <w:szCs w:val="20"/>
        </w:rPr>
        <w:t xml:space="preserve">Извор: </w:t>
      </w:r>
      <w:r w:rsidR="00937EA5" w:rsidRPr="00203E0A">
        <w:rPr>
          <w:rFonts w:ascii="Times New Roman" w:hAnsi="Times New Roman" w:cs="Times New Roman"/>
          <w:i/>
          <w:iCs/>
          <w:color w:val="000000" w:themeColor="text1"/>
          <w:sz w:val="20"/>
          <w:szCs w:val="20"/>
        </w:rPr>
        <w:t xml:space="preserve">За чланице ЕУ </w:t>
      </w:r>
      <w:r w:rsidR="00BC74A1" w:rsidRPr="00203E0A">
        <w:rPr>
          <w:rFonts w:ascii="Times New Roman" w:hAnsi="Times New Roman" w:cs="Times New Roman"/>
          <w:i/>
          <w:iCs/>
          <w:color w:val="000000" w:themeColor="text1"/>
          <w:sz w:val="20"/>
          <w:szCs w:val="20"/>
        </w:rPr>
        <w:t xml:space="preserve">Eurostat </w:t>
      </w:r>
      <w:r w:rsidRPr="00203E0A">
        <w:rPr>
          <w:rFonts w:ascii="Times New Roman" w:hAnsi="Times New Roman" w:cs="Times New Roman"/>
          <w:i/>
          <w:iCs/>
          <w:color w:val="000000" w:themeColor="text1"/>
          <w:sz w:val="20"/>
          <w:szCs w:val="20"/>
        </w:rPr>
        <w:t xml:space="preserve"> </w:t>
      </w:r>
      <w:hyperlink r:id="rId11" w:history="1">
        <w:r w:rsidR="00BC74A1" w:rsidRPr="00203E0A">
          <w:rPr>
            <w:rStyle w:val="Hyperlink"/>
            <w:sz w:val="18"/>
            <w:szCs w:val="18"/>
          </w:rPr>
          <w:t>https://ec.europa.eu/eurostat/databrowser/view/hsw_n2_01/default/table?lang=en</w:t>
        </w:r>
      </w:hyperlink>
      <w:r w:rsidR="0005501F" w:rsidRPr="00203E0A">
        <w:rPr>
          <w:sz w:val="18"/>
          <w:szCs w:val="18"/>
        </w:rPr>
        <w:t xml:space="preserve"> </w:t>
      </w:r>
    </w:p>
    <w:p w14:paraId="5571254C" w14:textId="77777777" w:rsidR="00937EA5" w:rsidRPr="003C6E11" w:rsidRDefault="00937EA5" w:rsidP="0005501F">
      <w:pPr>
        <w:spacing w:after="150"/>
        <w:jc w:val="both"/>
        <w:rPr>
          <w:rFonts w:ascii="Times New Roman" w:hAnsi="Times New Roman" w:cs="Times New Roman"/>
          <w:i/>
          <w:iCs/>
        </w:rPr>
      </w:pPr>
    </w:p>
    <w:p w14:paraId="0F35740D" w14:textId="05977200" w:rsidR="00EC5D47" w:rsidRPr="003C6E11" w:rsidRDefault="00EC5D47" w:rsidP="00DE4C26">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Подаци за Републику Србију нису укључени у базу података Међународне организације рада, што отежава поређење Србије са земљама ван ЕУ.</w:t>
      </w:r>
      <w:r w:rsidRPr="003C6E11">
        <w:rPr>
          <w:rStyle w:val="FootnoteReference"/>
          <w:rFonts w:ascii="Times New Roman" w:hAnsi="Times New Roman" w:cs="Times New Roman"/>
          <w:sz w:val="24"/>
          <w:szCs w:val="24"/>
        </w:rPr>
        <w:footnoteReference w:id="13"/>
      </w:r>
      <w:r w:rsidRPr="003C6E11">
        <w:rPr>
          <w:rFonts w:ascii="Times New Roman" w:hAnsi="Times New Roman" w:cs="Times New Roman"/>
          <w:sz w:val="24"/>
          <w:szCs w:val="24"/>
        </w:rPr>
        <w:t xml:space="preserve"> Подаци МОР, такође указују на значајна одступања пријављеног од стварног стања</w:t>
      </w:r>
      <w:r w:rsidR="0035422B" w:rsidRPr="003C6E11">
        <w:rPr>
          <w:rFonts w:ascii="Times New Roman" w:hAnsi="Times New Roman" w:cs="Times New Roman"/>
          <w:sz w:val="24"/>
          <w:szCs w:val="24"/>
        </w:rPr>
        <w:t xml:space="preserve"> и у случају других земаља.</w:t>
      </w:r>
    </w:p>
    <w:p w14:paraId="4E9FE31E" w14:textId="3D4E0548" w:rsidR="001D1B1C" w:rsidRPr="00203E0A" w:rsidRDefault="00EC5D47" w:rsidP="00DE4C26">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sz w:val="24"/>
          <w:szCs w:val="24"/>
        </w:rPr>
        <w:t xml:space="preserve">Процењени друштвени трошкови повреда и болести на раду у 2019. години у Европској унији износили су 467 </w:t>
      </w:r>
      <w:r w:rsidR="00172D2B" w:rsidRPr="00203E0A">
        <w:rPr>
          <w:rFonts w:ascii="Times New Roman" w:hAnsi="Times New Roman" w:cs="Times New Roman"/>
          <w:sz w:val="24"/>
          <w:szCs w:val="24"/>
        </w:rPr>
        <w:t xml:space="preserve">милијарди </w:t>
      </w:r>
      <w:r w:rsidRPr="00203E0A">
        <w:rPr>
          <w:rFonts w:ascii="Times New Roman" w:hAnsi="Times New Roman" w:cs="Times New Roman"/>
          <w:sz w:val="24"/>
          <w:szCs w:val="24"/>
        </w:rPr>
        <w:t>евра.</w:t>
      </w:r>
      <w:r w:rsidRPr="00203E0A">
        <w:rPr>
          <w:rStyle w:val="FootnoteReference"/>
          <w:rFonts w:ascii="Times New Roman" w:hAnsi="Times New Roman" w:cs="Times New Roman"/>
          <w:sz w:val="24"/>
          <w:szCs w:val="24"/>
        </w:rPr>
        <w:footnoteReference w:id="14"/>
      </w:r>
      <w:r w:rsidRPr="00203E0A">
        <w:rPr>
          <w:rFonts w:ascii="Times New Roman" w:hAnsi="Times New Roman" w:cs="Times New Roman"/>
          <w:sz w:val="24"/>
          <w:szCs w:val="24"/>
        </w:rPr>
        <w:t xml:space="preserve"> </w:t>
      </w:r>
      <w:r w:rsidR="00301CE6" w:rsidRPr="00203E0A">
        <w:rPr>
          <w:rFonts w:ascii="Times New Roman" w:hAnsi="Times New Roman" w:cs="Times New Roman"/>
          <w:sz w:val="24"/>
          <w:szCs w:val="24"/>
        </w:rPr>
        <w:t xml:space="preserve">Извештаји </w:t>
      </w:r>
      <w:r w:rsidR="00172D2B" w:rsidRPr="00203E0A">
        <w:rPr>
          <w:rFonts w:ascii="Times New Roman" w:hAnsi="Times New Roman" w:cs="Times New Roman"/>
          <w:sz w:val="24"/>
          <w:szCs w:val="24"/>
        </w:rPr>
        <w:t>з</w:t>
      </w:r>
      <w:r w:rsidR="00301CE6" w:rsidRPr="00203E0A">
        <w:rPr>
          <w:rFonts w:ascii="Times New Roman" w:hAnsi="Times New Roman" w:cs="Times New Roman"/>
          <w:sz w:val="24"/>
          <w:szCs w:val="24"/>
        </w:rPr>
        <w:t>а следеће године нису репрезентативни због пандемије COVID</w:t>
      </w:r>
      <w:r w:rsidR="00E614D3" w:rsidRPr="00203E0A">
        <w:rPr>
          <w:rFonts w:ascii="Times New Roman" w:hAnsi="Times New Roman" w:cs="Times New Roman"/>
          <w:sz w:val="24"/>
          <w:szCs w:val="24"/>
        </w:rPr>
        <w:t>-19.</w:t>
      </w:r>
    </w:p>
    <w:p w14:paraId="10B1C5A2" w14:textId="3466600E" w:rsidR="00EC5D47" w:rsidRPr="00203E0A" w:rsidRDefault="00EC5D47" w:rsidP="00DE4C26">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sz w:val="24"/>
          <w:szCs w:val="24"/>
        </w:rPr>
        <w:t xml:space="preserve">За </w:t>
      </w:r>
      <w:r w:rsidRPr="00203E0A">
        <w:rPr>
          <w:rFonts w:ascii="Times New Roman" w:hAnsi="Times New Roman" w:cs="Times New Roman"/>
          <w:color w:val="000000"/>
          <w:sz w:val="24"/>
          <w:szCs w:val="24"/>
        </w:rPr>
        <w:t>Србију не постоји поуздана процена друштвених трошкова услед повреда и болести на раду. Имајући у виду претходне показатеље, за Србију груба апроксимација на основу процењених трошкова на нивоу ЕУ, који износе 3,3 одсто бруто домаћег производа износи око 1,7 милијарди евра за 2021. годину, при чему је овај износ вероватно ближи доњој граници.</w:t>
      </w:r>
    </w:p>
    <w:p w14:paraId="0EF78017" w14:textId="77777777" w:rsidR="00EC5D47" w:rsidRPr="00203E0A" w:rsidRDefault="00EC5D47" w:rsidP="00DE4C26">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Треба напоменути да је приказана само нестандардизована стопа учесталости за Републику Србију, нису обрачунате стандардизоване вредности овог показатеља. Наиме, стопе учесталости се разликују између економских сектора услед различитих степена ризика којим су изложени запослени (сектори високог ризика укључују пољопривреду, грађевинарство и транспорт). Земље са већим уделом запослених у таквим секторима по правилу имају и већу стопу учесталости и ако постоји исти степен примене мера предострожности.</w:t>
      </w:r>
      <w:r w:rsidRPr="00203E0A">
        <w:rPr>
          <w:rStyle w:val="FootnoteReference"/>
          <w:rFonts w:ascii="Times New Roman" w:hAnsi="Times New Roman" w:cs="Times New Roman"/>
          <w:sz w:val="24"/>
          <w:szCs w:val="24"/>
        </w:rPr>
        <w:footnoteReference w:id="15"/>
      </w:r>
    </w:p>
    <w:p w14:paraId="47F9BA96" w14:textId="19EDD18E" w:rsidR="00EC5D47" w:rsidRPr="00203E0A" w:rsidRDefault="48A77BA5" w:rsidP="00DE4C26">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lastRenderedPageBreak/>
        <w:t xml:space="preserve">Коначно, неопходно је побољшати комуникације и размене информација између институција које се на било који начин баве пословима безбедности и здравља </w:t>
      </w:r>
      <w:r w:rsidRPr="00203E0A">
        <w:rPr>
          <w:rFonts w:ascii="Times New Roman" w:hAnsi="Times New Roman" w:cs="Times New Roman"/>
          <w:sz w:val="24"/>
          <w:szCs w:val="24"/>
        </w:rPr>
        <w:t>на раду.</w:t>
      </w:r>
    </w:p>
    <w:p w14:paraId="0FF41052" w14:textId="5D997BB0" w:rsidR="00DE4C26" w:rsidRPr="00203E0A" w:rsidRDefault="48A77BA5" w:rsidP="00AA0507">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У наставку приказујемо анализу према делатностима и карактеристикама послодавца, на основу података Инспектората за рад и Управе за безбедност и здравље на раду која редовно спроводи анализе повреда (смртних и тешких повреда). Подаци се анализирају према следећим категоријама: 1) Делатност послодавца; 2) Број запослених; 3) Пол повређеног/е; 4) Старост повређеног/е; 5) Ниво квалификације; 6) Радна средина; 7) Процес рада; 8) Специфична физичка активност; 9) Извор повреде; 10) Контакт – начин повређивања; 11) Узрок повреде; 12) Врста повреде.</w:t>
      </w:r>
      <w:bookmarkStart w:id="13" w:name="_Toc126746521"/>
    </w:p>
    <w:p w14:paraId="5D6195D3" w14:textId="2ACCDAD6" w:rsidR="00EC5D47" w:rsidRPr="00203E0A" w:rsidRDefault="48A77BA5" w:rsidP="48A77BA5">
      <w:pPr>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3.1.1. Анализа повреда на раду према делатности и карактеристикама послодавца</w:t>
      </w:r>
      <w:bookmarkEnd w:id="13"/>
    </w:p>
    <w:p w14:paraId="03BDA8EE" w14:textId="3FD819FA" w:rsidR="00EC5D47" w:rsidRPr="003C6E11" w:rsidRDefault="48A77BA5" w:rsidP="00DE4C26">
      <w:pPr>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Према подацима Инспектората за рад, грађевинарство је делатност са највећим бројем смртних  и тешких повреда на раду са смртним исходом. Наиме, грађевинарство је осим у 2018. представљало делатност са највећим бројем смртних исхода, при чему је  до значајног повећања учешћа дошло </w:t>
      </w:r>
      <w:r w:rsidR="001E51CD" w:rsidRPr="003C6E11">
        <w:rPr>
          <w:rFonts w:ascii="Times New Roman" w:hAnsi="Times New Roman" w:cs="Times New Roman"/>
          <w:sz w:val="24"/>
          <w:szCs w:val="24"/>
        </w:rPr>
        <w:t xml:space="preserve">након </w:t>
      </w:r>
      <w:r w:rsidRPr="003C6E11">
        <w:rPr>
          <w:rFonts w:ascii="Times New Roman" w:hAnsi="Times New Roman" w:cs="Times New Roman"/>
          <w:sz w:val="24"/>
          <w:szCs w:val="24"/>
        </w:rPr>
        <w:t xml:space="preserve">2021. године, </w:t>
      </w:r>
      <w:r w:rsidR="001E51CD" w:rsidRPr="003C6E11">
        <w:rPr>
          <w:rFonts w:ascii="Times New Roman" w:hAnsi="Times New Roman" w:cs="Times New Roman"/>
          <w:sz w:val="24"/>
          <w:szCs w:val="24"/>
        </w:rPr>
        <w:t>након чега</w:t>
      </w:r>
      <w:r w:rsidRPr="003C6E11">
        <w:rPr>
          <w:rFonts w:ascii="Times New Roman" w:hAnsi="Times New Roman" w:cs="Times New Roman"/>
          <w:sz w:val="24"/>
          <w:szCs w:val="24"/>
        </w:rPr>
        <w:t xml:space="preserve"> </w:t>
      </w:r>
      <w:r w:rsidR="001E51CD" w:rsidRPr="003C6E11">
        <w:rPr>
          <w:rFonts w:ascii="Times New Roman" w:hAnsi="Times New Roman" w:cs="Times New Roman"/>
          <w:sz w:val="24"/>
          <w:szCs w:val="24"/>
        </w:rPr>
        <w:t xml:space="preserve">грађевинарство учествује </w:t>
      </w:r>
      <w:r w:rsidRPr="003C6E11">
        <w:rPr>
          <w:rFonts w:ascii="Times New Roman" w:hAnsi="Times New Roman" w:cs="Times New Roman"/>
          <w:sz w:val="24"/>
          <w:szCs w:val="24"/>
        </w:rPr>
        <w:t>са више од половине броја настрадалих</w:t>
      </w:r>
      <w:r w:rsidR="001E51CD" w:rsidRPr="003C6E11">
        <w:rPr>
          <w:rFonts w:ascii="Times New Roman" w:hAnsi="Times New Roman" w:cs="Times New Roman"/>
          <w:sz w:val="24"/>
          <w:szCs w:val="24"/>
        </w:rPr>
        <w:t xml:space="preserve">. У </w:t>
      </w:r>
      <w:r w:rsidR="00635E20" w:rsidRPr="003C6E11">
        <w:rPr>
          <w:rFonts w:ascii="Times New Roman" w:hAnsi="Times New Roman" w:cs="Times New Roman"/>
          <w:sz w:val="24"/>
          <w:szCs w:val="24"/>
        </w:rPr>
        <w:t>2023. дошло је до благог пада релативног учешћа грађевинарства (48%).</w:t>
      </w:r>
      <w:r w:rsidRPr="003C6E11">
        <w:rPr>
          <w:rFonts w:ascii="Times New Roman" w:hAnsi="Times New Roman" w:cs="Times New Roman"/>
          <w:sz w:val="24"/>
          <w:szCs w:val="24"/>
        </w:rPr>
        <w:t xml:space="preserve"> Поред грађевинарства, сектор индустрије</w:t>
      </w:r>
      <w:r w:rsidR="00B034D4" w:rsidRPr="003C6E11">
        <w:rPr>
          <w:rFonts w:ascii="Times New Roman" w:hAnsi="Times New Roman" w:cs="Times New Roman"/>
          <w:sz w:val="24"/>
          <w:szCs w:val="24"/>
        </w:rPr>
        <w:t xml:space="preserve"> (</w:t>
      </w:r>
      <w:r w:rsidR="006A2EFE" w:rsidRPr="003C6E11">
        <w:rPr>
          <w:rFonts w:ascii="Times New Roman" w:hAnsi="Times New Roman" w:cs="Times New Roman"/>
          <w:sz w:val="24"/>
          <w:szCs w:val="24"/>
        </w:rPr>
        <w:t>производња метала, машина и друге опреме, производња електричне опреме)</w:t>
      </w:r>
      <w:r w:rsidRPr="003C6E11">
        <w:rPr>
          <w:rFonts w:ascii="Times New Roman" w:hAnsi="Times New Roman" w:cs="Times New Roman"/>
          <w:sz w:val="24"/>
          <w:szCs w:val="24"/>
        </w:rPr>
        <w:t xml:space="preserve"> и пољопривреде.</w:t>
      </w:r>
      <w:r w:rsidR="003324BD" w:rsidRPr="003C6E11">
        <w:rPr>
          <w:rFonts w:ascii="Times New Roman" w:hAnsi="Times New Roman" w:cs="Times New Roman"/>
          <w:sz w:val="24"/>
          <w:szCs w:val="24"/>
        </w:rPr>
        <w:t xml:space="preserve"> </w:t>
      </w:r>
      <w:r w:rsidR="00B034D4" w:rsidRPr="003C6E11">
        <w:rPr>
          <w:rFonts w:ascii="Times New Roman" w:hAnsi="Times New Roman" w:cs="Times New Roman"/>
          <w:sz w:val="24"/>
          <w:szCs w:val="24"/>
        </w:rPr>
        <w:t>Треба напоменути да н</w:t>
      </w:r>
      <w:r w:rsidR="0064585A" w:rsidRPr="003C6E11">
        <w:rPr>
          <w:rFonts w:ascii="Times New Roman" w:hAnsi="Times New Roman" w:cs="Times New Roman"/>
          <w:sz w:val="24"/>
          <w:szCs w:val="24"/>
        </w:rPr>
        <w:t xml:space="preserve">а годишњем нивоу постоје значајне варијације. У зависности од посматране године </w:t>
      </w:r>
      <w:r w:rsidR="002E0BA6" w:rsidRPr="003C6E11">
        <w:rPr>
          <w:rFonts w:ascii="Times New Roman" w:hAnsi="Times New Roman" w:cs="Times New Roman"/>
          <w:sz w:val="24"/>
          <w:szCs w:val="24"/>
        </w:rPr>
        <w:t>и други</w:t>
      </w:r>
      <w:r w:rsidR="0064585A" w:rsidRPr="003C6E11">
        <w:rPr>
          <w:rFonts w:ascii="Times New Roman" w:hAnsi="Times New Roman" w:cs="Times New Roman"/>
          <w:sz w:val="24"/>
          <w:szCs w:val="24"/>
        </w:rPr>
        <w:t xml:space="preserve"> сектори </w:t>
      </w:r>
      <w:r w:rsidR="00B80B00" w:rsidRPr="003C6E11">
        <w:rPr>
          <w:rFonts w:ascii="Times New Roman" w:hAnsi="Times New Roman" w:cs="Times New Roman"/>
          <w:sz w:val="24"/>
          <w:szCs w:val="24"/>
        </w:rPr>
        <w:t>могу имати значајно учешће. Ови сектори су груписани у категорију остали сектори</w:t>
      </w:r>
      <w:r w:rsidR="00B412F8" w:rsidRPr="003C6E11">
        <w:rPr>
          <w:rFonts w:ascii="Times New Roman" w:hAnsi="Times New Roman" w:cs="Times New Roman"/>
          <w:sz w:val="24"/>
          <w:szCs w:val="24"/>
        </w:rPr>
        <w:t xml:space="preserve"> (саобраћај и складиштење, комуналне делатности и др.).</w:t>
      </w:r>
    </w:p>
    <w:p w14:paraId="1E066DCE" w14:textId="20E6C4D9" w:rsidR="00EC5D47" w:rsidRPr="00203E0A" w:rsidRDefault="48A77BA5" w:rsidP="48A77BA5">
      <w:pPr>
        <w:ind w:firstLine="720"/>
        <w:jc w:val="both"/>
        <w:rPr>
          <w:rFonts w:ascii="Times New Roman" w:hAnsi="Times New Roman" w:cs="Times New Roman"/>
          <w:b/>
          <w:bCs/>
          <w:i/>
          <w:iCs/>
          <w:sz w:val="24"/>
          <w:szCs w:val="24"/>
        </w:rPr>
      </w:pPr>
      <w:r w:rsidRPr="00203E0A">
        <w:rPr>
          <w:rFonts w:ascii="Times New Roman" w:hAnsi="Times New Roman" w:cs="Times New Roman"/>
          <w:b/>
          <w:bCs/>
          <w:i/>
          <w:iCs/>
          <w:sz w:val="24"/>
          <w:szCs w:val="24"/>
        </w:rPr>
        <w:t xml:space="preserve">Графикон </w:t>
      </w:r>
      <w:r w:rsidR="00EC5D47" w:rsidRPr="00203E0A">
        <w:rPr>
          <w:rFonts w:ascii="Times New Roman" w:hAnsi="Times New Roman" w:cs="Times New Roman"/>
          <w:b/>
          <w:bCs/>
          <w:i/>
          <w:iCs/>
          <w:sz w:val="24"/>
          <w:szCs w:val="24"/>
        </w:rPr>
        <w:fldChar w:fldCharType="begin"/>
      </w:r>
      <w:r w:rsidR="00EC5D47" w:rsidRPr="00203E0A">
        <w:rPr>
          <w:rFonts w:ascii="Times New Roman" w:hAnsi="Times New Roman" w:cs="Times New Roman"/>
          <w:b/>
          <w:bCs/>
          <w:i/>
          <w:iCs/>
          <w:sz w:val="24"/>
          <w:szCs w:val="24"/>
        </w:rPr>
        <w:instrText xml:space="preserve"> SEQ Графикон \* ARABIC </w:instrText>
      </w:r>
      <w:r w:rsidR="00EC5D47" w:rsidRPr="00203E0A">
        <w:rPr>
          <w:rFonts w:ascii="Times New Roman" w:hAnsi="Times New Roman" w:cs="Times New Roman"/>
          <w:b/>
          <w:bCs/>
          <w:i/>
          <w:iCs/>
          <w:sz w:val="24"/>
          <w:szCs w:val="24"/>
        </w:rPr>
        <w:fldChar w:fldCharType="separate"/>
      </w:r>
      <w:r w:rsidR="001E585C">
        <w:rPr>
          <w:rFonts w:ascii="Times New Roman" w:hAnsi="Times New Roman" w:cs="Times New Roman"/>
          <w:b/>
          <w:bCs/>
          <w:i/>
          <w:iCs/>
          <w:noProof/>
          <w:sz w:val="24"/>
          <w:szCs w:val="24"/>
        </w:rPr>
        <w:t>3</w:t>
      </w:r>
      <w:r w:rsidR="00EC5D47" w:rsidRPr="00203E0A">
        <w:rPr>
          <w:rFonts w:ascii="Times New Roman" w:hAnsi="Times New Roman" w:cs="Times New Roman"/>
          <w:b/>
          <w:bCs/>
          <w:i/>
          <w:iCs/>
          <w:sz w:val="24"/>
          <w:szCs w:val="24"/>
        </w:rPr>
        <w:fldChar w:fldCharType="end"/>
      </w:r>
      <w:r w:rsidRPr="00203E0A">
        <w:rPr>
          <w:rFonts w:ascii="Times New Roman" w:hAnsi="Times New Roman" w:cs="Times New Roman"/>
          <w:b/>
          <w:bCs/>
          <w:i/>
          <w:iCs/>
          <w:sz w:val="24"/>
          <w:szCs w:val="24"/>
        </w:rPr>
        <w:t>: Учешће делатности у броју смртних и тешких повреда са смртним исходом</w:t>
      </w:r>
    </w:p>
    <w:p w14:paraId="794DE812" w14:textId="7B3FA553" w:rsidR="004772C2" w:rsidRPr="00203E0A" w:rsidRDefault="004772C2" w:rsidP="00EC5D47">
      <w:pPr>
        <w:spacing w:after="0"/>
        <w:jc w:val="both"/>
        <w:rPr>
          <w:rFonts w:ascii="Times New Roman" w:hAnsi="Times New Roman" w:cs="Times New Roman"/>
          <w:color w:val="000000"/>
          <w:sz w:val="24"/>
          <w:szCs w:val="24"/>
        </w:rPr>
      </w:pPr>
      <w:r>
        <w:rPr>
          <w:noProof/>
          <w:lang w:val="en-US"/>
        </w:rPr>
        <w:drawing>
          <wp:inline distT="0" distB="0" distL="0" distR="0" wp14:anchorId="05733F7A" wp14:editId="4837906C">
            <wp:extent cx="5638800" cy="2457450"/>
            <wp:effectExtent l="0" t="0" r="0" b="0"/>
            <wp:docPr id="1325951466" name="Chart 1">
              <a:extLst xmlns:a="http://schemas.openxmlformats.org/drawingml/2006/main">
                <a:ext uri="{FF2B5EF4-FFF2-40B4-BE49-F238E27FC236}">
                  <a16:creationId xmlns:a16="http://schemas.microsoft.com/office/drawing/2014/main" id="{E2F007B7-9C55-2BD1-71EF-2AF69D7575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B0E34D5" w14:textId="4D40CB82" w:rsidR="00EC5D47" w:rsidRPr="00203E0A" w:rsidRDefault="48A77BA5" w:rsidP="008A160D">
      <w:pPr>
        <w:spacing w:after="150"/>
        <w:jc w:val="both"/>
        <w:rPr>
          <w:rFonts w:ascii="Times New Roman" w:hAnsi="Times New Roman" w:cs="Times New Roman"/>
          <w:color w:val="000000"/>
          <w:sz w:val="24"/>
          <w:szCs w:val="24"/>
        </w:rPr>
      </w:pPr>
      <w:r w:rsidRPr="00203E0A">
        <w:rPr>
          <w:rFonts w:ascii="Times New Roman" w:hAnsi="Times New Roman" w:cs="Times New Roman"/>
          <w:i/>
          <w:iCs/>
          <w:color w:val="000000" w:themeColor="text1"/>
          <w:sz w:val="24"/>
          <w:szCs w:val="24"/>
        </w:rPr>
        <w:t>Извор: Извештаји Инспектората за рад 2018-</w:t>
      </w:r>
      <w:r w:rsidR="002E0BA6" w:rsidRPr="009527B2">
        <w:rPr>
          <w:rFonts w:ascii="Times New Roman" w:hAnsi="Times New Roman" w:cs="Times New Roman"/>
          <w:i/>
          <w:iCs/>
          <w:sz w:val="24"/>
          <w:szCs w:val="24"/>
        </w:rPr>
        <w:t>2023</w:t>
      </w:r>
      <w:r w:rsidRPr="0046670F">
        <w:rPr>
          <w:rFonts w:ascii="Times New Roman" w:hAnsi="Times New Roman" w:cs="Times New Roman"/>
          <w:i/>
          <w:iCs/>
          <w:color w:val="2E74B5" w:themeColor="accent1" w:themeShade="BF"/>
          <w:sz w:val="24"/>
          <w:szCs w:val="24"/>
        </w:rPr>
        <w:t>.</w:t>
      </w:r>
    </w:p>
    <w:p w14:paraId="53BDADC2" w14:textId="2E5C1F11" w:rsidR="00062F8F" w:rsidRPr="003C6E11" w:rsidRDefault="00062F8F" w:rsidP="00DE4C26">
      <w:pPr>
        <w:ind w:firstLine="720"/>
        <w:jc w:val="both"/>
        <w:rPr>
          <w:rFonts w:ascii="Times New Roman" w:hAnsi="Times New Roman" w:cs="Times New Roman"/>
          <w:sz w:val="24"/>
          <w:szCs w:val="24"/>
        </w:rPr>
      </w:pPr>
      <w:r w:rsidRPr="003C6E11">
        <w:rPr>
          <w:rFonts w:ascii="Times New Roman" w:hAnsi="Times New Roman" w:cs="Times New Roman"/>
          <w:sz w:val="24"/>
          <w:szCs w:val="24"/>
        </w:rPr>
        <w:t>У 2023</w:t>
      </w:r>
      <w:r w:rsidR="00ED6F6A" w:rsidRPr="003C6E11">
        <w:rPr>
          <w:rFonts w:ascii="Times New Roman" w:hAnsi="Times New Roman" w:cs="Times New Roman"/>
          <w:sz w:val="24"/>
          <w:szCs w:val="24"/>
          <w:lang w:val="sr-Latn-RS"/>
        </w:rPr>
        <w:t>.</w:t>
      </w:r>
      <w:r w:rsidRPr="003C6E11">
        <w:rPr>
          <w:rFonts w:ascii="Times New Roman" w:hAnsi="Times New Roman" w:cs="Times New Roman"/>
          <w:sz w:val="24"/>
          <w:szCs w:val="24"/>
        </w:rPr>
        <w:t xml:space="preserve"> години, смртне и тешке повреде на раду са смртним исходом, најчешће су се дешавал</w:t>
      </w:r>
      <w:r w:rsidR="00DC0A72" w:rsidRPr="003C6E11">
        <w:rPr>
          <w:rFonts w:ascii="Times New Roman" w:hAnsi="Times New Roman" w:cs="Times New Roman"/>
          <w:sz w:val="24"/>
          <w:szCs w:val="24"/>
        </w:rPr>
        <w:t>е у делатностима: грађевинарство</w:t>
      </w:r>
      <w:r w:rsidRPr="003C6E11">
        <w:rPr>
          <w:rFonts w:ascii="Times New Roman" w:hAnsi="Times New Roman" w:cs="Times New Roman"/>
          <w:sz w:val="24"/>
          <w:szCs w:val="24"/>
        </w:rPr>
        <w:t xml:space="preserve"> (47,5% од укуп</w:t>
      </w:r>
      <w:r w:rsidR="00DC0A72" w:rsidRPr="003C6E11">
        <w:rPr>
          <w:rFonts w:ascii="Times New Roman" w:hAnsi="Times New Roman" w:cs="Times New Roman"/>
          <w:sz w:val="24"/>
          <w:szCs w:val="24"/>
        </w:rPr>
        <w:t>но смртно страдалих), индустрија</w:t>
      </w:r>
      <w:r w:rsidRPr="003C6E11">
        <w:rPr>
          <w:rFonts w:ascii="Times New Roman" w:hAnsi="Times New Roman" w:cs="Times New Roman"/>
          <w:sz w:val="24"/>
          <w:szCs w:val="24"/>
        </w:rPr>
        <w:t xml:space="preserve"> (20%), комунална делатност</w:t>
      </w:r>
      <w:r w:rsidR="00DC0A72" w:rsidRPr="003C6E11">
        <w:rPr>
          <w:rFonts w:ascii="Times New Roman" w:hAnsi="Times New Roman" w:cs="Times New Roman"/>
          <w:sz w:val="24"/>
          <w:szCs w:val="24"/>
        </w:rPr>
        <w:t xml:space="preserve"> и рециклажа (10%), пољопривреда</w:t>
      </w:r>
      <w:r w:rsidR="00FA6966" w:rsidRPr="003C6E11">
        <w:rPr>
          <w:rFonts w:ascii="Times New Roman" w:hAnsi="Times New Roman" w:cs="Times New Roman"/>
          <w:sz w:val="24"/>
          <w:szCs w:val="24"/>
        </w:rPr>
        <w:t xml:space="preserve"> и шумарство</w:t>
      </w:r>
      <w:r w:rsidRPr="003C6E11">
        <w:rPr>
          <w:rFonts w:ascii="Times New Roman" w:hAnsi="Times New Roman" w:cs="Times New Roman"/>
          <w:sz w:val="24"/>
          <w:szCs w:val="24"/>
        </w:rPr>
        <w:t xml:space="preserve"> (5%).</w:t>
      </w:r>
    </w:p>
    <w:p w14:paraId="0B0D9EBB" w14:textId="365242A5" w:rsidR="00EC5D47" w:rsidRPr="00203E0A" w:rsidRDefault="00EC5D47" w:rsidP="00DE4C26">
      <w:pPr>
        <w:ind w:firstLine="720"/>
        <w:jc w:val="both"/>
        <w:rPr>
          <w:rFonts w:ascii="Times New Roman" w:hAnsi="Times New Roman" w:cs="Times New Roman"/>
          <w:color w:val="000000"/>
          <w:sz w:val="24"/>
          <w:szCs w:val="24"/>
        </w:rPr>
      </w:pPr>
      <w:r w:rsidRPr="00203E0A">
        <w:rPr>
          <w:rFonts w:ascii="Times New Roman" w:hAnsi="Times New Roman" w:cs="Times New Roman"/>
          <w:color w:val="000000"/>
          <w:sz w:val="24"/>
          <w:szCs w:val="24"/>
        </w:rPr>
        <w:lastRenderedPageBreak/>
        <w:t xml:space="preserve">Сектор грађевинарства се издваја према свом значају. Процеси изградње су сложени и отворени системи које одликује велики број различитих врста ресурса при чему њихова интеракција као и интеракција система са околином генерише учесталу појаву ризика </w:t>
      </w:r>
      <w:r w:rsidRPr="00203E0A">
        <w:rPr>
          <w:rFonts w:ascii="Times New Roman" w:hAnsi="Times New Roman" w:cs="Times New Roman"/>
          <w:sz w:val="24"/>
          <w:szCs w:val="24"/>
        </w:rPr>
        <w:t xml:space="preserve">по безбедност и здравље на раду са потенцијално великим последицама. Ризици уочени на једном градилишту могу само делимично појавити и на другом у идентичном облику док се преостали ризици морају изнова разматрати. За разлику од осталих индустрија, производ грађевинског процеса је стационаран и најчешће уникатан. Посебан проблем у грађевинарству представљају привремене организационе структуре односно чињеница да се на грађевинским пројектима мењају предузећа која међусобно сарађују као и подизвођачи што отежава имплементацију процедура безбедности и здравља на раду и повећава потребу за комуникацијом између учесника у процесу грађења, консултовањем </w:t>
      </w:r>
      <w:r w:rsidR="00B34CB9">
        <w:rPr>
          <w:rFonts w:ascii="Times New Roman" w:hAnsi="Times New Roman" w:cs="Times New Roman"/>
          <w:sz w:val="24"/>
          <w:szCs w:val="24"/>
        </w:rPr>
        <w:t>запослених</w:t>
      </w:r>
      <w:r w:rsidRPr="00203E0A">
        <w:rPr>
          <w:rFonts w:ascii="Times New Roman" w:hAnsi="Times New Roman" w:cs="Times New Roman"/>
          <w:sz w:val="24"/>
          <w:szCs w:val="24"/>
        </w:rPr>
        <w:t xml:space="preserve">, као </w:t>
      </w:r>
      <w:r w:rsidRPr="00203E0A">
        <w:rPr>
          <w:rFonts w:ascii="Times New Roman" w:hAnsi="Times New Roman" w:cs="Times New Roman"/>
          <w:color w:val="000000"/>
          <w:sz w:val="24"/>
          <w:szCs w:val="24"/>
        </w:rPr>
        <w:t>и потребу за интензивнијим контролама других субјеката од стране главних извођача радова. У студији о безбедности на раду у грађевинском сектору констатовано је да у већини грађевинских фирми не функционишу одбори за безбедност и здравље на раду, тако да послодавци не спроводе процену ризика у складу са релевантним правилником или то чине формално без предузимања потребних корака како би смањили процењени ризик.</w:t>
      </w:r>
      <w:r w:rsidRPr="00203E0A">
        <w:rPr>
          <w:rStyle w:val="FootnoteReference"/>
          <w:rFonts w:ascii="Times New Roman" w:hAnsi="Times New Roman" w:cs="Times New Roman"/>
          <w:color w:val="000000"/>
          <w:sz w:val="24"/>
          <w:szCs w:val="24"/>
        </w:rPr>
        <w:footnoteReference w:id="16"/>
      </w:r>
    </w:p>
    <w:p w14:paraId="248F2D20" w14:textId="2E49B73C" w:rsidR="00EC5D47" w:rsidRPr="00203E0A" w:rsidRDefault="00EC5D47" w:rsidP="005E0A4D">
      <w:pPr>
        <w:pStyle w:val="CommentText"/>
        <w:ind w:firstLine="720"/>
        <w:jc w:val="both"/>
        <w:rPr>
          <w:rFonts w:ascii="Times New Roman" w:hAnsi="Times New Roman" w:cs="Times New Roman"/>
          <w:sz w:val="24"/>
          <w:szCs w:val="24"/>
        </w:rPr>
      </w:pPr>
      <w:r w:rsidRPr="00203E0A">
        <w:rPr>
          <w:rFonts w:ascii="Times New Roman" w:hAnsi="Times New Roman" w:cs="Times New Roman"/>
          <w:color w:val="000000"/>
          <w:sz w:val="24"/>
          <w:szCs w:val="24"/>
        </w:rPr>
        <w:t xml:space="preserve">Истраживањем броја повреда и смртних случајева у оквиру Европске уније утврђено је да са повећањем величине предузећа расте и квалитет безбедности и здравља на </w:t>
      </w:r>
      <w:r w:rsidRPr="00203E0A">
        <w:rPr>
          <w:rFonts w:ascii="Times New Roman" w:hAnsi="Times New Roman" w:cs="Times New Roman"/>
          <w:sz w:val="24"/>
          <w:szCs w:val="24"/>
        </w:rPr>
        <w:t>раду с обзиром да иста располажу већим финансијским средствима за имплемен</w:t>
      </w:r>
      <w:r w:rsidR="005E0A4D" w:rsidRPr="00203E0A">
        <w:rPr>
          <w:rFonts w:ascii="Times New Roman" w:hAnsi="Times New Roman" w:cs="Times New Roman"/>
          <w:sz w:val="24"/>
          <w:szCs w:val="24"/>
        </w:rPr>
        <w:t xml:space="preserve">тирање активних и пасивних мера </w:t>
      </w:r>
      <w:r w:rsidRPr="00203E0A">
        <w:rPr>
          <w:rFonts w:ascii="Times New Roman" w:hAnsi="Times New Roman" w:cs="Times New Roman"/>
          <w:sz w:val="24"/>
          <w:szCs w:val="24"/>
        </w:rPr>
        <w:t xml:space="preserve">и унапређење комплетног </w:t>
      </w:r>
      <w:r w:rsidR="005E0A4D" w:rsidRPr="00203E0A">
        <w:rPr>
          <w:rFonts w:ascii="Times New Roman" w:hAnsi="Times New Roman" w:cs="Times New Roman"/>
          <w:sz w:val="24"/>
          <w:szCs w:val="24"/>
        </w:rPr>
        <w:t xml:space="preserve">система </w:t>
      </w:r>
      <w:r w:rsidRPr="00203E0A">
        <w:rPr>
          <w:rFonts w:ascii="Times New Roman" w:hAnsi="Times New Roman" w:cs="Times New Roman"/>
          <w:sz w:val="24"/>
          <w:szCs w:val="24"/>
        </w:rPr>
        <w:t>безбедности и здравља на раду.</w:t>
      </w:r>
      <w:r w:rsidRPr="00203E0A">
        <w:rPr>
          <w:rStyle w:val="FootnoteReference"/>
          <w:rFonts w:ascii="Times New Roman" w:hAnsi="Times New Roman" w:cs="Times New Roman"/>
          <w:sz w:val="24"/>
          <w:szCs w:val="24"/>
        </w:rPr>
        <w:footnoteReference w:id="17"/>
      </w:r>
      <w:r w:rsidRPr="00203E0A">
        <w:rPr>
          <w:rFonts w:ascii="Times New Roman" w:hAnsi="Times New Roman" w:cs="Times New Roman"/>
          <w:sz w:val="24"/>
          <w:szCs w:val="24"/>
        </w:rPr>
        <w:t xml:space="preserve"> Међутим, највећи удео у структури грађевинских предузећа Србије имају микро и мала предузећа. Уколико се анализирају Извештаји о раду Инспектората за рад Републике Србије могуће је уочити да је највише смртних повреда на раду у сектору грађевинарства забележено код послодаваца који се карактеришу као микро односно имају од 1 до 9 запослених. У периоду од 2019</w:t>
      </w:r>
      <w:r w:rsidR="002F327B">
        <w:rPr>
          <w:rFonts w:ascii="Times New Roman" w:hAnsi="Times New Roman" w:cs="Times New Roman"/>
          <w:sz w:val="24"/>
          <w:szCs w:val="24"/>
          <w:lang w:val="sr-Latn-RS"/>
        </w:rPr>
        <w:t>.</w:t>
      </w:r>
      <w:r w:rsidRPr="00203E0A">
        <w:rPr>
          <w:rFonts w:ascii="Times New Roman" w:hAnsi="Times New Roman" w:cs="Times New Roman"/>
          <w:sz w:val="24"/>
          <w:szCs w:val="24"/>
        </w:rPr>
        <w:t xml:space="preserve"> до 2021. године у овим предузећима је смртно страдало 18 лица од 47 забележених.</w:t>
      </w:r>
    </w:p>
    <w:p w14:paraId="586A6949" w14:textId="7AF02903" w:rsidR="007F3EC4" w:rsidRPr="00203E0A" w:rsidRDefault="48A77BA5" w:rsidP="005C64DC">
      <w:pPr>
        <w:ind w:firstLine="720"/>
        <w:jc w:val="both"/>
        <w:rPr>
          <w:rFonts w:ascii="Times New Roman" w:hAnsi="Times New Roman" w:cs="Times New Roman"/>
          <w:color w:val="000000"/>
          <w:sz w:val="24"/>
          <w:szCs w:val="24"/>
        </w:rPr>
      </w:pPr>
      <w:r w:rsidRPr="00203E0A">
        <w:rPr>
          <w:rFonts w:ascii="Times New Roman" w:hAnsi="Times New Roman" w:cs="Times New Roman"/>
          <w:sz w:val="24"/>
          <w:szCs w:val="24"/>
        </w:rPr>
        <w:t xml:space="preserve">Предузећа која се класификују </w:t>
      </w:r>
      <w:r w:rsidRPr="00203E0A">
        <w:rPr>
          <w:rFonts w:ascii="Times New Roman" w:hAnsi="Times New Roman" w:cs="Times New Roman"/>
          <w:color w:val="000000" w:themeColor="text1"/>
          <w:sz w:val="24"/>
          <w:szCs w:val="24"/>
        </w:rPr>
        <w:t xml:space="preserve">као велика, тј. предузећа која су више од 25 пута већа по броју запослених у односу на микро предузећа, бележе 5 пута мањи број </w:t>
      </w:r>
      <w:r w:rsidR="002D4787">
        <w:rPr>
          <w:rFonts w:ascii="Times New Roman" w:hAnsi="Times New Roman" w:cs="Times New Roman"/>
          <w:color w:val="000000" w:themeColor="text1"/>
          <w:sz w:val="24"/>
          <w:szCs w:val="24"/>
        </w:rPr>
        <w:t xml:space="preserve">повреда, што указује на потребу </w:t>
      </w:r>
      <w:r w:rsidRPr="00203E0A">
        <w:rPr>
          <w:rFonts w:ascii="Times New Roman" w:hAnsi="Times New Roman" w:cs="Times New Roman"/>
          <w:color w:val="000000" w:themeColor="text1"/>
          <w:sz w:val="24"/>
          <w:szCs w:val="24"/>
        </w:rPr>
        <w:t>да се формира системска подршка за микро и мала предузећа у оквиру грађевинске индустрије, али и за друге секторе привреде.</w:t>
      </w:r>
      <w:bookmarkStart w:id="14" w:name="_Toc126746522"/>
    </w:p>
    <w:p w14:paraId="089B35C3" w14:textId="78B542DA" w:rsidR="00EC5D47" w:rsidRPr="00203E0A" w:rsidRDefault="48A77BA5" w:rsidP="48A77BA5">
      <w:pPr>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3.1.2. Анализа повреда на раду према узроцима</w:t>
      </w:r>
      <w:bookmarkEnd w:id="14"/>
    </w:p>
    <w:p w14:paraId="456A26F2" w14:textId="754BDCB8" w:rsidR="00EC5D47" w:rsidRPr="00203E0A" w:rsidRDefault="48A77BA5" w:rsidP="005E0A4D">
      <w:pPr>
        <w:spacing w:line="256" w:lineRule="auto"/>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Инспекцијским надзорима у области безбедности и здравља на раду, утврђено је да послодавци у </w:t>
      </w:r>
      <w:r w:rsidRPr="00203E0A">
        <w:rPr>
          <w:rFonts w:ascii="Times New Roman" w:hAnsi="Times New Roman" w:cs="Times New Roman"/>
          <w:sz w:val="24"/>
          <w:szCs w:val="24"/>
        </w:rPr>
        <w:t xml:space="preserve">потпуности не спроводе одредбе Закона о безбедности и здрављу на раду и подзаконских прописа. Анализом извештаја Инспектората за рад </w:t>
      </w:r>
      <w:r w:rsidR="00E9198F" w:rsidRPr="00203E0A">
        <w:rPr>
          <w:rFonts w:ascii="Times New Roman" w:hAnsi="Times New Roman" w:cs="Times New Roman"/>
          <w:sz w:val="24"/>
          <w:szCs w:val="24"/>
        </w:rPr>
        <w:t>(за 2018, 2019, 2020, 2021</w:t>
      </w:r>
      <w:r w:rsidR="00860E8D">
        <w:rPr>
          <w:rFonts w:ascii="Times New Roman" w:hAnsi="Times New Roman" w:cs="Times New Roman"/>
          <w:sz w:val="24"/>
          <w:szCs w:val="24"/>
        </w:rPr>
        <w:t>,</w:t>
      </w:r>
      <w:r w:rsidR="00E9198F" w:rsidRPr="00203E0A">
        <w:rPr>
          <w:rFonts w:ascii="Times New Roman" w:hAnsi="Times New Roman" w:cs="Times New Roman"/>
          <w:sz w:val="24"/>
          <w:szCs w:val="24"/>
        </w:rPr>
        <w:t xml:space="preserve"> 2022. </w:t>
      </w:r>
      <w:r w:rsidR="00860E8D">
        <w:rPr>
          <w:rFonts w:ascii="Times New Roman" w:hAnsi="Times New Roman" w:cs="Times New Roman"/>
          <w:sz w:val="24"/>
          <w:szCs w:val="24"/>
        </w:rPr>
        <w:t xml:space="preserve">и 2023. </w:t>
      </w:r>
      <w:r w:rsidR="00E9198F" w:rsidRPr="00203E0A">
        <w:rPr>
          <w:rFonts w:ascii="Times New Roman" w:hAnsi="Times New Roman" w:cs="Times New Roman"/>
          <w:sz w:val="24"/>
          <w:szCs w:val="24"/>
        </w:rPr>
        <w:t>годину)</w:t>
      </w:r>
      <w:r w:rsidRPr="00203E0A">
        <w:rPr>
          <w:rFonts w:ascii="Times New Roman" w:hAnsi="Times New Roman" w:cs="Times New Roman"/>
          <w:sz w:val="24"/>
          <w:szCs w:val="24"/>
        </w:rPr>
        <w:t xml:space="preserve">, неколико узрока и околности најчешће је проузроковало повреде са смртним последицама: 1) небезбедан рад на висини и на непрописно монтираним скелама; 2) некоришћење прописаних средстава и опреме за личну заштиту на раду првенствено рад без заштитног шлема и заштитног опасача; 3) рад у непрописно обезбеђеним ископима; 4) не примењивање основних начела организације извођења радова; 5) одступање од прописаног и утврђеног процеса рада; 6) непрописна сарадња (координација) учесника у раду; 7) непрописан рад са опремом за </w:t>
      </w:r>
      <w:r w:rsidRPr="00203E0A">
        <w:rPr>
          <w:rFonts w:ascii="Times New Roman" w:hAnsi="Times New Roman" w:cs="Times New Roman"/>
          <w:sz w:val="24"/>
          <w:szCs w:val="24"/>
        </w:rPr>
        <w:lastRenderedPageBreak/>
        <w:t>рад; 8) неоспособљеност ангажованих на раду за безбедан рад; 9) непотпуно спровођење мера безбедности и здравља на раду на местима рада; 10) ангажовање знатног броја необучених лица која раде на „црно”.</w:t>
      </w:r>
    </w:p>
    <w:p w14:paraId="6951A785" w14:textId="3A54229A" w:rsidR="005E0A4D" w:rsidRDefault="48A77BA5" w:rsidP="00AA0507">
      <w:pPr>
        <w:ind w:firstLine="720"/>
        <w:jc w:val="both"/>
        <w:rPr>
          <w:rFonts w:ascii="Times New Roman" w:hAnsi="Times New Roman" w:cs="Times New Roman"/>
          <w:color w:val="000000" w:themeColor="text1"/>
          <w:sz w:val="24"/>
          <w:szCs w:val="24"/>
        </w:rPr>
      </w:pPr>
      <w:r w:rsidRPr="00203E0A">
        <w:rPr>
          <w:rFonts w:ascii="Times New Roman" w:hAnsi="Times New Roman" w:cs="Times New Roman"/>
          <w:sz w:val="24"/>
          <w:szCs w:val="24"/>
        </w:rPr>
        <w:t xml:space="preserve">Најчешћи узроци повреда представљају; ломљење, пуцање, раздвајање, клизање, пад лица и пад материјала или предмета; губитак контроле над машином, превозним средством или при руковању опремом, ручним алатом, предметом и животињом и клизање, спотицање и пад лица. Посебно су угрожена занимања грађевински радници </w:t>
      </w:r>
      <w:r w:rsidR="00821B0D">
        <w:rPr>
          <w:rFonts w:ascii="Times New Roman" w:hAnsi="Times New Roman" w:cs="Times New Roman"/>
          <w:color w:val="000000" w:themeColor="text1"/>
          <w:sz w:val="24"/>
          <w:szCs w:val="24"/>
        </w:rPr>
        <w:t xml:space="preserve">различитих профила – </w:t>
      </w:r>
      <w:r w:rsidRPr="00203E0A">
        <w:rPr>
          <w:rFonts w:ascii="Times New Roman" w:hAnsi="Times New Roman" w:cs="Times New Roman"/>
          <w:color w:val="000000" w:themeColor="text1"/>
          <w:sz w:val="24"/>
          <w:szCs w:val="24"/>
        </w:rPr>
        <w:t>НК радници, армирачи, тесари, зидари, возачи (аутовиљушк</w:t>
      </w:r>
      <w:r w:rsidR="00C355CD">
        <w:rPr>
          <w:rFonts w:ascii="Times New Roman" w:hAnsi="Times New Roman" w:cs="Times New Roman"/>
          <w:color w:val="000000" w:themeColor="text1"/>
          <w:sz w:val="24"/>
          <w:szCs w:val="24"/>
        </w:rPr>
        <w:t xml:space="preserve">ара, теретних моторних возила), </w:t>
      </w:r>
      <w:r w:rsidRPr="00203E0A">
        <w:rPr>
          <w:rFonts w:ascii="Times New Roman" w:hAnsi="Times New Roman" w:cs="Times New Roman"/>
          <w:color w:val="000000" w:themeColor="text1"/>
          <w:sz w:val="24"/>
          <w:szCs w:val="24"/>
        </w:rPr>
        <w:t>аутомеханичари, помоћни ра</w:t>
      </w:r>
      <w:r w:rsidR="00821B0D">
        <w:rPr>
          <w:rFonts w:ascii="Times New Roman" w:hAnsi="Times New Roman" w:cs="Times New Roman"/>
          <w:color w:val="000000" w:themeColor="text1"/>
          <w:sz w:val="24"/>
          <w:szCs w:val="24"/>
        </w:rPr>
        <w:t>дници, електромонтери, бравари –</w:t>
      </w:r>
      <w:r w:rsidRPr="00203E0A">
        <w:rPr>
          <w:rFonts w:ascii="Times New Roman" w:hAnsi="Times New Roman" w:cs="Times New Roman"/>
          <w:color w:val="000000" w:themeColor="text1"/>
          <w:sz w:val="24"/>
          <w:szCs w:val="24"/>
        </w:rPr>
        <w:t xml:space="preserve"> заваривачи и рукова</w:t>
      </w:r>
      <w:r w:rsidR="00821B0D">
        <w:rPr>
          <w:rFonts w:ascii="Times New Roman" w:hAnsi="Times New Roman" w:cs="Times New Roman"/>
          <w:color w:val="000000" w:themeColor="text1"/>
          <w:sz w:val="24"/>
          <w:szCs w:val="24"/>
        </w:rPr>
        <w:t>оци дизалицама –</w:t>
      </w:r>
      <w:r w:rsidRPr="00203E0A">
        <w:rPr>
          <w:rFonts w:ascii="Times New Roman" w:hAnsi="Times New Roman" w:cs="Times New Roman"/>
          <w:color w:val="000000" w:themeColor="text1"/>
          <w:sz w:val="24"/>
          <w:szCs w:val="24"/>
        </w:rPr>
        <w:t xml:space="preserve"> крановима.</w:t>
      </w:r>
      <w:bookmarkStart w:id="15" w:name="_Toc126746523"/>
    </w:p>
    <w:p w14:paraId="1D3D3FA8" w14:textId="18224FAA" w:rsidR="00090D70" w:rsidRPr="005D4335" w:rsidRDefault="00090D70" w:rsidP="00090D70">
      <w:pPr>
        <w:pStyle w:val="CommentText"/>
        <w:ind w:firstLine="720"/>
        <w:jc w:val="both"/>
        <w:rPr>
          <w:rFonts w:ascii="Times New Roman" w:hAnsi="Times New Roman" w:cs="Times New Roman"/>
          <w:color w:val="000000" w:themeColor="text1"/>
          <w:sz w:val="24"/>
          <w:szCs w:val="24"/>
        </w:rPr>
      </w:pPr>
      <w:r w:rsidRPr="005D4335">
        <w:rPr>
          <w:rFonts w:ascii="Times New Roman" w:hAnsi="Times New Roman" w:cs="Times New Roman"/>
          <w:bCs/>
          <w:color w:val="000000" w:themeColor="text1"/>
          <w:sz w:val="24"/>
          <w:szCs w:val="24"/>
        </w:rPr>
        <w:t xml:space="preserve">Примера ради у </w:t>
      </w:r>
      <w:r w:rsidRPr="005D4335">
        <w:rPr>
          <w:rFonts w:ascii="Times New Roman" w:hAnsi="Times New Roman" w:cs="Times New Roman"/>
          <w:bCs/>
          <w:color w:val="000000" w:themeColor="text1"/>
          <w:sz w:val="24"/>
          <w:szCs w:val="24"/>
          <w:lang w:val="sr-Cyrl-CS"/>
        </w:rPr>
        <w:t xml:space="preserve">Извештају о раду Инспектората за рад за 2022. годину, у делу под називом: Анализа смртних и тешких повреда  на раду са смртним исходом </w:t>
      </w:r>
      <w:r w:rsidRPr="005D4335">
        <w:rPr>
          <w:rFonts w:ascii="Times New Roman" w:hAnsi="Times New Roman" w:cs="Times New Roman"/>
          <w:color w:val="000000" w:themeColor="text1"/>
          <w:sz w:val="24"/>
          <w:szCs w:val="24"/>
        </w:rPr>
        <w:t xml:space="preserve">које су се догодиле током 2022. године, дати су графички прикази смртних и тешких повреда на раду са смртним исходом по узроку повређивања, по извору </w:t>
      </w:r>
      <w:r w:rsidR="006F1BEE">
        <w:rPr>
          <w:rFonts w:ascii="Times New Roman" w:hAnsi="Times New Roman" w:cs="Times New Roman"/>
          <w:color w:val="000000" w:themeColor="text1"/>
          <w:sz w:val="24"/>
          <w:szCs w:val="24"/>
        </w:rPr>
        <w:t>и по контакту –</w:t>
      </w:r>
      <w:r w:rsidR="006F1BEE">
        <w:rPr>
          <w:rFonts w:ascii="Times New Roman" w:hAnsi="Times New Roman" w:cs="Times New Roman"/>
          <w:color w:val="000000" w:themeColor="text1"/>
          <w:sz w:val="24"/>
          <w:szCs w:val="24"/>
          <w:lang w:val="sr-Latn-RS"/>
        </w:rPr>
        <w:t xml:space="preserve"> </w:t>
      </w:r>
      <w:r w:rsidRPr="005D4335">
        <w:rPr>
          <w:rFonts w:ascii="Times New Roman" w:hAnsi="Times New Roman" w:cs="Times New Roman"/>
          <w:color w:val="000000" w:themeColor="text1"/>
          <w:sz w:val="24"/>
          <w:szCs w:val="24"/>
        </w:rPr>
        <w:t>начину повређивања за укупно 47 смртних и тешких повреда на раду са смртним исходом које су се догодиле у 2022.</w:t>
      </w:r>
      <w:r w:rsidR="00974DD9" w:rsidRPr="005D4335">
        <w:rPr>
          <w:rFonts w:ascii="Times New Roman" w:hAnsi="Times New Roman" w:cs="Times New Roman"/>
          <w:color w:val="000000" w:themeColor="text1"/>
          <w:sz w:val="24"/>
          <w:szCs w:val="24"/>
        </w:rPr>
        <w:t xml:space="preserve"> </w:t>
      </w:r>
      <w:r w:rsidRPr="005D4335">
        <w:rPr>
          <w:rFonts w:ascii="Times New Roman" w:hAnsi="Times New Roman" w:cs="Times New Roman"/>
          <w:color w:val="000000" w:themeColor="text1"/>
          <w:sz w:val="24"/>
          <w:szCs w:val="24"/>
        </w:rPr>
        <w:t xml:space="preserve">години. </w:t>
      </w:r>
    </w:p>
    <w:p w14:paraId="3798730E" w14:textId="77D8C7F7" w:rsidR="00090D70" w:rsidRPr="00A64CDC" w:rsidRDefault="00090D70" w:rsidP="00A64CDC">
      <w:pPr>
        <w:pStyle w:val="CommentText"/>
        <w:ind w:firstLine="720"/>
        <w:jc w:val="both"/>
        <w:rPr>
          <w:rFonts w:ascii="Times New Roman" w:hAnsi="Times New Roman" w:cs="Times New Roman"/>
          <w:bCs/>
          <w:color w:val="000000" w:themeColor="text1"/>
          <w:sz w:val="24"/>
          <w:szCs w:val="24"/>
        </w:rPr>
      </w:pPr>
      <w:r w:rsidRPr="005D4335">
        <w:rPr>
          <w:rFonts w:ascii="Times New Roman" w:hAnsi="Times New Roman" w:cs="Times New Roman"/>
          <w:bCs/>
          <w:color w:val="000000" w:themeColor="text1"/>
          <w:sz w:val="24"/>
          <w:szCs w:val="24"/>
        </w:rPr>
        <w:t>Извештаји о раду Инспектората за рад за 2018, 2019, 2020, 2021, 2022. и 2023. годину су објављени на сајту Министарства за рад, запошљав</w:t>
      </w:r>
      <w:r w:rsidR="00167AFD">
        <w:rPr>
          <w:rFonts w:ascii="Times New Roman" w:hAnsi="Times New Roman" w:cs="Times New Roman"/>
          <w:bCs/>
          <w:color w:val="000000" w:themeColor="text1"/>
          <w:sz w:val="24"/>
          <w:szCs w:val="24"/>
        </w:rPr>
        <w:t xml:space="preserve">ање, борачка и социјална питања </w:t>
      </w:r>
      <w:r w:rsidR="00167AFD">
        <w:rPr>
          <w:rFonts w:ascii="Times New Roman" w:hAnsi="Times New Roman" w:cs="Times New Roman"/>
          <w:color w:val="000000" w:themeColor="text1"/>
          <w:sz w:val="24"/>
          <w:szCs w:val="24"/>
        </w:rPr>
        <w:t>–</w:t>
      </w:r>
      <w:r w:rsidR="00167AFD">
        <w:rPr>
          <w:rFonts w:ascii="Times New Roman" w:hAnsi="Times New Roman" w:cs="Times New Roman"/>
          <w:color w:val="000000" w:themeColor="text1"/>
          <w:sz w:val="24"/>
          <w:szCs w:val="24"/>
          <w:lang w:val="sr-Latn-RS"/>
        </w:rPr>
        <w:t xml:space="preserve"> </w:t>
      </w:r>
      <w:r w:rsidRPr="005D4335">
        <w:rPr>
          <w:rFonts w:ascii="Times New Roman" w:hAnsi="Times New Roman" w:cs="Times New Roman"/>
          <w:bCs/>
          <w:color w:val="000000" w:themeColor="text1"/>
          <w:sz w:val="24"/>
          <w:szCs w:val="24"/>
        </w:rPr>
        <w:t>линк за приступ: https://www.minrzs.gov.rs/sr/dokumenti/ostalo?page=9.</w:t>
      </w:r>
    </w:p>
    <w:p w14:paraId="00B4C5C5" w14:textId="41DA2887" w:rsidR="00EC5D47" w:rsidRPr="00203E0A" w:rsidRDefault="48A77BA5" w:rsidP="48A77BA5">
      <w:pPr>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3.1.3. Анализа повреда на раду према карактеристикама запослених</w:t>
      </w:r>
      <w:bookmarkEnd w:id="15"/>
    </w:p>
    <w:p w14:paraId="3CFD7254" w14:textId="29A815E7" w:rsidR="00BE6C77" w:rsidRPr="00203E0A" w:rsidRDefault="48A77BA5" w:rsidP="005C64DC">
      <w:pPr>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Како Инспекторат за рад Републике Србије наводи у својим Извештајима о раду</w:t>
      </w:r>
      <w:r w:rsidRPr="00203E0A">
        <w:rPr>
          <w:rFonts w:ascii="Times New Roman" w:hAnsi="Times New Roman" w:cs="Times New Roman"/>
          <w:sz w:val="24"/>
          <w:szCs w:val="24"/>
        </w:rPr>
        <w:t xml:space="preserve"> за  период од 2018</w:t>
      </w:r>
      <w:r w:rsidR="00717223">
        <w:rPr>
          <w:rFonts w:ascii="Times New Roman" w:hAnsi="Times New Roman" w:cs="Times New Roman"/>
          <w:sz w:val="24"/>
          <w:szCs w:val="24"/>
          <w:lang w:val="sr-Latn-RS"/>
        </w:rPr>
        <w:t>.</w:t>
      </w:r>
      <w:r w:rsidRPr="00203E0A">
        <w:rPr>
          <w:rFonts w:ascii="Times New Roman" w:hAnsi="Times New Roman" w:cs="Times New Roman"/>
          <w:sz w:val="24"/>
          <w:szCs w:val="24"/>
        </w:rPr>
        <w:t xml:space="preserve"> до 2022. године приликом вршења инспекцијског надзора, инспектори рада на раду „на црно” најчешће затичу </w:t>
      </w:r>
      <w:r w:rsidRPr="00203E0A">
        <w:rPr>
          <w:rFonts w:ascii="Times New Roman" w:hAnsi="Times New Roman" w:cs="Times New Roman"/>
          <w:color w:val="000000" w:themeColor="text1"/>
          <w:sz w:val="24"/>
          <w:szCs w:val="24"/>
        </w:rPr>
        <w:t>младе, пре свега неквалификоване раднике, најчешће до средњег нивоа стручне спреме, запослене без редовних зарада и запослене преко 40 година живота, као и примаоце новчаних накнада, социјалне помоћи и сл. Иако су послови које ова лица обављају најчешће високоризични, у пракси их је тешко идентификовати, јер због страха запослених од губитка и таквог посла, између запослених и послодавца постоји сагласност да се у тренутку инспекцијског надзора избегне легализовање тог односа. То је нарочито присутно у грађевинарству и сезонским пословима у делатности пољопривреде, као и у угоститељској, трговинској и занатској делатности. Надаље, Инспекторат за рад бележи повећање броја радно ангажованих „на црно</w:t>
      </w:r>
      <w:r w:rsidRPr="00203E0A">
        <w:rPr>
          <w:rFonts w:ascii="Times New Roman" w:hAnsi="Times New Roman" w:cs="Times New Roman"/>
          <w:sz w:val="24"/>
          <w:szCs w:val="24"/>
        </w:rPr>
        <w:t>”</w:t>
      </w:r>
      <w:r w:rsidRPr="00203E0A">
        <w:rPr>
          <w:rFonts w:ascii="Times New Roman" w:hAnsi="Times New Roman" w:cs="Times New Roman"/>
          <w:color w:val="000000" w:themeColor="text1"/>
          <w:sz w:val="24"/>
          <w:szCs w:val="24"/>
        </w:rPr>
        <w:t xml:space="preserve"> у истим периодима сваке године,  нарочито карактеристично за угоститељство и грађевинарство. Раду ,,на црно” у делатности грађевинарства погодује велика флуктуација радне снаге, често премештање са једног градилишта на друго и кратко време ангажованих лица које проводе на једном радном месту, док не обаве неки посао. Број </w:t>
      </w:r>
      <w:r w:rsidRPr="00203E0A">
        <w:rPr>
          <w:rFonts w:ascii="Times New Roman" w:hAnsi="Times New Roman" w:cs="Times New Roman"/>
          <w:sz w:val="24"/>
          <w:szCs w:val="24"/>
        </w:rPr>
        <w:t xml:space="preserve">ангажованих „на црно” у грађевинарству нагло се повећава пред крај грађевинске сезоне, због тежње послодаваца да испуне задате рокове и што већи број послова заврше у текућој сезони. У 2020. и 2021. години </w:t>
      </w:r>
      <w:r w:rsidRPr="00203E0A">
        <w:rPr>
          <w:rFonts w:ascii="Times New Roman" w:hAnsi="Times New Roman" w:cs="Times New Roman"/>
          <w:color w:val="000000" w:themeColor="text1"/>
          <w:sz w:val="24"/>
          <w:szCs w:val="24"/>
        </w:rPr>
        <w:t>забележено је 68 и 55 нерегистрованих субјеката у сектору грађевинарства што упућује на чињеницу да је сектор грађевинарства и даље подложан формирању нелегалних правних субјеката за вршење делатности који даље генеришу „рад на црно”.</w:t>
      </w:r>
    </w:p>
    <w:p w14:paraId="3B776277" w14:textId="0CA693CE" w:rsidR="00EC5D47" w:rsidRPr="00203E0A" w:rsidRDefault="005E0A4D" w:rsidP="005E0A4D">
      <w:pPr>
        <w:ind w:firstLine="720"/>
        <w:jc w:val="both"/>
        <w:rPr>
          <w:rFonts w:ascii="Times New Roman" w:hAnsi="Times New Roman" w:cs="Times New Roman"/>
          <w:sz w:val="24"/>
          <w:szCs w:val="24"/>
        </w:rPr>
      </w:pPr>
      <w:bookmarkStart w:id="16" w:name="_Toc126746524"/>
      <w:r w:rsidRPr="00203E0A">
        <w:rPr>
          <w:rFonts w:ascii="Times New Roman" w:hAnsi="Times New Roman" w:cs="Times New Roman"/>
          <w:b/>
          <w:bCs/>
          <w:sz w:val="24"/>
          <w:szCs w:val="24"/>
        </w:rPr>
        <w:lastRenderedPageBreak/>
        <w:t xml:space="preserve">3.2. </w:t>
      </w:r>
      <w:r w:rsidR="00EC5D47" w:rsidRPr="00203E0A">
        <w:rPr>
          <w:rFonts w:ascii="Times New Roman" w:hAnsi="Times New Roman" w:cs="Times New Roman"/>
          <w:b/>
          <w:bCs/>
          <w:sz w:val="24"/>
          <w:szCs w:val="24"/>
        </w:rPr>
        <w:t>Анализа професионалних болести</w:t>
      </w:r>
      <w:r w:rsidR="00EC5D47" w:rsidRPr="00203E0A">
        <w:rPr>
          <w:rStyle w:val="FootnoteReference"/>
          <w:rFonts w:ascii="Times New Roman" w:hAnsi="Times New Roman" w:cs="Times New Roman"/>
          <w:sz w:val="24"/>
          <w:szCs w:val="24"/>
        </w:rPr>
        <w:t xml:space="preserve"> </w:t>
      </w:r>
      <w:r w:rsidR="00EC5D47" w:rsidRPr="00203E0A">
        <w:rPr>
          <w:rStyle w:val="FootnoteReference"/>
          <w:rFonts w:ascii="Times New Roman" w:hAnsi="Times New Roman" w:cs="Times New Roman"/>
          <w:sz w:val="24"/>
          <w:szCs w:val="24"/>
        </w:rPr>
        <w:footnoteReference w:id="18"/>
      </w:r>
      <w:bookmarkEnd w:id="16"/>
      <w:r w:rsidR="00EC5D47" w:rsidRPr="00203E0A">
        <w:rPr>
          <w:rFonts w:ascii="Times New Roman" w:hAnsi="Times New Roman" w:cs="Times New Roman"/>
          <w:strike/>
          <w:sz w:val="24"/>
          <w:szCs w:val="24"/>
        </w:rPr>
        <w:t xml:space="preserve"> </w:t>
      </w:r>
    </w:p>
    <w:p w14:paraId="6E093972" w14:textId="4A67C762" w:rsidR="00EC5D47" w:rsidRPr="00203E0A" w:rsidRDefault="00EC5D47" w:rsidP="005E0A4D">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sz w:val="24"/>
          <w:szCs w:val="24"/>
        </w:rPr>
        <w:t xml:space="preserve">У Републици Србији професионална обољења остају неевидентирана. У протеклом периоду и даље се не поштују законске обавезе о појединачном </w:t>
      </w:r>
      <w:r w:rsidRPr="00203E0A">
        <w:rPr>
          <w:rFonts w:ascii="Times New Roman" w:hAnsi="Times New Roman" w:cs="Times New Roman"/>
          <w:sz w:val="24"/>
          <w:szCs w:val="24"/>
        </w:rPr>
        <w:t>пријављивању и регистровању професионалних болести, као и да се многе професионалне болести и не третирају као такв</w:t>
      </w:r>
      <w:r w:rsidR="00C33468">
        <w:rPr>
          <w:rFonts w:ascii="Times New Roman" w:hAnsi="Times New Roman" w:cs="Times New Roman"/>
          <w:sz w:val="24"/>
          <w:szCs w:val="24"/>
        </w:rPr>
        <w:t>е</w:t>
      </w:r>
      <w:r w:rsidRPr="00203E0A">
        <w:rPr>
          <w:rFonts w:ascii="Times New Roman" w:hAnsi="Times New Roman" w:cs="Times New Roman"/>
          <w:sz w:val="24"/>
          <w:szCs w:val="24"/>
        </w:rPr>
        <w:t xml:space="preserve"> због непрепознавања везе болести и услова рада. Уколико се ове болести и пријављују, то се чини спорадично, несистематски, непотпуно и неадекватно, па су подаци и евиденција о њима веома непотпуни. Број утврђених професионалних болести на основу броја запослених је далеко испод очекиваног. У упоредној пракси земље у којима је развијена служба медицине рада имају далеко већи број утврђених професионалних болести.</w:t>
      </w:r>
      <w:r w:rsidRPr="00203E0A">
        <w:rPr>
          <w:rStyle w:val="FootnoteReference"/>
          <w:rFonts w:ascii="Times New Roman" w:hAnsi="Times New Roman" w:cs="Times New Roman"/>
          <w:sz w:val="24"/>
          <w:szCs w:val="24"/>
        </w:rPr>
        <w:footnoteReference w:id="19"/>
      </w:r>
    </w:p>
    <w:p w14:paraId="72EDB436" w14:textId="640541F0" w:rsidR="00EC5D47" w:rsidRPr="00203E0A" w:rsidRDefault="48A77BA5" w:rsidP="004A5DE6">
      <w:pPr>
        <w:spacing w:after="150"/>
        <w:ind w:firstLine="720"/>
        <w:jc w:val="both"/>
        <w:rPr>
          <w:rFonts w:ascii="Times New Roman" w:hAnsi="Times New Roman" w:cs="Times New Roman"/>
          <w:color w:val="FF0000"/>
          <w:sz w:val="24"/>
          <w:szCs w:val="24"/>
        </w:rPr>
      </w:pPr>
      <w:r w:rsidRPr="00203E0A">
        <w:rPr>
          <w:rFonts w:ascii="Times New Roman" w:hAnsi="Times New Roman" w:cs="Times New Roman"/>
          <w:sz w:val="24"/>
          <w:szCs w:val="24"/>
        </w:rPr>
        <w:t>На основу података Института за медицину рада Србије „Др Драгомир Карајовић” о професионалним болестима у Србији у периоду од 2013. до 2021. године постоји тренд пада</w:t>
      </w:r>
      <w:r w:rsidRPr="007064F5">
        <w:rPr>
          <w:rFonts w:ascii="Times New Roman" w:hAnsi="Times New Roman" w:cs="Times New Roman"/>
          <w:sz w:val="24"/>
          <w:szCs w:val="24"/>
        </w:rPr>
        <w:t>,</w:t>
      </w:r>
      <w:r w:rsidRPr="00203E0A">
        <w:rPr>
          <w:rFonts w:ascii="Times New Roman" w:hAnsi="Times New Roman" w:cs="Times New Roman"/>
          <w:sz w:val="24"/>
          <w:szCs w:val="24"/>
        </w:rPr>
        <w:t xml:space="preserve"> који је далеко израженији ако се узме у обзир и период који обухвата две деценије. </w:t>
      </w:r>
      <w:r w:rsidRPr="00203E0A">
        <w:rPr>
          <w:rFonts w:ascii="Times New Roman" w:hAnsi="Times New Roman" w:cs="Times New Roman"/>
          <w:color w:val="000000" w:themeColor="text1"/>
          <w:sz w:val="24"/>
          <w:szCs w:val="24"/>
        </w:rPr>
        <w:t xml:space="preserve">С друге стране, у посматраном периоду дошло је до пораста запослености, као и раста привредне активности, те је пад могуће објаснити само непрепознавањем и непријављивањем професионалних болести. То потврђују и подаци Управе за безбедност и здравље </w:t>
      </w:r>
      <w:r w:rsidRPr="00203E0A">
        <w:rPr>
          <w:rFonts w:ascii="Times New Roman" w:hAnsi="Times New Roman" w:cs="Times New Roman"/>
          <w:sz w:val="24"/>
          <w:szCs w:val="24"/>
        </w:rPr>
        <w:t>на раду.</w:t>
      </w:r>
    </w:p>
    <w:p w14:paraId="242767BE" w14:textId="13E2A364" w:rsidR="00EC5D47" w:rsidRPr="00203E0A" w:rsidRDefault="48A77BA5" w:rsidP="005E0A4D">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Проблем је изражен иако је Законом o безбедности и здрављу на раду за непријављивање у овим случајевима била запрећена висока казна (од 800.000 до 1.000.000 динара) односно утврђена обавеза </w:t>
      </w:r>
      <w:r w:rsidRPr="00552C38">
        <w:rPr>
          <w:rFonts w:ascii="Times New Roman" w:hAnsi="Times New Roman" w:cs="Times New Roman"/>
          <w:sz w:val="24"/>
          <w:szCs w:val="24"/>
        </w:rPr>
        <w:t xml:space="preserve">послодавца да најкасније у року од три узастопна радна дана од дана сазнања, пријави </w:t>
      </w:r>
      <w:r w:rsidRPr="00203E0A">
        <w:rPr>
          <w:rFonts w:ascii="Times New Roman" w:hAnsi="Times New Roman" w:cs="Times New Roman"/>
          <w:color w:val="000000" w:themeColor="text1"/>
          <w:sz w:val="24"/>
          <w:szCs w:val="24"/>
        </w:rPr>
        <w:t xml:space="preserve">надлежној инспекцији рада професионално обољење, односно обољење у вези са радом запосленог. Према подацима, којима располаже Инспекторат за рад, у 2021. години надлежној инспекцији рада послодавци нису пријавили </w:t>
      </w:r>
      <w:r w:rsidR="00581E3A" w:rsidRPr="00203E0A">
        <w:rPr>
          <w:rFonts w:ascii="Times New Roman" w:hAnsi="Times New Roman" w:cs="Times New Roman"/>
          <w:color w:val="000000" w:themeColor="text1"/>
          <w:sz w:val="24"/>
          <w:szCs w:val="24"/>
        </w:rPr>
        <w:t>ниједну професионалу болест</w:t>
      </w:r>
      <w:r w:rsidRPr="00203E0A">
        <w:rPr>
          <w:rFonts w:ascii="Times New Roman" w:hAnsi="Times New Roman" w:cs="Times New Roman"/>
          <w:color w:val="000000" w:themeColor="text1"/>
          <w:sz w:val="24"/>
          <w:szCs w:val="24"/>
        </w:rPr>
        <w:t>. Стога је у периоду спровођења нове стратегије потребно успоставити ефикаснији национални систем регистрације и прикупљања података о повредама на раду и професионалним болестима.</w:t>
      </w:r>
    </w:p>
    <w:p w14:paraId="16C39BB3" w14:textId="4B6C45FC" w:rsidR="00EC5D47" w:rsidRPr="00203E0A" w:rsidRDefault="48A77BA5" w:rsidP="005E0A4D">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Такође, треба имати у виду да у пракси није заживела дефиниција професионалних болести дефинисаних према Закону о здравственом осигурању. Члан 51. Закона дефинише професионалне болести као „обољења настала услед дуже изложености штетн</w:t>
      </w:r>
      <w:r w:rsidR="00911F4B">
        <w:rPr>
          <w:rFonts w:ascii="Times New Roman" w:hAnsi="Times New Roman" w:cs="Times New Roman"/>
          <w:color w:val="000000" w:themeColor="text1"/>
          <w:sz w:val="24"/>
          <w:szCs w:val="24"/>
        </w:rPr>
        <w:t>остима насталим на радном месту”</w:t>
      </w:r>
      <w:r w:rsidRPr="00203E0A">
        <w:rPr>
          <w:rFonts w:ascii="Times New Roman" w:hAnsi="Times New Roman" w:cs="Times New Roman"/>
          <w:color w:val="000000" w:themeColor="text1"/>
          <w:sz w:val="24"/>
          <w:szCs w:val="24"/>
        </w:rPr>
        <w:t>. Ова дефиниција није праћена прописима који би омогућили њену примену. С друге стране у пракси се искључиво примењује дефиниција из Закона о пензијском и инвалидском осигурању. Овај закон у члану 24. дефинише професионалну болест, као „одређену болест која је настала у току осигурања, проузроковану дужим непосредним утицајем процеса и услова рада на радним местима, односно пословима које је осигураник обављао</w:t>
      </w:r>
      <w:r w:rsidR="00911F4B">
        <w:rPr>
          <w:rFonts w:ascii="Times New Roman" w:hAnsi="Times New Roman" w:cs="Times New Roman"/>
          <w:color w:val="000000" w:themeColor="text1"/>
          <w:sz w:val="24"/>
          <w:szCs w:val="24"/>
        </w:rPr>
        <w:t>”</w:t>
      </w:r>
      <w:r w:rsidRPr="00203E0A">
        <w:rPr>
          <w:rFonts w:ascii="Times New Roman" w:hAnsi="Times New Roman" w:cs="Times New Roman"/>
          <w:color w:val="000000" w:themeColor="text1"/>
          <w:sz w:val="24"/>
          <w:szCs w:val="24"/>
        </w:rPr>
        <w:t xml:space="preserve">. </w:t>
      </w:r>
    </w:p>
    <w:p w14:paraId="6938D3ED" w14:textId="77777777" w:rsidR="00EC5D47" w:rsidRPr="00203E0A" w:rsidRDefault="48A77BA5" w:rsidP="48A77BA5">
      <w:pPr>
        <w:spacing w:after="150"/>
        <w:ind w:firstLine="720"/>
        <w:jc w:val="both"/>
        <w:rPr>
          <w:rFonts w:ascii="Times New Roman" w:hAnsi="Times New Roman" w:cs="Times New Roman"/>
          <w:color w:val="00B050"/>
          <w:sz w:val="24"/>
          <w:szCs w:val="24"/>
        </w:rPr>
      </w:pPr>
      <w:r w:rsidRPr="00203E0A">
        <w:rPr>
          <w:rFonts w:ascii="Times New Roman" w:hAnsi="Times New Roman" w:cs="Times New Roman"/>
          <w:color w:val="000000" w:themeColor="text1"/>
          <w:sz w:val="24"/>
          <w:szCs w:val="24"/>
        </w:rPr>
        <w:lastRenderedPageBreak/>
        <w:t xml:space="preserve">У периоду имплементације претходне стратегије, Радна група за ревизију листе професионалних болести, која је формирана решењем министра за рад, запошљавање, борачка и социјална питања израдила је нови Правилник о утврђивању професионалних болести, који након измена садржи ревидирану листу која броји 64 професионалне болести, уместо досадашњих 56. Наиме, у делу Правилника који се односи на болести проузроковане хемијским дејством, додате су три нове професионалне болести и то: тровање талијумом, тровање платином или њеним једињењима и тровање осмијумом или његовим једињењима. У делу који утврђује болести проузроковане физичким дејством, листа је допуњена болестима: оштећење слуха изазвано буком и обољења изазвана вибрацијама које се преносе на руке и вибрацијама које се преносе на цело тело, а међу болестима проузрокованим биолошким фактором унете су тетанус и обољења </w:t>
      </w:r>
      <w:r w:rsidRPr="00203E0A">
        <w:rPr>
          <w:rFonts w:ascii="Times New Roman" w:hAnsi="Times New Roman" w:cs="Times New Roman"/>
          <w:sz w:val="24"/>
          <w:szCs w:val="24"/>
        </w:rPr>
        <w:t xml:space="preserve">проузрокована директним контактом са другим биолошким агенсима на раду која нису горе поменута а за које постоје научни/литерални докази или за које постоје докази из практичних искустава. Такође, у делу који се односи на болести плућа, у Правилнику су унете четири нове професионалне болести: пнеумокониозе узроковане нефиброзогеном прашином/влакнима; бисиноза плућа; канабиоза; багасоза; бронхијална астма и обољење горњих дисајних путева. Поред наведеног, допуњени су поједини постојећи описи послова и радних места. Нова листа такође омогућава у делу који се односи на </w:t>
      </w:r>
      <w:r w:rsidRPr="00203E0A">
        <w:rPr>
          <w:rFonts w:ascii="Times New Roman" w:hAnsi="Times New Roman" w:cs="Times New Roman"/>
          <w:color w:val="000000" w:themeColor="text1"/>
          <w:sz w:val="24"/>
          <w:szCs w:val="24"/>
        </w:rPr>
        <w:t xml:space="preserve">инфективне агенсе признавање инфективних обољења која нису наведена у Листи професионалних болести. </w:t>
      </w:r>
    </w:p>
    <w:p w14:paraId="7042172C" w14:textId="4310D3C1" w:rsidR="00C00D2B" w:rsidRPr="003C6E11" w:rsidRDefault="48A77BA5" w:rsidP="005C64DC">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У периоду имплементације нове стратегије, потребно је сагледати потребу за ревизијом листе професионалних болести.</w:t>
      </w:r>
      <w:r w:rsidRPr="00203E0A">
        <w:rPr>
          <w:rFonts w:ascii="Times New Roman" w:hAnsi="Times New Roman" w:cs="Times New Roman"/>
          <w:b/>
          <w:bCs/>
          <w:color w:val="000000" w:themeColor="text1"/>
          <w:sz w:val="24"/>
          <w:szCs w:val="24"/>
        </w:rPr>
        <w:t xml:space="preserve"> </w:t>
      </w:r>
      <w:r w:rsidRPr="00203E0A">
        <w:rPr>
          <w:rFonts w:ascii="Times New Roman" w:hAnsi="Times New Roman" w:cs="Times New Roman"/>
          <w:color w:val="000000" w:themeColor="text1"/>
          <w:sz w:val="24"/>
          <w:szCs w:val="24"/>
        </w:rPr>
        <w:t>На пример листа Међународне организације рада (Препорука 194) има 104 професионалне болести, док Препорука Европске комисије из 1990. године сугерише да би требало омогућити и признавање болести које нису на листи, уколико постоји јасна веза између болести и изложености на радном месту. Додатни проблем је потреба за прецизнијим утврђивањем критеријума зa утврђивање професионалних обољења. Наиме само 17 обољења је прецизно дефинисано, док су за осталих 49 критеријуми недовољно прецизни што омогућава различито тумачење.</w:t>
      </w:r>
      <w:r w:rsidRPr="00203E0A">
        <w:t xml:space="preserve"> </w:t>
      </w:r>
      <w:r w:rsidRPr="00203E0A">
        <w:rPr>
          <w:rFonts w:ascii="Times New Roman" w:hAnsi="Times New Roman" w:cs="Times New Roman"/>
          <w:sz w:val="24"/>
          <w:szCs w:val="24"/>
        </w:rPr>
        <w:t xml:space="preserve">Такође треба напоменути да је 28. новембра 2022. године донета Препорука Комисије (ЕУ) 2022/2337 о Европском попису професионалних болести, где је у Прилогу I. </w:t>
      </w:r>
      <w:r w:rsidRPr="003C6E11">
        <w:rPr>
          <w:rFonts w:ascii="Times New Roman" w:hAnsi="Times New Roman" w:cs="Times New Roman"/>
          <w:sz w:val="24"/>
          <w:szCs w:val="24"/>
        </w:rPr>
        <w:t>уврштена болест COVID-19.</w:t>
      </w:r>
    </w:p>
    <w:p w14:paraId="630FD943" w14:textId="25A86896" w:rsidR="00EC5D47" w:rsidRPr="00203E0A" w:rsidRDefault="48A77BA5" w:rsidP="48A77BA5">
      <w:pPr>
        <w:ind w:firstLine="720"/>
        <w:jc w:val="both"/>
        <w:rPr>
          <w:rFonts w:ascii="Times New Roman" w:hAnsi="Times New Roman" w:cs="Times New Roman"/>
          <w:b/>
          <w:bCs/>
          <w:sz w:val="24"/>
          <w:szCs w:val="24"/>
        </w:rPr>
      </w:pPr>
      <w:bookmarkStart w:id="17" w:name="_Toc126746525"/>
      <w:r w:rsidRPr="003C6E11">
        <w:rPr>
          <w:rFonts w:ascii="Times New Roman" w:hAnsi="Times New Roman" w:cs="Times New Roman"/>
          <w:b/>
          <w:bCs/>
          <w:sz w:val="24"/>
          <w:szCs w:val="24"/>
        </w:rPr>
        <w:t xml:space="preserve">3.3. Анализа рада </w:t>
      </w:r>
      <w:r w:rsidR="00062F8F" w:rsidRPr="003C6E11">
        <w:rPr>
          <w:rFonts w:ascii="Times New Roman" w:hAnsi="Times New Roman" w:cs="Times New Roman"/>
          <w:b/>
          <w:bCs/>
          <w:sz w:val="24"/>
          <w:szCs w:val="24"/>
        </w:rPr>
        <w:t>с</w:t>
      </w:r>
      <w:r w:rsidRPr="003C6E11">
        <w:rPr>
          <w:rFonts w:ascii="Times New Roman" w:hAnsi="Times New Roman" w:cs="Times New Roman"/>
          <w:b/>
          <w:bCs/>
          <w:sz w:val="24"/>
          <w:szCs w:val="24"/>
        </w:rPr>
        <w:t xml:space="preserve">удских органа и </w:t>
      </w:r>
      <w:r w:rsidR="00062F8F" w:rsidRPr="003C6E11">
        <w:rPr>
          <w:rFonts w:ascii="Times New Roman" w:hAnsi="Times New Roman" w:cs="Times New Roman"/>
          <w:b/>
          <w:bCs/>
          <w:sz w:val="24"/>
          <w:szCs w:val="24"/>
        </w:rPr>
        <w:t xml:space="preserve">Врховног </w:t>
      </w:r>
      <w:r w:rsidRPr="003C6E11">
        <w:rPr>
          <w:rFonts w:ascii="Times New Roman" w:hAnsi="Times New Roman" w:cs="Times New Roman"/>
          <w:b/>
          <w:bCs/>
          <w:sz w:val="24"/>
          <w:szCs w:val="24"/>
        </w:rPr>
        <w:t>јавно</w:t>
      </w:r>
      <w:r w:rsidR="00EE6651" w:rsidRPr="003C6E11">
        <w:rPr>
          <w:rFonts w:ascii="Times New Roman" w:hAnsi="Times New Roman" w:cs="Times New Roman"/>
          <w:b/>
          <w:bCs/>
          <w:sz w:val="24"/>
          <w:szCs w:val="24"/>
        </w:rPr>
        <w:t>г</w:t>
      </w:r>
      <w:r w:rsidRPr="003C6E11">
        <w:rPr>
          <w:rFonts w:ascii="Times New Roman" w:hAnsi="Times New Roman" w:cs="Times New Roman"/>
          <w:b/>
          <w:bCs/>
          <w:sz w:val="24"/>
          <w:szCs w:val="24"/>
        </w:rPr>
        <w:t xml:space="preserve"> </w:t>
      </w:r>
      <w:r w:rsidR="00EE6651" w:rsidRPr="00203E0A">
        <w:rPr>
          <w:rFonts w:ascii="Times New Roman" w:hAnsi="Times New Roman" w:cs="Times New Roman"/>
          <w:b/>
          <w:bCs/>
          <w:sz w:val="24"/>
          <w:szCs w:val="24"/>
        </w:rPr>
        <w:t xml:space="preserve">тужилаштва </w:t>
      </w:r>
      <w:r w:rsidRPr="00203E0A">
        <w:rPr>
          <w:rFonts w:ascii="Times New Roman" w:hAnsi="Times New Roman" w:cs="Times New Roman"/>
          <w:b/>
          <w:bCs/>
          <w:sz w:val="24"/>
          <w:szCs w:val="24"/>
        </w:rPr>
        <w:t>у случајевима непредузимања мера безбедности и здравља на раду</w:t>
      </w:r>
      <w:bookmarkEnd w:id="17"/>
    </w:p>
    <w:p w14:paraId="162A1CD0" w14:textId="7789B058" w:rsidR="006E56DB" w:rsidRPr="00203E0A" w:rsidRDefault="48A77BA5" w:rsidP="002D391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У периоду примене </w:t>
      </w:r>
      <w:r w:rsidR="006E56DB" w:rsidRPr="00203E0A">
        <w:rPr>
          <w:rFonts w:ascii="Times New Roman" w:hAnsi="Times New Roman" w:cs="Times New Roman"/>
          <w:sz w:val="24"/>
          <w:szCs w:val="24"/>
        </w:rPr>
        <w:t>Стратегије (2018-2022)</w:t>
      </w:r>
      <w:r w:rsidRPr="00203E0A">
        <w:rPr>
          <w:rFonts w:ascii="Times New Roman" w:hAnsi="Times New Roman" w:cs="Times New Roman"/>
          <w:sz w:val="24"/>
          <w:szCs w:val="24"/>
        </w:rPr>
        <w:t xml:space="preserve">, </w:t>
      </w:r>
      <w:r w:rsidR="00B2359C" w:rsidRPr="00203E0A">
        <w:rPr>
          <w:rFonts w:ascii="Times New Roman" w:hAnsi="Times New Roman" w:cs="Times New Roman"/>
          <w:sz w:val="24"/>
          <w:szCs w:val="24"/>
        </w:rPr>
        <w:t xml:space="preserve">Републичко јавно тужилаштво извршило је анализу </w:t>
      </w:r>
      <w:r w:rsidRPr="00203E0A">
        <w:rPr>
          <w:rFonts w:ascii="Times New Roman" w:hAnsi="Times New Roman" w:cs="Times New Roman"/>
          <w:sz w:val="24"/>
          <w:szCs w:val="24"/>
        </w:rPr>
        <w:t xml:space="preserve">броја кривичних пријава поднетих тужилаштвима на територији Републике Србије </w:t>
      </w:r>
      <w:r w:rsidR="00B2359C" w:rsidRPr="00203E0A">
        <w:rPr>
          <w:rFonts w:ascii="Times New Roman" w:hAnsi="Times New Roman" w:cs="Times New Roman"/>
          <w:sz w:val="24"/>
          <w:szCs w:val="24"/>
        </w:rPr>
        <w:t>за кривично дело непредузимања мера зашт</w:t>
      </w:r>
      <w:r w:rsidR="001B378A">
        <w:rPr>
          <w:rFonts w:ascii="Times New Roman" w:hAnsi="Times New Roman" w:cs="Times New Roman"/>
          <w:sz w:val="24"/>
          <w:szCs w:val="24"/>
        </w:rPr>
        <w:t>ите на раду из члана 169.</w:t>
      </w:r>
      <w:r w:rsidR="00B2359C" w:rsidRPr="00203E0A">
        <w:rPr>
          <w:rFonts w:ascii="Times New Roman" w:hAnsi="Times New Roman" w:cs="Times New Roman"/>
          <w:sz w:val="24"/>
          <w:szCs w:val="24"/>
        </w:rPr>
        <w:t xml:space="preserve"> за кривично дело изазивање опасности необезбеђењем мера заштите на раду из члана 280. и за кривично дело непрописно и неправилно извођење грађевинских радова из члана 281. Кривичног законика, </w:t>
      </w:r>
      <w:r w:rsidRPr="00203E0A">
        <w:rPr>
          <w:rFonts w:ascii="Times New Roman" w:hAnsi="Times New Roman" w:cs="Times New Roman"/>
          <w:sz w:val="24"/>
          <w:szCs w:val="24"/>
        </w:rPr>
        <w:t>услед којих је дошло до смртних, тешких</w:t>
      </w:r>
      <w:r w:rsidR="008A160D" w:rsidRPr="00203E0A">
        <w:rPr>
          <w:rFonts w:ascii="Times New Roman" w:hAnsi="Times New Roman" w:cs="Times New Roman"/>
          <w:sz w:val="24"/>
          <w:szCs w:val="24"/>
        </w:rPr>
        <w:t xml:space="preserve"> и колективних повреда на раду. </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1350"/>
        <w:gridCol w:w="1313"/>
        <w:gridCol w:w="1207"/>
        <w:gridCol w:w="1522"/>
        <w:gridCol w:w="1268"/>
        <w:gridCol w:w="1461"/>
      </w:tblGrid>
      <w:tr w:rsidR="00EC5D47" w:rsidRPr="00203E0A" w14:paraId="3BFE029E" w14:textId="77777777" w:rsidTr="008A160D">
        <w:trPr>
          <w:trHeight w:val="900"/>
          <w:jc w:val="center"/>
        </w:trPr>
        <w:tc>
          <w:tcPr>
            <w:tcW w:w="895" w:type="dxa"/>
            <w:vMerge w:val="restart"/>
            <w:shd w:val="clear" w:color="auto" w:fill="auto"/>
            <w:noWrap/>
            <w:vAlign w:val="bottom"/>
            <w:hideMark/>
          </w:tcPr>
          <w:p w14:paraId="2BADDC51" w14:textId="77777777" w:rsidR="00E04FB7" w:rsidRDefault="00E04FB7" w:rsidP="00580065">
            <w:pPr>
              <w:spacing w:after="0" w:line="240" w:lineRule="auto"/>
              <w:rPr>
                <w:rFonts w:ascii="Times New Roman" w:hAnsi="Times New Roman" w:cs="Times New Roman"/>
                <w:color w:val="000000" w:themeColor="text1"/>
                <w:sz w:val="20"/>
                <w:szCs w:val="20"/>
              </w:rPr>
            </w:pPr>
          </w:p>
          <w:p w14:paraId="3F29EE9A" w14:textId="2D22D0B8" w:rsidR="00EC5D47" w:rsidRPr="00203E0A" w:rsidRDefault="48A77BA5" w:rsidP="00580065">
            <w:pPr>
              <w:spacing w:after="0" w:line="240" w:lineRule="auto"/>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Година</w:t>
            </w:r>
          </w:p>
        </w:tc>
        <w:tc>
          <w:tcPr>
            <w:tcW w:w="2663" w:type="dxa"/>
            <w:gridSpan w:val="2"/>
            <w:shd w:val="clear" w:color="auto" w:fill="auto"/>
            <w:vAlign w:val="bottom"/>
            <w:hideMark/>
          </w:tcPr>
          <w:p w14:paraId="46B3509A" w14:textId="77777777" w:rsidR="00EC5D47" w:rsidRPr="00203E0A" w:rsidRDefault="48A77BA5" w:rsidP="00580065">
            <w:pPr>
              <w:spacing w:after="0" w:line="240" w:lineRule="auto"/>
              <w:jc w:val="center"/>
              <w:rPr>
                <w:rFonts w:ascii="Times New Roman" w:hAnsi="Times New Roman" w:cs="Times New Roman"/>
                <w:color w:val="000000"/>
                <w:lang w:eastAsia="en-GB"/>
              </w:rPr>
            </w:pPr>
            <w:r w:rsidRPr="00203E0A">
              <w:rPr>
                <w:rFonts w:ascii="Times New Roman" w:hAnsi="Times New Roman" w:cs="Times New Roman"/>
                <w:color w:val="000000" w:themeColor="text1"/>
              </w:rPr>
              <w:t>Непредузимање мера заштите на раду - члан 169. КЗ</w:t>
            </w:r>
          </w:p>
        </w:tc>
        <w:tc>
          <w:tcPr>
            <w:tcW w:w="2729" w:type="dxa"/>
            <w:gridSpan w:val="2"/>
            <w:shd w:val="clear" w:color="auto" w:fill="auto"/>
            <w:vAlign w:val="bottom"/>
            <w:hideMark/>
          </w:tcPr>
          <w:p w14:paraId="682808CC" w14:textId="23614D24" w:rsidR="00EC5D47" w:rsidRPr="00203E0A" w:rsidRDefault="48A77BA5" w:rsidP="00580065">
            <w:pPr>
              <w:spacing w:after="0" w:line="240" w:lineRule="auto"/>
              <w:jc w:val="center"/>
              <w:rPr>
                <w:rFonts w:ascii="Times New Roman" w:hAnsi="Times New Roman" w:cs="Times New Roman"/>
                <w:color w:val="000000"/>
                <w:lang w:eastAsia="en-GB"/>
              </w:rPr>
            </w:pPr>
            <w:r w:rsidRPr="00203E0A">
              <w:rPr>
                <w:rFonts w:ascii="Times New Roman" w:hAnsi="Times New Roman" w:cs="Times New Roman"/>
                <w:color w:val="000000" w:themeColor="text1"/>
              </w:rPr>
              <w:t>Изазивање опасности необезбеђењем мера заштите на раду - члан 280. КЗ</w:t>
            </w:r>
          </w:p>
        </w:tc>
        <w:tc>
          <w:tcPr>
            <w:tcW w:w="2729" w:type="dxa"/>
            <w:gridSpan w:val="2"/>
            <w:shd w:val="clear" w:color="auto" w:fill="auto"/>
            <w:vAlign w:val="bottom"/>
            <w:hideMark/>
          </w:tcPr>
          <w:p w14:paraId="62E666AE" w14:textId="77777777" w:rsidR="00EC5D47" w:rsidRPr="00203E0A" w:rsidRDefault="48A77BA5" w:rsidP="00580065">
            <w:pPr>
              <w:spacing w:after="0" w:line="240" w:lineRule="auto"/>
              <w:jc w:val="center"/>
              <w:rPr>
                <w:rFonts w:ascii="Times New Roman" w:hAnsi="Times New Roman" w:cs="Times New Roman"/>
                <w:color w:val="000000"/>
                <w:lang w:eastAsia="en-GB"/>
              </w:rPr>
            </w:pPr>
            <w:r w:rsidRPr="00203E0A">
              <w:rPr>
                <w:rFonts w:ascii="Times New Roman" w:hAnsi="Times New Roman" w:cs="Times New Roman"/>
                <w:color w:val="000000" w:themeColor="text1"/>
              </w:rPr>
              <w:t>Непрописно и неправилно извођење грађевинских радова - члан 281. КЗ</w:t>
            </w:r>
          </w:p>
        </w:tc>
      </w:tr>
      <w:tr w:rsidR="00EC5D47" w:rsidRPr="00203E0A" w14:paraId="6BCA08EB" w14:textId="77777777" w:rsidTr="008A160D">
        <w:trPr>
          <w:trHeight w:val="70"/>
          <w:jc w:val="center"/>
        </w:trPr>
        <w:tc>
          <w:tcPr>
            <w:tcW w:w="895" w:type="dxa"/>
            <w:vMerge/>
            <w:vAlign w:val="center"/>
            <w:hideMark/>
          </w:tcPr>
          <w:p w14:paraId="1AB74656" w14:textId="77777777" w:rsidR="00EC5D47" w:rsidRPr="00203E0A" w:rsidRDefault="00EC5D47" w:rsidP="00125B70">
            <w:pPr>
              <w:spacing w:after="0" w:line="240" w:lineRule="auto"/>
              <w:rPr>
                <w:rFonts w:ascii="Times New Roman" w:hAnsi="Times New Roman" w:cs="Times New Roman"/>
                <w:color w:val="000000"/>
                <w:sz w:val="20"/>
                <w:szCs w:val="20"/>
                <w:lang w:eastAsia="en-GB"/>
              </w:rPr>
            </w:pPr>
          </w:p>
        </w:tc>
        <w:tc>
          <w:tcPr>
            <w:tcW w:w="1350" w:type="dxa"/>
            <w:shd w:val="clear" w:color="auto" w:fill="auto"/>
            <w:noWrap/>
            <w:vAlign w:val="bottom"/>
            <w:hideMark/>
          </w:tcPr>
          <w:p w14:paraId="04120A0B" w14:textId="77777777" w:rsidR="00EC5D47" w:rsidRPr="00203E0A" w:rsidRDefault="48A77BA5" w:rsidP="00580065">
            <w:pPr>
              <w:spacing w:after="0" w:line="240" w:lineRule="auto"/>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Нерешено</w:t>
            </w:r>
          </w:p>
        </w:tc>
        <w:tc>
          <w:tcPr>
            <w:tcW w:w="1313" w:type="dxa"/>
            <w:shd w:val="clear" w:color="auto" w:fill="auto"/>
            <w:noWrap/>
            <w:vAlign w:val="bottom"/>
            <w:hideMark/>
          </w:tcPr>
          <w:p w14:paraId="4317EF55" w14:textId="3F363150" w:rsidR="00EC5D47" w:rsidRPr="00203E0A" w:rsidRDefault="48A77BA5" w:rsidP="00580065">
            <w:pPr>
              <w:spacing w:after="0" w:line="240" w:lineRule="auto"/>
              <w:rPr>
                <w:rFonts w:ascii="Times New Roman" w:hAnsi="Times New Roman" w:cs="Times New Roman"/>
                <w:color w:val="000000"/>
                <w:lang w:eastAsia="en-GB"/>
              </w:rPr>
            </w:pPr>
            <w:r w:rsidRPr="00203E0A">
              <w:rPr>
                <w:rFonts w:ascii="Times New Roman" w:hAnsi="Times New Roman" w:cs="Times New Roman"/>
                <w:color w:val="000000" w:themeColor="text1"/>
              </w:rPr>
              <w:t>Ново-примљено</w:t>
            </w:r>
          </w:p>
        </w:tc>
        <w:tc>
          <w:tcPr>
            <w:tcW w:w="1207" w:type="dxa"/>
            <w:shd w:val="clear" w:color="auto" w:fill="auto"/>
            <w:noWrap/>
            <w:vAlign w:val="bottom"/>
            <w:hideMark/>
          </w:tcPr>
          <w:p w14:paraId="08457795" w14:textId="77777777" w:rsidR="00EC5D47" w:rsidRPr="00203E0A" w:rsidRDefault="48A77BA5" w:rsidP="00580065">
            <w:pPr>
              <w:spacing w:after="0" w:line="240" w:lineRule="auto"/>
              <w:rPr>
                <w:rFonts w:ascii="Times New Roman" w:hAnsi="Times New Roman" w:cs="Times New Roman"/>
                <w:color w:val="000000"/>
                <w:lang w:eastAsia="en-GB"/>
              </w:rPr>
            </w:pPr>
            <w:r w:rsidRPr="00203E0A">
              <w:rPr>
                <w:rFonts w:ascii="Times New Roman" w:hAnsi="Times New Roman" w:cs="Times New Roman"/>
                <w:color w:val="000000" w:themeColor="text1"/>
              </w:rPr>
              <w:t>Нерешено</w:t>
            </w:r>
          </w:p>
        </w:tc>
        <w:tc>
          <w:tcPr>
            <w:tcW w:w="1522" w:type="dxa"/>
            <w:shd w:val="clear" w:color="auto" w:fill="auto"/>
            <w:noWrap/>
            <w:vAlign w:val="bottom"/>
            <w:hideMark/>
          </w:tcPr>
          <w:p w14:paraId="70832F4A" w14:textId="77777777" w:rsidR="00C00D2B" w:rsidRPr="00203E0A" w:rsidRDefault="48A77BA5" w:rsidP="00580065">
            <w:pPr>
              <w:spacing w:after="0" w:line="240" w:lineRule="auto"/>
              <w:rPr>
                <w:rFonts w:ascii="Times New Roman" w:hAnsi="Times New Roman" w:cs="Times New Roman"/>
                <w:color w:val="000000"/>
                <w:lang w:eastAsia="en-GB"/>
              </w:rPr>
            </w:pPr>
            <w:r w:rsidRPr="00203E0A">
              <w:rPr>
                <w:rFonts w:ascii="Times New Roman" w:hAnsi="Times New Roman" w:cs="Times New Roman"/>
                <w:color w:val="000000" w:themeColor="text1"/>
              </w:rPr>
              <w:t>Ново-</w:t>
            </w:r>
          </w:p>
          <w:p w14:paraId="6C095197" w14:textId="5786FC20" w:rsidR="00EC5D47" w:rsidRPr="00203E0A" w:rsidRDefault="48A77BA5" w:rsidP="00580065">
            <w:pPr>
              <w:spacing w:after="0" w:line="240" w:lineRule="auto"/>
              <w:rPr>
                <w:rFonts w:ascii="Times New Roman" w:hAnsi="Times New Roman" w:cs="Times New Roman"/>
                <w:color w:val="000000"/>
                <w:lang w:eastAsia="en-GB"/>
              </w:rPr>
            </w:pPr>
            <w:r w:rsidRPr="00203E0A">
              <w:rPr>
                <w:rFonts w:ascii="Times New Roman" w:hAnsi="Times New Roman" w:cs="Times New Roman"/>
                <w:color w:val="000000" w:themeColor="text1"/>
              </w:rPr>
              <w:t>примљено</w:t>
            </w:r>
          </w:p>
        </w:tc>
        <w:tc>
          <w:tcPr>
            <w:tcW w:w="1268" w:type="dxa"/>
            <w:shd w:val="clear" w:color="auto" w:fill="auto"/>
            <w:noWrap/>
            <w:vAlign w:val="bottom"/>
            <w:hideMark/>
          </w:tcPr>
          <w:p w14:paraId="3C8BEC1E" w14:textId="77777777" w:rsidR="00EC5D47" w:rsidRPr="00203E0A" w:rsidRDefault="48A77BA5" w:rsidP="00580065">
            <w:pPr>
              <w:spacing w:after="0" w:line="240" w:lineRule="auto"/>
              <w:rPr>
                <w:rFonts w:ascii="Times New Roman" w:hAnsi="Times New Roman" w:cs="Times New Roman"/>
                <w:color w:val="000000"/>
                <w:lang w:eastAsia="en-GB"/>
              </w:rPr>
            </w:pPr>
            <w:r w:rsidRPr="00203E0A">
              <w:rPr>
                <w:rFonts w:ascii="Times New Roman" w:hAnsi="Times New Roman" w:cs="Times New Roman"/>
                <w:color w:val="000000" w:themeColor="text1"/>
              </w:rPr>
              <w:t>Нерешено</w:t>
            </w:r>
          </w:p>
        </w:tc>
        <w:tc>
          <w:tcPr>
            <w:tcW w:w="1461" w:type="dxa"/>
            <w:shd w:val="clear" w:color="auto" w:fill="auto"/>
            <w:noWrap/>
            <w:vAlign w:val="bottom"/>
            <w:hideMark/>
          </w:tcPr>
          <w:p w14:paraId="5EEE01DB" w14:textId="77BBD1AE" w:rsidR="00EC5D47" w:rsidRPr="00203E0A" w:rsidRDefault="48A77BA5" w:rsidP="00580065">
            <w:pPr>
              <w:spacing w:after="0" w:line="240" w:lineRule="auto"/>
              <w:rPr>
                <w:rFonts w:ascii="Times New Roman" w:hAnsi="Times New Roman" w:cs="Times New Roman"/>
                <w:color w:val="000000"/>
                <w:lang w:eastAsia="en-GB"/>
              </w:rPr>
            </w:pPr>
            <w:r w:rsidRPr="00203E0A">
              <w:rPr>
                <w:rFonts w:ascii="Times New Roman" w:hAnsi="Times New Roman" w:cs="Times New Roman"/>
                <w:color w:val="000000" w:themeColor="text1"/>
              </w:rPr>
              <w:t>Ново-примљено</w:t>
            </w:r>
          </w:p>
        </w:tc>
      </w:tr>
      <w:tr w:rsidR="00EC5D47" w:rsidRPr="00203E0A" w14:paraId="1A452551" w14:textId="77777777" w:rsidTr="008A160D">
        <w:trPr>
          <w:trHeight w:val="70"/>
          <w:jc w:val="center"/>
        </w:trPr>
        <w:tc>
          <w:tcPr>
            <w:tcW w:w="895" w:type="dxa"/>
            <w:shd w:val="clear" w:color="auto" w:fill="auto"/>
            <w:noWrap/>
            <w:vAlign w:val="bottom"/>
            <w:hideMark/>
          </w:tcPr>
          <w:p w14:paraId="40C521D2"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lastRenderedPageBreak/>
              <w:t>2018</w:t>
            </w:r>
          </w:p>
        </w:tc>
        <w:tc>
          <w:tcPr>
            <w:tcW w:w="1350" w:type="dxa"/>
            <w:shd w:val="clear" w:color="auto" w:fill="auto"/>
            <w:noWrap/>
            <w:vAlign w:val="bottom"/>
            <w:hideMark/>
          </w:tcPr>
          <w:p w14:paraId="65AF5844"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15</w:t>
            </w:r>
          </w:p>
        </w:tc>
        <w:tc>
          <w:tcPr>
            <w:tcW w:w="1313" w:type="dxa"/>
            <w:shd w:val="clear" w:color="auto" w:fill="auto"/>
            <w:noWrap/>
            <w:vAlign w:val="bottom"/>
            <w:hideMark/>
          </w:tcPr>
          <w:p w14:paraId="12DA26E3"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15</w:t>
            </w:r>
          </w:p>
        </w:tc>
        <w:tc>
          <w:tcPr>
            <w:tcW w:w="1207" w:type="dxa"/>
            <w:shd w:val="clear" w:color="auto" w:fill="auto"/>
            <w:noWrap/>
            <w:vAlign w:val="bottom"/>
            <w:hideMark/>
          </w:tcPr>
          <w:p w14:paraId="56128172"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25</w:t>
            </w:r>
          </w:p>
        </w:tc>
        <w:tc>
          <w:tcPr>
            <w:tcW w:w="1522" w:type="dxa"/>
            <w:shd w:val="clear" w:color="auto" w:fill="auto"/>
            <w:noWrap/>
            <w:vAlign w:val="bottom"/>
            <w:hideMark/>
          </w:tcPr>
          <w:p w14:paraId="1EFCC7FC"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9</w:t>
            </w:r>
          </w:p>
        </w:tc>
        <w:tc>
          <w:tcPr>
            <w:tcW w:w="1268" w:type="dxa"/>
            <w:shd w:val="clear" w:color="auto" w:fill="auto"/>
            <w:noWrap/>
            <w:vAlign w:val="bottom"/>
            <w:hideMark/>
          </w:tcPr>
          <w:p w14:paraId="6290D2A8"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79</w:t>
            </w:r>
          </w:p>
        </w:tc>
        <w:tc>
          <w:tcPr>
            <w:tcW w:w="1461" w:type="dxa"/>
            <w:shd w:val="clear" w:color="auto" w:fill="auto"/>
            <w:noWrap/>
            <w:vAlign w:val="bottom"/>
            <w:hideMark/>
          </w:tcPr>
          <w:p w14:paraId="68EE5524"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21</w:t>
            </w:r>
          </w:p>
        </w:tc>
      </w:tr>
      <w:tr w:rsidR="00EC5D47" w:rsidRPr="00203E0A" w14:paraId="2E45C0AA" w14:textId="77777777" w:rsidTr="008A160D">
        <w:trPr>
          <w:trHeight w:val="113"/>
          <w:jc w:val="center"/>
        </w:trPr>
        <w:tc>
          <w:tcPr>
            <w:tcW w:w="895" w:type="dxa"/>
            <w:shd w:val="clear" w:color="auto" w:fill="auto"/>
            <w:noWrap/>
            <w:vAlign w:val="bottom"/>
            <w:hideMark/>
          </w:tcPr>
          <w:p w14:paraId="69B542BB"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2019</w:t>
            </w:r>
          </w:p>
        </w:tc>
        <w:tc>
          <w:tcPr>
            <w:tcW w:w="1350" w:type="dxa"/>
            <w:shd w:val="clear" w:color="auto" w:fill="auto"/>
            <w:noWrap/>
            <w:vAlign w:val="bottom"/>
            <w:hideMark/>
          </w:tcPr>
          <w:p w14:paraId="69CDE383"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19</w:t>
            </w:r>
          </w:p>
        </w:tc>
        <w:tc>
          <w:tcPr>
            <w:tcW w:w="1313" w:type="dxa"/>
            <w:shd w:val="clear" w:color="auto" w:fill="auto"/>
            <w:noWrap/>
            <w:vAlign w:val="bottom"/>
            <w:hideMark/>
          </w:tcPr>
          <w:p w14:paraId="1A9E01CB"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15</w:t>
            </w:r>
          </w:p>
        </w:tc>
        <w:tc>
          <w:tcPr>
            <w:tcW w:w="1207" w:type="dxa"/>
            <w:shd w:val="clear" w:color="auto" w:fill="auto"/>
            <w:noWrap/>
            <w:vAlign w:val="bottom"/>
            <w:hideMark/>
          </w:tcPr>
          <w:p w14:paraId="3AB77D1F"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16</w:t>
            </w:r>
          </w:p>
        </w:tc>
        <w:tc>
          <w:tcPr>
            <w:tcW w:w="1522" w:type="dxa"/>
            <w:shd w:val="clear" w:color="auto" w:fill="auto"/>
            <w:noWrap/>
            <w:vAlign w:val="bottom"/>
            <w:hideMark/>
          </w:tcPr>
          <w:p w14:paraId="2C47E6D4"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11</w:t>
            </w:r>
          </w:p>
        </w:tc>
        <w:tc>
          <w:tcPr>
            <w:tcW w:w="1268" w:type="dxa"/>
            <w:shd w:val="clear" w:color="auto" w:fill="auto"/>
            <w:noWrap/>
            <w:vAlign w:val="bottom"/>
            <w:hideMark/>
          </w:tcPr>
          <w:p w14:paraId="5D6F2150"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34</w:t>
            </w:r>
          </w:p>
        </w:tc>
        <w:tc>
          <w:tcPr>
            <w:tcW w:w="1461" w:type="dxa"/>
            <w:shd w:val="clear" w:color="auto" w:fill="auto"/>
            <w:noWrap/>
            <w:vAlign w:val="bottom"/>
            <w:hideMark/>
          </w:tcPr>
          <w:p w14:paraId="0B5DF326"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11</w:t>
            </w:r>
          </w:p>
        </w:tc>
      </w:tr>
      <w:tr w:rsidR="00EC5D47" w:rsidRPr="00203E0A" w14:paraId="50F506B7" w14:textId="77777777" w:rsidTr="008A160D">
        <w:trPr>
          <w:trHeight w:val="70"/>
          <w:jc w:val="center"/>
        </w:trPr>
        <w:tc>
          <w:tcPr>
            <w:tcW w:w="895" w:type="dxa"/>
            <w:shd w:val="clear" w:color="auto" w:fill="auto"/>
            <w:noWrap/>
            <w:vAlign w:val="bottom"/>
            <w:hideMark/>
          </w:tcPr>
          <w:p w14:paraId="44FCF4A7"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2020</w:t>
            </w:r>
          </w:p>
        </w:tc>
        <w:tc>
          <w:tcPr>
            <w:tcW w:w="1350" w:type="dxa"/>
            <w:shd w:val="clear" w:color="auto" w:fill="auto"/>
            <w:noWrap/>
            <w:vAlign w:val="bottom"/>
            <w:hideMark/>
          </w:tcPr>
          <w:p w14:paraId="37427BAB"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17</w:t>
            </w:r>
          </w:p>
        </w:tc>
        <w:tc>
          <w:tcPr>
            <w:tcW w:w="1313" w:type="dxa"/>
            <w:shd w:val="clear" w:color="auto" w:fill="auto"/>
            <w:noWrap/>
            <w:vAlign w:val="bottom"/>
            <w:hideMark/>
          </w:tcPr>
          <w:p w14:paraId="0C8F102A"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10</w:t>
            </w:r>
          </w:p>
        </w:tc>
        <w:tc>
          <w:tcPr>
            <w:tcW w:w="1207" w:type="dxa"/>
            <w:shd w:val="clear" w:color="auto" w:fill="auto"/>
            <w:noWrap/>
            <w:vAlign w:val="bottom"/>
            <w:hideMark/>
          </w:tcPr>
          <w:p w14:paraId="676BC1D8"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9</w:t>
            </w:r>
          </w:p>
        </w:tc>
        <w:tc>
          <w:tcPr>
            <w:tcW w:w="1522" w:type="dxa"/>
            <w:shd w:val="clear" w:color="auto" w:fill="auto"/>
            <w:noWrap/>
            <w:vAlign w:val="bottom"/>
            <w:hideMark/>
          </w:tcPr>
          <w:p w14:paraId="2BF86A37"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26</w:t>
            </w:r>
          </w:p>
        </w:tc>
        <w:tc>
          <w:tcPr>
            <w:tcW w:w="1268" w:type="dxa"/>
            <w:shd w:val="clear" w:color="auto" w:fill="auto"/>
            <w:noWrap/>
            <w:vAlign w:val="bottom"/>
            <w:hideMark/>
          </w:tcPr>
          <w:p w14:paraId="740F8549"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33</w:t>
            </w:r>
          </w:p>
        </w:tc>
        <w:tc>
          <w:tcPr>
            <w:tcW w:w="1461" w:type="dxa"/>
            <w:shd w:val="clear" w:color="auto" w:fill="auto"/>
            <w:noWrap/>
            <w:vAlign w:val="bottom"/>
            <w:hideMark/>
          </w:tcPr>
          <w:p w14:paraId="12794266"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13</w:t>
            </w:r>
          </w:p>
        </w:tc>
      </w:tr>
      <w:tr w:rsidR="00EC5D47" w:rsidRPr="00203E0A" w14:paraId="43C67449" w14:textId="77777777" w:rsidTr="008A160D">
        <w:trPr>
          <w:trHeight w:val="70"/>
          <w:jc w:val="center"/>
        </w:trPr>
        <w:tc>
          <w:tcPr>
            <w:tcW w:w="895" w:type="dxa"/>
            <w:shd w:val="clear" w:color="auto" w:fill="auto"/>
            <w:noWrap/>
            <w:vAlign w:val="bottom"/>
            <w:hideMark/>
          </w:tcPr>
          <w:p w14:paraId="630F7524"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2021</w:t>
            </w:r>
          </w:p>
        </w:tc>
        <w:tc>
          <w:tcPr>
            <w:tcW w:w="1350" w:type="dxa"/>
            <w:shd w:val="clear" w:color="auto" w:fill="auto"/>
            <w:noWrap/>
            <w:vAlign w:val="bottom"/>
            <w:hideMark/>
          </w:tcPr>
          <w:p w14:paraId="630DDE09"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11</w:t>
            </w:r>
          </w:p>
        </w:tc>
        <w:tc>
          <w:tcPr>
            <w:tcW w:w="1313" w:type="dxa"/>
            <w:shd w:val="clear" w:color="auto" w:fill="auto"/>
            <w:noWrap/>
            <w:vAlign w:val="bottom"/>
            <w:hideMark/>
          </w:tcPr>
          <w:p w14:paraId="260BF80E"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14</w:t>
            </w:r>
          </w:p>
        </w:tc>
        <w:tc>
          <w:tcPr>
            <w:tcW w:w="1207" w:type="dxa"/>
            <w:shd w:val="clear" w:color="auto" w:fill="auto"/>
            <w:noWrap/>
            <w:vAlign w:val="bottom"/>
            <w:hideMark/>
          </w:tcPr>
          <w:p w14:paraId="3438036F"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18</w:t>
            </w:r>
          </w:p>
        </w:tc>
        <w:tc>
          <w:tcPr>
            <w:tcW w:w="1522" w:type="dxa"/>
            <w:shd w:val="clear" w:color="auto" w:fill="auto"/>
            <w:noWrap/>
            <w:vAlign w:val="bottom"/>
            <w:hideMark/>
          </w:tcPr>
          <w:p w14:paraId="63E884B3"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34</w:t>
            </w:r>
          </w:p>
        </w:tc>
        <w:tc>
          <w:tcPr>
            <w:tcW w:w="1268" w:type="dxa"/>
            <w:shd w:val="clear" w:color="auto" w:fill="auto"/>
            <w:noWrap/>
            <w:vAlign w:val="bottom"/>
            <w:hideMark/>
          </w:tcPr>
          <w:p w14:paraId="6A37BCE3"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33</w:t>
            </w:r>
          </w:p>
        </w:tc>
        <w:tc>
          <w:tcPr>
            <w:tcW w:w="1461" w:type="dxa"/>
            <w:shd w:val="clear" w:color="auto" w:fill="auto"/>
            <w:noWrap/>
            <w:vAlign w:val="bottom"/>
            <w:hideMark/>
          </w:tcPr>
          <w:p w14:paraId="775645F3" w14:textId="77777777" w:rsidR="00EC5D47" w:rsidRPr="00203E0A" w:rsidRDefault="48A77BA5" w:rsidP="00580065">
            <w:pPr>
              <w:spacing w:after="0" w:line="240" w:lineRule="auto"/>
              <w:jc w:val="right"/>
              <w:rPr>
                <w:rFonts w:ascii="Times New Roman" w:hAnsi="Times New Roman" w:cs="Times New Roman"/>
                <w:color w:val="000000"/>
                <w:lang w:eastAsia="en-GB"/>
              </w:rPr>
            </w:pPr>
            <w:r w:rsidRPr="00203E0A">
              <w:rPr>
                <w:rFonts w:ascii="Times New Roman" w:hAnsi="Times New Roman" w:cs="Times New Roman"/>
                <w:color w:val="000000" w:themeColor="text1"/>
              </w:rPr>
              <w:t>8</w:t>
            </w:r>
          </w:p>
        </w:tc>
      </w:tr>
      <w:tr w:rsidR="006E56DB" w:rsidRPr="00203E0A" w14:paraId="28637A0D" w14:textId="77777777" w:rsidTr="00EE6651">
        <w:trPr>
          <w:trHeight w:val="70"/>
          <w:jc w:val="center"/>
        </w:trPr>
        <w:tc>
          <w:tcPr>
            <w:tcW w:w="895" w:type="dxa"/>
            <w:shd w:val="clear" w:color="auto" w:fill="auto"/>
            <w:noWrap/>
            <w:vAlign w:val="bottom"/>
          </w:tcPr>
          <w:p w14:paraId="3E451D31" w14:textId="09010FED" w:rsidR="006E56DB" w:rsidRPr="00203E0A" w:rsidRDefault="006E56DB"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2022</w:t>
            </w:r>
          </w:p>
        </w:tc>
        <w:tc>
          <w:tcPr>
            <w:tcW w:w="1350" w:type="dxa"/>
            <w:shd w:val="clear" w:color="auto" w:fill="auto"/>
            <w:noWrap/>
            <w:vAlign w:val="bottom"/>
          </w:tcPr>
          <w:p w14:paraId="7C7DC281" w14:textId="22924AED" w:rsidR="006E56DB" w:rsidRPr="00203E0A" w:rsidRDefault="006E56DB"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13</w:t>
            </w:r>
          </w:p>
        </w:tc>
        <w:tc>
          <w:tcPr>
            <w:tcW w:w="1313" w:type="dxa"/>
            <w:shd w:val="clear" w:color="auto" w:fill="auto"/>
            <w:noWrap/>
            <w:vAlign w:val="bottom"/>
          </w:tcPr>
          <w:p w14:paraId="7F9BC9AB" w14:textId="0D02A852" w:rsidR="006E56DB" w:rsidRPr="00203E0A" w:rsidRDefault="006E56DB" w:rsidP="00580065">
            <w:pPr>
              <w:spacing w:after="0" w:line="240" w:lineRule="auto"/>
              <w:jc w:val="right"/>
              <w:rPr>
                <w:rFonts w:ascii="Times New Roman" w:hAnsi="Times New Roman" w:cs="Times New Roman"/>
                <w:color w:val="000000" w:themeColor="text1"/>
              </w:rPr>
            </w:pPr>
            <w:r w:rsidRPr="00203E0A">
              <w:rPr>
                <w:rFonts w:ascii="Times New Roman" w:hAnsi="Times New Roman" w:cs="Times New Roman"/>
                <w:color w:val="000000" w:themeColor="text1"/>
              </w:rPr>
              <w:t>6</w:t>
            </w:r>
          </w:p>
        </w:tc>
        <w:tc>
          <w:tcPr>
            <w:tcW w:w="1207" w:type="dxa"/>
            <w:shd w:val="clear" w:color="auto" w:fill="auto"/>
            <w:noWrap/>
            <w:vAlign w:val="bottom"/>
          </w:tcPr>
          <w:p w14:paraId="16949A3D" w14:textId="331C4CC0" w:rsidR="006E56DB" w:rsidRPr="00203E0A" w:rsidRDefault="006E56DB" w:rsidP="00580065">
            <w:pPr>
              <w:spacing w:after="0" w:line="240" w:lineRule="auto"/>
              <w:jc w:val="right"/>
              <w:rPr>
                <w:rFonts w:ascii="Times New Roman" w:hAnsi="Times New Roman" w:cs="Times New Roman"/>
                <w:color w:val="000000" w:themeColor="text1"/>
              </w:rPr>
            </w:pPr>
            <w:r w:rsidRPr="00203E0A">
              <w:rPr>
                <w:rFonts w:ascii="Times New Roman" w:hAnsi="Times New Roman" w:cs="Times New Roman"/>
                <w:color w:val="000000" w:themeColor="text1"/>
              </w:rPr>
              <w:t>23</w:t>
            </w:r>
          </w:p>
        </w:tc>
        <w:tc>
          <w:tcPr>
            <w:tcW w:w="1522" w:type="dxa"/>
            <w:shd w:val="clear" w:color="auto" w:fill="auto"/>
            <w:noWrap/>
            <w:vAlign w:val="bottom"/>
          </w:tcPr>
          <w:p w14:paraId="5DEDC60A" w14:textId="79077EDF" w:rsidR="006E56DB" w:rsidRPr="00203E0A" w:rsidRDefault="006E56DB" w:rsidP="00580065">
            <w:pPr>
              <w:spacing w:after="0" w:line="240" w:lineRule="auto"/>
              <w:jc w:val="right"/>
              <w:rPr>
                <w:rFonts w:ascii="Times New Roman" w:hAnsi="Times New Roman" w:cs="Times New Roman"/>
                <w:color w:val="000000" w:themeColor="text1"/>
              </w:rPr>
            </w:pPr>
            <w:r w:rsidRPr="00203E0A">
              <w:rPr>
                <w:rFonts w:ascii="Times New Roman" w:hAnsi="Times New Roman" w:cs="Times New Roman"/>
                <w:color w:val="000000" w:themeColor="text1"/>
              </w:rPr>
              <w:t>33</w:t>
            </w:r>
          </w:p>
        </w:tc>
        <w:tc>
          <w:tcPr>
            <w:tcW w:w="1268" w:type="dxa"/>
            <w:shd w:val="clear" w:color="auto" w:fill="auto"/>
            <w:noWrap/>
            <w:vAlign w:val="bottom"/>
          </w:tcPr>
          <w:p w14:paraId="05D34A19" w14:textId="7DA72F16" w:rsidR="006E56DB" w:rsidRPr="00203E0A" w:rsidRDefault="006E56DB" w:rsidP="00580065">
            <w:pPr>
              <w:spacing w:after="0" w:line="240" w:lineRule="auto"/>
              <w:jc w:val="right"/>
              <w:rPr>
                <w:rFonts w:ascii="Times New Roman" w:hAnsi="Times New Roman" w:cs="Times New Roman"/>
                <w:color w:val="000000" w:themeColor="text1"/>
              </w:rPr>
            </w:pPr>
            <w:r w:rsidRPr="00203E0A">
              <w:rPr>
                <w:rFonts w:ascii="Times New Roman" w:hAnsi="Times New Roman" w:cs="Times New Roman"/>
                <w:color w:val="000000" w:themeColor="text1"/>
              </w:rPr>
              <w:t>21</w:t>
            </w:r>
          </w:p>
        </w:tc>
        <w:tc>
          <w:tcPr>
            <w:tcW w:w="1461" w:type="dxa"/>
            <w:shd w:val="clear" w:color="auto" w:fill="auto"/>
            <w:noWrap/>
            <w:vAlign w:val="bottom"/>
          </w:tcPr>
          <w:p w14:paraId="15CE5A1B" w14:textId="4928364F" w:rsidR="006E56DB" w:rsidRPr="00203E0A" w:rsidRDefault="006E56DB" w:rsidP="00580065">
            <w:pPr>
              <w:spacing w:after="0" w:line="240" w:lineRule="auto"/>
              <w:jc w:val="right"/>
              <w:rPr>
                <w:rFonts w:ascii="Times New Roman" w:hAnsi="Times New Roman" w:cs="Times New Roman"/>
                <w:color w:val="000000" w:themeColor="text1"/>
              </w:rPr>
            </w:pPr>
            <w:r w:rsidRPr="00203E0A">
              <w:rPr>
                <w:rFonts w:ascii="Times New Roman" w:hAnsi="Times New Roman" w:cs="Times New Roman"/>
                <w:color w:val="000000" w:themeColor="text1"/>
              </w:rPr>
              <w:t>7</w:t>
            </w:r>
          </w:p>
        </w:tc>
      </w:tr>
    </w:tbl>
    <w:p w14:paraId="2F67FBD9" w14:textId="4BA3A2B7" w:rsidR="00EC5D47" w:rsidRPr="00203E0A" w:rsidRDefault="48A77BA5" w:rsidP="48A77BA5">
      <w:pPr>
        <w:jc w:val="both"/>
        <w:rPr>
          <w:rFonts w:ascii="Times New Roman" w:hAnsi="Times New Roman" w:cs="Times New Roman"/>
          <w:i/>
          <w:iCs/>
          <w:sz w:val="24"/>
          <w:szCs w:val="24"/>
        </w:rPr>
      </w:pPr>
      <w:r w:rsidRPr="00203E0A">
        <w:rPr>
          <w:rFonts w:ascii="Times New Roman" w:hAnsi="Times New Roman" w:cs="Times New Roman"/>
          <w:i/>
          <w:iCs/>
          <w:sz w:val="24"/>
          <w:szCs w:val="24"/>
        </w:rPr>
        <w:t>Извор: Извештаји Управе за безбедност и здравље на раду</w:t>
      </w:r>
      <w:r w:rsidR="006E56DB" w:rsidRPr="00203E0A">
        <w:rPr>
          <w:rFonts w:ascii="Times New Roman" w:hAnsi="Times New Roman" w:cs="Times New Roman"/>
          <w:i/>
          <w:iCs/>
          <w:sz w:val="24"/>
          <w:szCs w:val="24"/>
        </w:rPr>
        <w:t>-</w:t>
      </w:r>
      <w:r w:rsidR="006E56DB" w:rsidRPr="00203E0A">
        <w:rPr>
          <w:rFonts w:ascii="Times New Roman" w:hAnsi="Times New Roman" w:cs="Times New Roman"/>
          <w:i/>
          <w:sz w:val="24"/>
          <w:szCs w:val="24"/>
        </w:rPr>
        <w:t>Подаци о броју кривичних пријава поднетих тужилаштвима на територији Републике Србије</w:t>
      </w:r>
    </w:p>
    <w:p w14:paraId="758F136D" w14:textId="4A3EBEA2" w:rsidR="00EC5D47" w:rsidRPr="00203E0A" w:rsidRDefault="48A77BA5" w:rsidP="001305AA">
      <w:pPr>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На основу података Министарства правде, за све прекршајне судове у Републици Србији о броју поднетих захтева према Закону о прекршајима („Службени гласник РС”, </w:t>
      </w:r>
      <w:r w:rsidR="00ED4DE3">
        <w:rPr>
          <w:rFonts w:ascii="Times New Roman" w:hAnsi="Times New Roman" w:cs="Times New Roman"/>
          <w:sz w:val="24"/>
          <w:szCs w:val="24"/>
        </w:rPr>
        <w:t>бр. 65/13, 13/16, 98/16 –</w:t>
      </w:r>
      <w:r w:rsidRPr="00203E0A">
        <w:rPr>
          <w:rFonts w:ascii="Times New Roman" w:hAnsi="Times New Roman" w:cs="Times New Roman"/>
          <w:sz w:val="24"/>
          <w:szCs w:val="24"/>
        </w:rPr>
        <w:t xml:space="preserve"> УС, 91/19, 91/19 - др. закон и 112/22 – УС), уочава се тренд повећања ефикасности рада судова мерен односом броја решених и броја поднетих захтева. У односу на први период примене стратегије, када судови нису успели да савладају прилив нових предмета, број решених предмета је значајно увећан од 2020. године. Санкције у виду максималне новчане казне преко 1 милион динара се ретко јављају, док се у просеку око трећина решених случајева завршава са изрицањем казне до 100.000 динара, а око четвртине казнама средње величине од 100.000 до 1.000.000 динара</w:t>
      </w:r>
      <w:r w:rsidR="00ED4DE3">
        <w:rPr>
          <w:rFonts w:ascii="Times New Roman" w:hAnsi="Times New Roman" w:cs="Times New Roman"/>
          <w:sz w:val="24"/>
          <w:szCs w:val="24"/>
          <w:lang w:val="en-US"/>
        </w:rPr>
        <w:t>.</w:t>
      </w:r>
      <w:r w:rsidRPr="00203E0A">
        <w:rPr>
          <w:rFonts w:ascii="Times New Roman" w:hAnsi="Times New Roman" w:cs="Times New Roman"/>
          <w:sz w:val="24"/>
          <w:szCs w:val="24"/>
        </w:rPr>
        <w:t xml:space="preserve"> Такође</w:t>
      </w:r>
      <w:r w:rsidR="00ED4DE3">
        <w:rPr>
          <w:rFonts w:ascii="Times New Roman" w:hAnsi="Times New Roman" w:cs="Times New Roman"/>
          <w:sz w:val="24"/>
          <w:szCs w:val="24"/>
          <w:lang w:val="en-US"/>
        </w:rPr>
        <w:t>,</w:t>
      </w:r>
      <w:r w:rsidRPr="00203E0A">
        <w:rPr>
          <w:rFonts w:ascii="Times New Roman" w:hAnsi="Times New Roman" w:cs="Times New Roman"/>
          <w:sz w:val="24"/>
          <w:szCs w:val="24"/>
        </w:rPr>
        <w:t xml:space="preserve"> приметан </w:t>
      </w:r>
      <w:r w:rsidR="00ED4DE3" w:rsidRPr="00203E0A">
        <w:rPr>
          <w:rFonts w:ascii="Times New Roman" w:hAnsi="Times New Roman" w:cs="Times New Roman"/>
          <w:sz w:val="24"/>
          <w:szCs w:val="24"/>
        </w:rPr>
        <w:t xml:space="preserve">је </w:t>
      </w:r>
      <w:r w:rsidRPr="00203E0A">
        <w:rPr>
          <w:rFonts w:ascii="Times New Roman" w:hAnsi="Times New Roman" w:cs="Times New Roman"/>
          <w:sz w:val="24"/>
          <w:szCs w:val="24"/>
        </w:rPr>
        <w:t>тренд повећања број предмета решених на други начин по Закону о прекршајима (опомена, одбачај захтева, обустава, окривљени ослобођен одговорности).</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1"/>
        <w:gridCol w:w="1196"/>
        <w:gridCol w:w="1276"/>
        <w:gridCol w:w="983"/>
        <w:gridCol w:w="984"/>
        <w:gridCol w:w="984"/>
        <w:gridCol w:w="2340"/>
        <w:gridCol w:w="16"/>
      </w:tblGrid>
      <w:tr w:rsidR="00EC5D47" w:rsidRPr="00203E0A" w14:paraId="12D2DFE5" w14:textId="77777777" w:rsidTr="008A160D">
        <w:trPr>
          <w:gridAfter w:val="1"/>
          <w:wAfter w:w="16" w:type="dxa"/>
          <w:trHeight w:val="357"/>
        </w:trPr>
        <w:tc>
          <w:tcPr>
            <w:tcW w:w="1351" w:type="dxa"/>
            <w:vMerge w:val="restart"/>
            <w:shd w:val="clear" w:color="auto" w:fill="auto"/>
            <w:vAlign w:val="center"/>
            <w:hideMark/>
          </w:tcPr>
          <w:p w14:paraId="0CE927E6" w14:textId="77777777" w:rsidR="00EC5D47" w:rsidRPr="00203E0A" w:rsidRDefault="48A77BA5" w:rsidP="00580065">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Прекршајни суд</w:t>
            </w:r>
          </w:p>
        </w:tc>
        <w:tc>
          <w:tcPr>
            <w:tcW w:w="1196" w:type="dxa"/>
            <w:vMerge w:val="restart"/>
            <w:shd w:val="clear" w:color="auto" w:fill="auto"/>
            <w:vAlign w:val="center"/>
            <w:hideMark/>
          </w:tcPr>
          <w:p w14:paraId="67AC5A39" w14:textId="39E3CACA" w:rsidR="00EC5D47" w:rsidRPr="00203E0A" w:rsidRDefault="48A77BA5" w:rsidP="00A504B4">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Број поднетих захтева.</w:t>
            </w:r>
          </w:p>
        </w:tc>
        <w:tc>
          <w:tcPr>
            <w:tcW w:w="1276" w:type="dxa"/>
            <w:vMerge w:val="restart"/>
            <w:shd w:val="clear" w:color="auto" w:fill="auto"/>
            <w:vAlign w:val="center"/>
            <w:hideMark/>
          </w:tcPr>
          <w:p w14:paraId="5A0E3B56" w14:textId="7C8E9D75" w:rsidR="00EC5D47" w:rsidRPr="00203E0A" w:rsidRDefault="48A77BA5" w:rsidP="0038016F">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 xml:space="preserve">Број решених предмета </w:t>
            </w:r>
          </w:p>
        </w:tc>
        <w:tc>
          <w:tcPr>
            <w:tcW w:w="2951" w:type="dxa"/>
            <w:gridSpan w:val="3"/>
            <w:shd w:val="clear" w:color="auto" w:fill="auto"/>
            <w:vAlign w:val="center"/>
            <w:hideMark/>
          </w:tcPr>
          <w:p w14:paraId="6F072B08" w14:textId="77777777" w:rsidR="00EC5D47" w:rsidRPr="00203E0A" w:rsidRDefault="48A77BA5" w:rsidP="00580065">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Број предмета у којима је изречена новчана казна у износу од:</w:t>
            </w:r>
          </w:p>
        </w:tc>
        <w:tc>
          <w:tcPr>
            <w:tcW w:w="2340" w:type="dxa"/>
            <w:vMerge w:val="restart"/>
            <w:shd w:val="clear" w:color="auto" w:fill="auto"/>
            <w:vAlign w:val="center"/>
            <w:hideMark/>
          </w:tcPr>
          <w:p w14:paraId="010AB51E" w14:textId="77777777" w:rsidR="00EC5D47" w:rsidRPr="00203E0A" w:rsidRDefault="48A77BA5" w:rsidP="00580065">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Решено на други начин по Закону о прекршајима (опомена, одбачај захтева, обустава, окривљени ослобођен одговорности)</w:t>
            </w:r>
          </w:p>
        </w:tc>
      </w:tr>
      <w:tr w:rsidR="00EC5D47" w:rsidRPr="00203E0A" w14:paraId="3139C987" w14:textId="77777777" w:rsidTr="008A160D">
        <w:trPr>
          <w:gridAfter w:val="1"/>
          <w:wAfter w:w="16" w:type="dxa"/>
          <w:trHeight w:val="550"/>
        </w:trPr>
        <w:tc>
          <w:tcPr>
            <w:tcW w:w="1351" w:type="dxa"/>
            <w:vMerge/>
            <w:vAlign w:val="center"/>
          </w:tcPr>
          <w:p w14:paraId="3EE41D2C" w14:textId="77777777" w:rsidR="00EC5D47" w:rsidRPr="00203E0A" w:rsidRDefault="00EC5D47" w:rsidP="00125B70">
            <w:pPr>
              <w:spacing w:after="0" w:line="240" w:lineRule="auto"/>
              <w:jc w:val="center"/>
              <w:rPr>
                <w:rFonts w:ascii="Times New Roman" w:hAnsi="Times New Roman" w:cs="Times New Roman"/>
                <w:color w:val="000000"/>
                <w:sz w:val="20"/>
                <w:szCs w:val="20"/>
                <w:lang w:eastAsia="en-GB"/>
              </w:rPr>
            </w:pPr>
          </w:p>
        </w:tc>
        <w:tc>
          <w:tcPr>
            <w:tcW w:w="1196" w:type="dxa"/>
            <w:vMerge/>
            <w:vAlign w:val="center"/>
          </w:tcPr>
          <w:p w14:paraId="5040032D" w14:textId="77777777" w:rsidR="00EC5D47" w:rsidRPr="00203E0A" w:rsidRDefault="00EC5D47" w:rsidP="00125B70">
            <w:pPr>
              <w:spacing w:after="0" w:line="240" w:lineRule="auto"/>
              <w:jc w:val="center"/>
              <w:rPr>
                <w:rFonts w:ascii="Times New Roman" w:hAnsi="Times New Roman" w:cs="Times New Roman"/>
                <w:color w:val="000000"/>
                <w:sz w:val="20"/>
                <w:szCs w:val="20"/>
                <w:lang w:eastAsia="en-GB"/>
              </w:rPr>
            </w:pPr>
          </w:p>
        </w:tc>
        <w:tc>
          <w:tcPr>
            <w:tcW w:w="1276" w:type="dxa"/>
            <w:vMerge/>
            <w:vAlign w:val="center"/>
          </w:tcPr>
          <w:p w14:paraId="42C6C3F1" w14:textId="77777777" w:rsidR="00EC5D47" w:rsidRPr="00203E0A" w:rsidRDefault="00EC5D47" w:rsidP="00125B70">
            <w:pPr>
              <w:spacing w:after="0" w:line="240" w:lineRule="auto"/>
              <w:jc w:val="center"/>
              <w:rPr>
                <w:rFonts w:ascii="Times New Roman" w:hAnsi="Times New Roman" w:cs="Times New Roman"/>
                <w:color w:val="000000"/>
                <w:sz w:val="20"/>
                <w:szCs w:val="20"/>
                <w:lang w:eastAsia="en-GB"/>
              </w:rPr>
            </w:pPr>
          </w:p>
        </w:tc>
        <w:tc>
          <w:tcPr>
            <w:tcW w:w="983" w:type="dxa"/>
            <w:shd w:val="clear" w:color="auto" w:fill="auto"/>
            <w:vAlign w:val="center"/>
          </w:tcPr>
          <w:p w14:paraId="5E57D249" w14:textId="77777777" w:rsidR="00EC5D47" w:rsidRPr="00203E0A" w:rsidRDefault="48A77BA5" w:rsidP="00580065">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До 100.000</w:t>
            </w:r>
          </w:p>
        </w:tc>
        <w:tc>
          <w:tcPr>
            <w:tcW w:w="984" w:type="dxa"/>
            <w:shd w:val="clear" w:color="auto" w:fill="auto"/>
            <w:vAlign w:val="center"/>
          </w:tcPr>
          <w:p w14:paraId="6A2B1D46" w14:textId="77777777" w:rsidR="00EC5D47" w:rsidRPr="00203E0A" w:rsidRDefault="48A77BA5" w:rsidP="00580065">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Од 100.000- до милион</w:t>
            </w:r>
          </w:p>
        </w:tc>
        <w:tc>
          <w:tcPr>
            <w:tcW w:w="984" w:type="dxa"/>
            <w:shd w:val="clear" w:color="auto" w:fill="auto"/>
            <w:vAlign w:val="center"/>
          </w:tcPr>
          <w:p w14:paraId="130EEFB5" w14:textId="77777777" w:rsidR="00EC5D47" w:rsidRPr="00203E0A" w:rsidRDefault="48A77BA5" w:rsidP="00580065">
            <w:pPr>
              <w:spacing w:after="0" w:line="240" w:lineRule="auto"/>
              <w:jc w:val="center"/>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Преко милион</w:t>
            </w:r>
          </w:p>
        </w:tc>
        <w:tc>
          <w:tcPr>
            <w:tcW w:w="2340" w:type="dxa"/>
            <w:vMerge/>
            <w:vAlign w:val="center"/>
          </w:tcPr>
          <w:p w14:paraId="3F0EAE19" w14:textId="77777777" w:rsidR="00EC5D47" w:rsidRPr="00203E0A" w:rsidRDefault="00EC5D47" w:rsidP="00125B70">
            <w:pPr>
              <w:spacing w:after="0" w:line="240" w:lineRule="auto"/>
              <w:jc w:val="center"/>
              <w:rPr>
                <w:rFonts w:ascii="Times New Roman" w:hAnsi="Times New Roman" w:cs="Times New Roman"/>
                <w:color w:val="000000"/>
                <w:sz w:val="20"/>
                <w:szCs w:val="20"/>
                <w:lang w:eastAsia="en-GB"/>
              </w:rPr>
            </w:pPr>
          </w:p>
        </w:tc>
      </w:tr>
      <w:tr w:rsidR="00EC5D47" w:rsidRPr="00203E0A" w14:paraId="53E86567" w14:textId="77777777" w:rsidTr="008A160D">
        <w:trPr>
          <w:trHeight w:val="300"/>
        </w:trPr>
        <w:tc>
          <w:tcPr>
            <w:tcW w:w="1351" w:type="dxa"/>
            <w:shd w:val="clear" w:color="auto" w:fill="auto"/>
            <w:noWrap/>
            <w:vAlign w:val="bottom"/>
            <w:hideMark/>
          </w:tcPr>
          <w:p w14:paraId="10F50EB9"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2018</w:t>
            </w:r>
          </w:p>
        </w:tc>
        <w:tc>
          <w:tcPr>
            <w:tcW w:w="1196" w:type="dxa"/>
            <w:shd w:val="clear" w:color="auto" w:fill="auto"/>
            <w:noWrap/>
            <w:vAlign w:val="bottom"/>
            <w:hideMark/>
          </w:tcPr>
          <w:p w14:paraId="2442780C"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904</w:t>
            </w:r>
          </w:p>
        </w:tc>
        <w:tc>
          <w:tcPr>
            <w:tcW w:w="1276" w:type="dxa"/>
            <w:shd w:val="clear" w:color="auto" w:fill="auto"/>
            <w:noWrap/>
            <w:vAlign w:val="bottom"/>
            <w:hideMark/>
          </w:tcPr>
          <w:p w14:paraId="2504179D"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672</w:t>
            </w:r>
          </w:p>
        </w:tc>
        <w:tc>
          <w:tcPr>
            <w:tcW w:w="983" w:type="dxa"/>
            <w:shd w:val="clear" w:color="auto" w:fill="auto"/>
            <w:noWrap/>
            <w:vAlign w:val="bottom"/>
            <w:hideMark/>
          </w:tcPr>
          <w:p w14:paraId="290A9ECE"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212</w:t>
            </w:r>
          </w:p>
        </w:tc>
        <w:tc>
          <w:tcPr>
            <w:tcW w:w="984" w:type="dxa"/>
            <w:shd w:val="clear" w:color="auto" w:fill="auto"/>
            <w:noWrap/>
            <w:vAlign w:val="bottom"/>
            <w:hideMark/>
          </w:tcPr>
          <w:p w14:paraId="177B043A"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138</w:t>
            </w:r>
          </w:p>
        </w:tc>
        <w:tc>
          <w:tcPr>
            <w:tcW w:w="984" w:type="dxa"/>
            <w:shd w:val="clear" w:color="auto" w:fill="auto"/>
            <w:noWrap/>
            <w:vAlign w:val="bottom"/>
            <w:hideMark/>
          </w:tcPr>
          <w:p w14:paraId="655DF22B"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6</w:t>
            </w:r>
          </w:p>
        </w:tc>
        <w:tc>
          <w:tcPr>
            <w:tcW w:w="2356" w:type="dxa"/>
            <w:gridSpan w:val="2"/>
            <w:shd w:val="clear" w:color="auto" w:fill="auto"/>
            <w:noWrap/>
            <w:vAlign w:val="bottom"/>
            <w:hideMark/>
          </w:tcPr>
          <w:p w14:paraId="6020584D"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316</w:t>
            </w:r>
          </w:p>
        </w:tc>
      </w:tr>
      <w:tr w:rsidR="00EC5D47" w:rsidRPr="00203E0A" w14:paraId="0A66E85D" w14:textId="77777777" w:rsidTr="008A160D">
        <w:trPr>
          <w:trHeight w:val="300"/>
        </w:trPr>
        <w:tc>
          <w:tcPr>
            <w:tcW w:w="1351" w:type="dxa"/>
            <w:shd w:val="clear" w:color="auto" w:fill="auto"/>
            <w:noWrap/>
            <w:vAlign w:val="bottom"/>
            <w:hideMark/>
          </w:tcPr>
          <w:p w14:paraId="1586FBAF"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2019</w:t>
            </w:r>
          </w:p>
        </w:tc>
        <w:tc>
          <w:tcPr>
            <w:tcW w:w="1196" w:type="dxa"/>
            <w:shd w:val="clear" w:color="auto" w:fill="auto"/>
            <w:noWrap/>
            <w:vAlign w:val="bottom"/>
            <w:hideMark/>
          </w:tcPr>
          <w:p w14:paraId="76722530"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1054</w:t>
            </w:r>
          </w:p>
        </w:tc>
        <w:tc>
          <w:tcPr>
            <w:tcW w:w="1276" w:type="dxa"/>
            <w:shd w:val="clear" w:color="auto" w:fill="auto"/>
            <w:noWrap/>
            <w:vAlign w:val="bottom"/>
            <w:hideMark/>
          </w:tcPr>
          <w:p w14:paraId="1409A09F"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669</w:t>
            </w:r>
          </w:p>
        </w:tc>
        <w:tc>
          <w:tcPr>
            <w:tcW w:w="983" w:type="dxa"/>
            <w:shd w:val="clear" w:color="auto" w:fill="auto"/>
            <w:noWrap/>
            <w:vAlign w:val="bottom"/>
            <w:hideMark/>
          </w:tcPr>
          <w:p w14:paraId="5063A2BE"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253</w:t>
            </w:r>
          </w:p>
        </w:tc>
        <w:tc>
          <w:tcPr>
            <w:tcW w:w="984" w:type="dxa"/>
            <w:shd w:val="clear" w:color="auto" w:fill="auto"/>
            <w:noWrap/>
            <w:vAlign w:val="bottom"/>
            <w:hideMark/>
          </w:tcPr>
          <w:p w14:paraId="19672898"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163</w:t>
            </w:r>
          </w:p>
        </w:tc>
        <w:tc>
          <w:tcPr>
            <w:tcW w:w="984" w:type="dxa"/>
            <w:shd w:val="clear" w:color="auto" w:fill="auto"/>
            <w:noWrap/>
            <w:vAlign w:val="bottom"/>
            <w:hideMark/>
          </w:tcPr>
          <w:p w14:paraId="258D1355"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w:t>
            </w:r>
          </w:p>
        </w:tc>
        <w:tc>
          <w:tcPr>
            <w:tcW w:w="2356" w:type="dxa"/>
            <w:gridSpan w:val="2"/>
            <w:shd w:val="clear" w:color="auto" w:fill="auto"/>
            <w:noWrap/>
            <w:vAlign w:val="bottom"/>
            <w:hideMark/>
          </w:tcPr>
          <w:p w14:paraId="302B5BA0"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251</w:t>
            </w:r>
          </w:p>
        </w:tc>
      </w:tr>
      <w:tr w:rsidR="00EC5D47" w:rsidRPr="00203E0A" w14:paraId="768BDB68" w14:textId="77777777" w:rsidTr="008A160D">
        <w:trPr>
          <w:trHeight w:val="300"/>
        </w:trPr>
        <w:tc>
          <w:tcPr>
            <w:tcW w:w="1351" w:type="dxa"/>
            <w:shd w:val="clear" w:color="auto" w:fill="auto"/>
            <w:noWrap/>
            <w:vAlign w:val="bottom"/>
            <w:hideMark/>
          </w:tcPr>
          <w:p w14:paraId="28ECE618"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2020</w:t>
            </w:r>
          </w:p>
        </w:tc>
        <w:tc>
          <w:tcPr>
            <w:tcW w:w="1196" w:type="dxa"/>
            <w:shd w:val="clear" w:color="auto" w:fill="auto"/>
            <w:noWrap/>
            <w:vAlign w:val="bottom"/>
            <w:hideMark/>
          </w:tcPr>
          <w:p w14:paraId="2343E3F0"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815</w:t>
            </w:r>
          </w:p>
        </w:tc>
        <w:tc>
          <w:tcPr>
            <w:tcW w:w="1276" w:type="dxa"/>
            <w:shd w:val="clear" w:color="auto" w:fill="auto"/>
            <w:noWrap/>
            <w:vAlign w:val="bottom"/>
            <w:hideMark/>
          </w:tcPr>
          <w:p w14:paraId="7E8C3105"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897</w:t>
            </w:r>
          </w:p>
        </w:tc>
        <w:tc>
          <w:tcPr>
            <w:tcW w:w="983" w:type="dxa"/>
            <w:shd w:val="clear" w:color="auto" w:fill="auto"/>
            <w:noWrap/>
            <w:vAlign w:val="bottom"/>
            <w:hideMark/>
          </w:tcPr>
          <w:p w14:paraId="63418DEB"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307</w:t>
            </w:r>
          </w:p>
        </w:tc>
        <w:tc>
          <w:tcPr>
            <w:tcW w:w="984" w:type="dxa"/>
            <w:shd w:val="clear" w:color="auto" w:fill="auto"/>
            <w:noWrap/>
            <w:vAlign w:val="bottom"/>
            <w:hideMark/>
          </w:tcPr>
          <w:p w14:paraId="64EE4902"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226</w:t>
            </w:r>
          </w:p>
        </w:tc>
        <w:tc>
          <w:tcPr>
            <w:tcW w:w="984" w:type="dxa"/>
            <w:shd w:val="clear" w:color="auto" w:fill="auto"/>
            <w:noWrap/>
            <w:vAlign w:val="bottom"/>
            <w:hideMark/>
          </w:tcPr>
          <w:p w14:paraId="2473CD5C"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5</w:t>
            </w:r>
          </w:p>
        </w:tc>
        <w:tc>
          <w:tcPr>
            <w:tcW w:w="2356" w:type="dxa"/>
            <w:gridSpan w:val="2"/>
            <w:shd w:val="clear" w:color="auto" w:fill="auto"/>
            <w:noWrap/>
            <w:vAlign w:val="bottom"/>
            <w:hideMark/>
          </w:tcPr>
          <w:p w14:paraId="099A1106"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359</w:t>
            </w:r>
          </w:p>
        </w:tc>
      </w:tr>
      <w:tr w:rsidR="00EC5D47" w:rsidRPr="00203E0A" w14:paraId="7A98F481" w14:textId="77777777" w:rsidTr="008A160D">
        <w:trPr>
          <w:trHeight w:val="300"/>
        </w:trPr>
        <w:tc>
          <w:tcPr>
            <w:tcW w:w="1351" w:type="dxa"/>
            <w:shd w:val="clear" w:color="auto" w:fill="auto"/>
            <w:noWrap/>
            <w:vAlign w:val="bottom"/>
            <w:hideMark/>
          </w:tcPr>
          <w:p w14:paraId="6E6D28E1"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2021</w:t>
            </w:r>
          </w:p>
        </w:tc>
        <w:tc>
          <w:tcPr>
            <w:tcW w:w="1196" w:type="dxa"/>
            <w:shd w:val="clear" w:color="auto" w:fill="auto"/>
            <w:noWrap/>
            <w:vAlign w:val="bottom"/>
            <w:hideMark/>
          </w:tcPr>
          <w:p w14:paraId="6CC62291"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940</w:t>
            </w:r>
          </w:p>
        </w:tc>
        <w:tc>
          <w:tcPr>
            <w:tcW w:w="1276" w:type="dxa"/>
            <w:shd w:val="clear" w:color="auto" w:fill="auto"/>
            <w:noWrap/>
            <w:vAlign w:val="bottom"/>
            <w:hideMark/>
          </w:tcPr>
          <w:p w14:paraId="082904FF"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813</w:t>
            </w:r>
          </w:p>
        </w:tc>
        <w:tc>
          <w:tcPr>
            <w:tcW w:w="983" w:type="dxa"/>
            <w:shd w:val="clear" w:color="auto" w:fill="auto"/>
            <w:noWrap/>
            <w:vAlign w:val="bottom"/>
            <w:hideMark/>
          </w:tcPr>
          <w:p w14:paraId="28B168E7"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248</w:t>
            </w:r>
          </w:p>
        </w:tc>
        <w:tc>
          <w:tcPr>
            <w:tcW w:w="984" w:type="dxa"/>
            <w:shd w:val="clear" w:color="auto" w:fill="auto"/>
            <w:noWrap/>
            <w:vAlign w:val="bottom"/>
            <w:hideMark/>
          </w:tcPr>
          <w:p w14:paraId="39123D96"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182</w:t>
            </w:r>
          </w:p>
        </w:tc>
        <w:tc>
          <w:tcPr>
            <w:tcW w:w="984" w:type="dxa"/>
            <w:shd w:val="clear" w:color="auto" w:fill="auto"/>
            <w:noWrap/>
            <w:vAlign w:val="bottom"/>
            <w:hideMark/>
          </w:tcPr>
          <w:p w14:paraId="0BD16AE7"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6</w:t>
            </w:r>
          </w:p>
        </w:tc>
        <w:tc>
          <w:tcPr>
            <w:tcW w:w="2356" w:type="dxa"/>
            <w:gridSpan w:val="2"/>
            <w:shd w:val="clear" w:color="auto" w:fill="auto"/>
            <w:noWrap/>
            <w:vAlign w:val="bottom"/>
            <w:hideMark/>
          </w:tcPr>
          <w:p w14:paraId="7BFED75D" w14:textId="77777777" w:rsidR="00EC5D47" w:rsidRPr="00203E0A" w:rsidRDefault="48A77BA5" w:rsidP="00580065">
            <w:pPr>
              <w:spacing w:after="0" w:line="240" w:lineRule="auto"/>
              <w:jc w:val="right"/>
              <w:rPr>
                <w:rFonts w:ascii="Times New Roman" w:hAnsi="Times New Roman" w:cs="Times New Roman"/>
                <w:color w:val="000000"/>
                <w:sz w:val="20"/>
                <w:szCs w:val="20"/>
                <w:lang w:eastAsia="en-GB"/>
              </w:rPr>
            </w:pPr>
            <w:r w:rsidRPr="00203E0A">
              <w:rPr>
                <w:rFonts w:ascii="Times New Roman" w:hAnsi="Times New Roman" w:cs="Times New Roman"/>
                <w:color w:val="000000" w:themeColor="text1"/>
                <w:sz w:val="20"/>
                <w:szCs w:val="20"/>
              </w:rPr>
              <w:t>377</w:t>
            </w:r>
          </w:p>
        </w:tc>
      </w:tr>
      <w:tr w:rsidR="00B2359C" w:rsidRPr="00203E0A" w14:paraId="7E3BD412" w14:textId="77777777" w:rsidTr="00EE6651">
        <w:trPr>
          <w:trHeight w:val="300"/>
        </w:trPr>
        <w:tc>
          <w:tcPr>
            <w:tcW w:w="1351" w:type="dxa"/>
            <w:shd w:val="clear" w:color="auto" w:fill="auto"/>
            <w:noWrap/>
            <w:vAlign w:val="bottom"/>
          </w:tcPr>
          <w:p w14:paraId="20789B10" w14:textId="7CC244ED"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2022</w:t>
            </w:r>
          </w:p>
        </w:tc>
        <w:tc>
          <w:tcPr>
            <w:tcW w:w="1196" w:type="dxa"/>
            <w:shd w:val="clear" w:color="auto" w:fill="auto"/>
            <w:noWrap/>
            <w:vAlign w:val="bottom"/>
          </w:tcPr>
          <w:p w14:paraId="4DE166A4" w14:textId="271538DC"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969</w:t>
            </w:r>
          </w:p>
        </w:tc>
        <w:tc>
          <w:tcPr>
            <w:tcW w:w="1276" w:type="dxa"/>
            <w:shd w:val="clear" w:color="auto" w:fill="auto"/>
            <w:noWrap/>
            <w:vAlign w:val="bottom"/>
          </w:tcPr>
          <w:p w14:paraId="5B2B7366" w14:textId="3F9B5727"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345</w:t>
            </w:r>
          </w:p>
        </w:tc>
        <w:tc>
          <w:tcPr>
            <w:tcW w:w="983" w:type="dxa"/>
            <w:shd w:val="clear" w:color="auto" w:fill="auto"/>
            <w:noWrap/>
            <w:vAlign w:val="bottom"/>
          </w:tcPr>
          <w:p w14:paraId="2CF6F762" w14:textId="0E243D0F"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w:t>
            </w:r>
          </w:p>
        </w:tc>
        <w:tc>
          <w:tcPr>
            <w:tcW w:w="984" w:type="dxa"/>
            <w:shd w:val="clear" w:color="auto" w:fill="auto"/>
            <w:noWrap/>
            <w:vAlign w:val="bottom"/>
          </w:tcPr>
          <w:p w14:paraId="197D3096" w14:textId="1A2622D1"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w:t>
            </w:r>
          </w:p>
        </w:tc>
        <w:tc>
          <w:tcPr>
            <w:tcW w:w="984" w:type="dxa"/>
            <w:shd w:val="clear" w:color="auto" w:fill="auto"/>
            <w:noWrap/>
            <w:vAlign w:val="bottom"/>
          </w:tcPr>
          <w:p w14:paraId="72BDB6FE" w14:textId="2055F8F6"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w:t>
            </w:r>
          </w:p>
        </w:tc>
        <w:tc>
          <w:tcPr>
            <w:tcW w:w="2356" w:type="dxa"/>
            <w:gridSpan w:val="2"/>
            <w:shd w:val="clear" w:color="auto" w:fill="auto"/>
            <w:noWrap/>
            <w:vAlign w:val="bottom"/>
          </w:tcPr>
          <w:p w14:paraId="73221991" w14:textId="50936F7B" w:rsidR="00B2359C" w:rsidRPr="00203E0A" w:rsidRDefault="00B2359C" w:rsidP="00580065">
            <w:pPr>
              <w:spacing w:after="0" w:line="240" w:lineRule="auto"/>
              <w:jc w:val="right"/>
              <w:rPr>
                <w:rFonts w:ascii="Times New Roman" w:hAnsi="Times New Roman" w:cs="Times New Roman"/>
                <w:color w:val="000000" w:themeColor="text1"/>
                <w:sz w:val="20"/>
                <w:szCs w:val="20"/>
              </w:rPr>
            </w:pPr>
            <w:r w:rsidRPr="00203E0A">
              <w:rPr>
                <w:rFonts w:ascii="Times New Roman" w:hAnsi="Times New Roman" w:cs="Times New Roman"/>
                <w:color w:val="000000" w:themeColor="text1"/>
                <w:sz w:val="20"/>
                <w:szCs w:val="20"/>
              </w:rPr>
              <w:t>/</w:t>
            </w:r>
          </w:p>
        </w:tc>
      </w:tr>
    </w:tbl>
    <w:p w14:paraId="5D9294BE" w14:textId="0FC3D58C" w:rsidR="00290F41" w:rsidRPr="00203E0A" w:rsidRDefault="48A77BA5" w:rsidP="00E17297">
      <w:pPr>
        <w:ind w:firstLine="720"/>
        <w:jc w:val="both"/>
        <w:rPr>
          <w:rFonts w:ascii="Times New Roman" w:hAnsi="Times New Roman" w:cs="Times New Roman"/>
          <w:sz w:val="24"/>
          <w:szCs w:val="24"/>
        </w:rPr>
      </w:pPr>
      <w:r w:rsidRPr="00203E0A">
        <w:rPr>
          <w:rFonts w:ascii="Times New Roman" w:hAnsi="Times New Roman" w:cs="Times New Roman"/>
          <w:sz w:val="24"/>
          <w:szCs w:val="24"/>
        </w:rPr>
        <w:t>Како би се боље разумела структура предмета и очекивани исходи, потребно је спровести детаљнију анализу предмета, према његовим карактеристикама (ко су оштећене стране, у којим делатностима, који су разлози решавања на други начин, итд.).</w:t>
      </w:r>
    </w:p>
    <w:p w14:paraId="0DE869CC" w14:textId="1DCCEED6" w:rsidR="00EC5D47" w:rsidRPr="00203E0A" w:rsidRDefault="48A77BA5" w:rsidP="48A77BA5">
      <w:pPr>
        <w:ind w:firstLine="720"/>
        <w:jc w:val="both"/>
        <w:rPr>
          <w:rFonts w:ascii="Times New Roman" w:hAnsi="Times New Roman" w:cs="Times New Roman"/>
          <w:b/>
          <w:bCs/>
          <w:sz w:val="24"/>
          <w:szCs w:val="24"/>
        </w:rPr>
      </w:pPr>
      <w:bookmarkStart w:id="18" w:name="_Toc505533876"/>
      <w:bookmarkStart w:id="19" w:name="_Toc505603791"/>
      <w:bookmarkStart w:id="20" w:name="_Toc505604181"/>
      <w:bookmarkStart w:id="21" w:name="_Toc126746526"/>
      <w:r w:rsidRPr="00203E0A">
        <w:rPr>
          <w:rFonts w:ascii="Times New Roman" w:hAnsi="Times New Roman" w:cs="Times New Roman"/>
          <w:b/>
          <w:bCs/>
          <w:sz w:val="24"/>
          <w:szCs w:val="24"/>
        </w:rPr>
        <w:t xml:space="preserve">3.4. Анализа </w:t>
      </w:r>
      <w:r w:rsidR="00C94A90" w:rsidRPr="00203E0A">
        <w:rPr>
          <w:rFonts w:ascii="Times New Roman" w:hAnsi="Times New Roman" w:cs="Times New Roman"/>
          <w:b/>
          <w:bCs/>
          <w:sz w:val="24"/>
          <w:szCs w:val="24"/>
        </w:rPr>
        <w:t xml:space="preserve">организовања </w:t>
      </w:r>
      <w:r w:rsidRPr="00203E0A">
        <w:rPr>
          <w:rFonts w:ascii="Times New Roman" w:hAnsi="Times New Roman" w:cs="Times New Roman"/>
          <w:b/>
          <w:bCs/>
          <w:sz w:val="24"/>
          <w:szCs w:val="24"/>
        </w:rPr>
        <w:t>послова за безбедност и здравље на раду</w:t>
      </w:r>
      <w:bookmarkEnd w:id="18"/>
      <w:bookmarkEnd w:id="19"/>
      <w:bookmarkEnd w:id="20"/>
      <w:bookmarkEnd w:id="21"/>
    </w:p>
    <w:p w14:paraId="282F6C9C" w14:textId="66B697B4" w:rsidR="00EC5D47" w:rsidRPr="003C6E11" w:rsidRDefault="48A77BA5" w:rsidP="001305AA">
      <w:pPr>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Послови безбедности и здравља на раду обављају се на три прописана начина: 1) од стране </w:t>
      </w:r>
      <w:r w:rsidRPr="00203E0A">
        <w:rPr>
          <w:rFonts w:ascii="Times New Roman" w:hAnsi="Times New Roman" w:cs="Times New Roman"/>
          <w:sz w:val="24"/>
          <w:szCs w:val="24"/>
        </w:rPr>
        <w:t xml:space="preserve">самог послодавца; 2) од стране лица из реда запослених код послодавца; 3) од стране ангажованог правног лица или предузетника са лиценцом. У складу са Законом и Правилником о условима за издавање лиценци за обављање послова у области безбедности и здравља на раду („Службени гласник РС”, бр. 16/18 и 5/22) у периоду од 2018. </w:t>
      </w:r>
      <w:r w:rsidRPr="003C6E11">
        <w:rPr>
          <w:rFonts w:ascii="Times New Roman" w:hAnsi="Times New Roman" w:cs="Times New Roman"/>
          <w:sz w:val="24"/>
          <w:szCs w:val="24"/>
        </w:rPr>
        <w:t>до 2022. године било је укупно издато/обновљено 471 лиценцa.</w:t>
      </w:r>
    </w:p>
    <w:p w14:paraId="3E666AAC" w14:textId="5A6EA98D" w:rsidR="00EC5D47" w:rsidRPr="003C6E11" w:rsidRDefault="48A77BA5" w:rsidP="001305AA">
      <w:pPr>
        <w:ind w:firstLine="720"/>
        <w:jc w:val="both"/>
        <w:rPr>
          <w:rFonts w:ascii="Times New Roman" w:hAnsi="Times New Roman" w:cs="Times New Roman"/>
          <w:sz w:val="24"/>
          <w:szCs w:val="24"/>
        </w:rPr>
      </w:pPr>
      <w:r w:rsidRPr="003C6E11">
        <w:rPr>
          <w:rFonts w:ascii="Times New Roman" w:hAnsi="Times New Roman" w:cs="Times New Roman"/>
          <w:sz w:val="24"/>
          <w:szCs w:val="24"/>
        </w:rPr>
        <w:t>Сходно законским овлашћењима Управа је у период</w:t>
      </w:r>
      <w:r w:rsidR="00062F8F" w:rsidRPr="003C6E11">
        <w:rPr>
          <w:rFonts w:ascii="Times New Roman" w:hAnsi="Times New Roman" w:cs="Times New Roman"/>
          <w:sz w:val="24"/>
          <w:szCs w:val="24"/>
        </w:rPr>
        <w:t>у важења Стратегије безбедности и здравља на раду</w:t>
      </w:r>
      <w:r w:rsidRPr="003C6E11">
        <w:rPr>
          <w:rFonts w:ascii="Times New Roman" w:hAnsi="Times New Roman" w:cs="Times New Roman"/>
          <w:sz w:val="24"/>
          <w:szCs w:val="24"/>
        </w:rPr>
        <w:t xml:space="preserve"> од 2018. до 2022. године извршила укупно 154 надзора над радом правних лица и предузетника са лиценцом за обављање послова из области безбедности и здравља на раду. У наведеном периоду одузето је 16 лиценци</w:t>
      </w:r>
      <w:r w:rsidR="00062F8F" w:rsidRPr="003C6E11">
        <w:rPr>
          <w:rFonts w:ascii="Times New Roman" w:hAnsi="Times New Roman" w:cs="Times New Roman"/>
          <w:sz w:val="24"/>
          <w:szCs w:val="24"/>
        </w:rPr>
        <w:t>,</w:t>
      </w:r>
      <w:r w:rsidRPr="003C6E11">
        <w:rPr>
          <w:rFonts w:ascii="Times New Roman" w:hAnsi="Times New Roman" w:cs="Times New Roman"/>
          <w:sz w:val="24"/>
          <w:szCs w:val="24"/>
        </w:rPr>
        <w:t xml:space="preserve"> а престало је да важи 14 лиценци.</w:t>
      </w:r>
    </w:p>
    <w:p w14:paraId="7A1725B1" w14:textId="0D759490" w:rsidR="00EC5D47" w:rsidRPr="003C6E11" w:rsidRDefault="48A77BA5" w:rsidP="001305AA">
      <w:pPr>
        <w:ind w:firstLine="720"/>
        <w:jc w:val="both"/>
        <w:rPr>
          <w:rFonts w:ascii="Times New Roman" w:hAnsi="Times New Roman" w:cs="Times New Roman"/>
          <w:sz w:val="24"/>
          <w:szCs w:val="24"/>
        </w:rPr>
      </w:pPr>
      <w:r w:rsidRPr="003C6E11">
        <w:rPr>
          <w:rFonts w:ascii="Times New Roman" w:hAnsi="Times New Roman" w:cs="Times New Roman"/>
          <w:sz w:val="24"/>
          <w:szCs w:val="24"/>
        </w:rPr>
        <w:lastRenderedPageBreak/>
        <w:t xml:space="preserve">У протеклом периоду забележено је повећање учешћа ангажованих правних лица и предузетника са лиценцом као и смањење субјеката који нису уредили питање </w:t>
      </w:r>
      <w:r w:rsidR="00C94A90" w:rsidRPr="003C6E11">
        <w:rPr>
          <w:rFonts w:ascii="Times New Roman" w:hAnsi="Times New Roman" w:cs="Times New Roman"/>
          <w:sz w:val="24"/>
          <w:szCs w:val="24"/>
        </w:rPr>
        <w:t xml:space="preserve">организовања </w:t>
      </w:r>
      <w:r w:rsidR="00143645" w:rsidRPr="003C6E11">
        <w:rPr>
          <w:rFonts w:ascii="Times New Roman" w:hAnsi="Times New Roman" w:cs="Times New Roman"/>
          <w:bCs/>
          <w:sz w:val="24"/>
          <w:szCs w:val="24"/>
        </w:rPr>
        <w:t>послова за безбедност и здравље на раду</w:t>
      </w:r>
      <w:r w:rsidRPr="003C6E11">
        <w:rPr>
          <w:rFonts w:ascii="Times New Roman" w:hAnsi="Times New Roman" w:cs="Times New Roman"/>
          <w:sz w:val="24"/>
          <w:szCs w:val="24"/>
        </w:rPr>
        <w:t xml:space="preserve">. Нешто преко половине субјеката </w:t>
      </w:r>
      <w:r w:rsidR="000B1664" w:rsidRPr="003C6E11">
        <w:rPr>
          <w:rFonts w:ascii="Times New Roman" w:hAnsi="Times New Roman" w:cs="Times New Roman"/>
          <w:sz w:val="24"/>
          <w:szCs w:val="24"/>
        </w:rPr>
        <w:t xml:space="preserve">који су били предмет инспекцијског надзора </w:t>
      </w:r>
      <w:r w:rsidRPr="003C6E11">
        <w:rPr>
          <w:rFonts w:ascii="Times New Roman" w:hAnsi="Times New Roman" w:cs="Times New Roman"/>
          <w:sz w:val="24"/>
          <w:szCs w:val="24"/>
        </w:rPr>
        <w:t>ангажовало је трећа лица која поседују лиценцу.</w:t>
      </w:r>
      <w:r w:rsidR="00B64172" w:rsidRPr="003C6E11">
        <w:rPr>
          <w:rFonts w:ascii="Times New Roman" w:hAnsi="Times New Roman" w:cs="Times New Roman"/>
          <w:sz w:val="24"/>
          <w:szCs w:val="24"/>
        </w:rPr>
        <w:t xml:space="preserve"> Наиме, у 2023. години, 53% послодаваца од укупног броја послодаваца код којих су инспектори рада извршили инспекцијске надзоре је за послове безбедности и здравља на раду ангажовало правно лице или предузетника са лиценцом за обављање послова безбедности и здравља на раду, 30% послодаваца наведене послове обављају сами или су одредили једног или више од својих запослених , док 17% послодаваца није регулисало ово питање у складу са Законом о безбедности и здрављу на раду.</w:t>
      </w:r>
    </w:p>
    <w:p w14:paraId="650DF601" w14:textId="2ADFF829" w:rsidR="00EC5D47" w:rsidRPr="00203E0A" w:rsidRDefault="48A77BA5" w:rsidP="48A77BA5">
      <w:pPr>
        <w:ind w:firstLine="720"/>
        <w:jc w:val="both"/>
        <w:rPr>
          <w:rFonts w:ascii="Times New Roman" w:hAnsi="Times New Roman" w:cs="Times New Roman"/>
          <w:b/>
          <w:bCs/>
          <w:i/>
          <w:iCs/>
          <w:sz w:val="24"/>
          <w:szCs w:val="24"/>
        </w:rPr>
      </w:pPr>
      <w:r w:rsidRPr="00203E0A">
        <w:rPr>
          <w:rFonts w:ascii="Times New Roman" w:hAnsi="Times New Roman" w:cs="Times New Roman"/>
          <w:b/>
          <w:bCs/>
          <w:i/>
          <w:iCs/>
          <w:sz w:val="24"/>
          <w:szCs w:val="24"/>
        </w:rPr>
        <w:t xml:space="preserve">Графикон 4: </w:t>
      </w:r>
      <w:r w:rsidR="00C94A90" w:rsidRPr="00203E0A">
        <w:rPr>
          <w:rFonts w:ascii="Times New Roman" w:hAnsi="Times New Roman" w:cs="Times New Roman"/>
          <w:b/>
          <w:bCs/>
          <w:i/>
          <w:iCs/>
          <w:sz w:val="24"/>
          <w:szCs w:val="24"/>
        </w:rPr>
        <w:t xml:space="preserve">Организовање </w:t>
      </w:r>
      <w:r w:rsidRPr="00203E0A">
        <w:rPr>
          <w:rFonts w:ascii="Times New Roman" w:hAnsi="Times New Roman" w:cs="Times New Roman"/>
          <w:b/>
          <w:bCs/>
          <w:i/>
          <w:iCs/>
          <w:sz w:val="24"/>
          <w:szCs w:val="24"/>
        </w:rPr>
        <w:t>послова безбедности на раду</w:t>
      </w:r>
    </w:p>
    <w:p w14:paraId="63A36432" w14:textId="007126E3" w:rsidR="00EC5D47" w:rsidRPr="009162C9" w:rsidRDefault="00A464B1" w:rsidP="00EC5D47">
      <w:pPr>
        <w:jc w:val="both"/>
        <w:rPr>
          <w:rFonts w:ascii="Times New Roman" w:hAnsi="Times New Roman" w:cs="Times New Roman"/>
          <w:color w:val="000000"/>
          <w:sz w:val="24"/>
          <w:szCs w:val="24"/>
        </w:rPr>
      </w:pPr>
      <w:r>
        <w:rPr>
          <w:noProof/>
          <w:lang w:val="en-US"/>
        </w:rPr>
        <w:drawing>
          <wp:inline distT="0" distB="0" distL="0" distR="0" wp14:anchorId="500530FF" wp14:editId="01C4F67F">
            <wp:extent cx="5731510" cy="2266950"/>
            <wp:effectExtent l="0" t="0" r="2540" b="0"/>
            <wp:docPr id="2144281655" name="Chart 1">
              <a:extLst xmlns:a="http://schemas.openxmlformats.org/drawingml/2006/main">
                <a:ext uri="{FF2B5EF4-FFF2-40B4-BE49-F238E27FC236}">
                  <a16:creationId xmlns:a16="http://schemas.microsoft.com/office/drawing/2014/main" id="{1B726C9A-CA18-484E-9C87-B4E04A5269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676A112" w14:textId="26412D2D" w:rsidR="00F55B4B" w:rsidRPr="00203E0A" w:rsidRDefault="48A77BA5" w:rsidP="48A77BA5">
      <w:pPr>
        <w:jc w:val="both"/>
        <w:rPr>
          <w:rFonts w:ascii="Times New Roman" w:hAnsi="Times New Roman" w:cs="Times New Roman"/>
          <w:i/>
          <w:iCs/>
          <w:color w:val="000000"/>
          <w:sz w:val="24"/>
          <w:szCs w:val="24"/>
        </w:rPr>
      </w:pPr>
      <w:r w:rsidRPr="00203E0A">
        <w:rPr>
          <w:rFonts w:ascii="Times New Roman" w:hAnsi="Times New Roman" w:cs="Times New Roman"/>
          <w:i/>
          <w:iCs/>
          <w:color w:val="000000" w:themeColor="text1"/>
          <w:sz w:val="24"/>
          <w:szCs w:val="24"/>
        </w:rPr>
        <w:t>Извор: Извештаји Инспектората за рад</w:t>
      </w:r>
    </w:p>
    <w:p w14:paraId="7072FEF4" w14:textId="775AE2EF" w:rsidR="00EC5D47" w:rsidRPr="00203E0A" w:rsidRDefault="48A77BA5" w:rsidP="00F55B4B">
      <w:pPr>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У пракси је уочено да је квалитетније обављање послова безбедности и здравља на раду код оних послодавца код којих су лица за безбедност и здравље на раду из реда запослених код послодавца. </w:t>
      </w:r>
    </w:p>
    <w:p w14:paraId="06ABC2D7" w14:textId="77777777" w:rsidR="00EC5D47" w:rsidRPr="00203E0A" w:rsidRDefault="48A77BA5" w:rsidP="001305AA">
      <w:pPr>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Квалитет акта о процени ризика, односно његов садржај и форма, је различит и зависи од тога да ли је процену ризика извршио сам послодавац који нема положен стручни испит о практичној оспособљености за обављање послова безбедности и здравља на раду (ако има до 20 запослених нема обавезу полагања стручног испита), да ли је поступак процене ризика извршио запослени код послодавца који има положен стручни испит или је послодавац за вршење процене ризика ангажовао правно лице, односно предузетника са лиценцом за обављање послова безбедности и здравља на раду.</w:t>
      </w:r>
    </w:p>
    <w:p w14:paraId="065E70AD" w14:textId="77777777" w:rsidR="00EC5D47" w:rsidRPr="00203E0A" w:rsidRDefault="48A77BA5" w:rsidP="001305AA">
      <w:pPr>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Такође, уобичајена је појава да је једно правно лице или предузетник са лиценцом за обављање послова безбедности и здравља на раду ангажован код много послодаваца, односно да је један њихов запослени као лице за безбедност и здравље на раду одређен код већег броја послодаваца, што за последицу има неквалитетно обављање или необављање послова. </w:t>
      </w:r>
    </w:p>
    <w:p w14:paraId="701543A8" w14:textId="77777777" w:rsidR="00EC5D47" w:rsidRPr="00203E0A" w:rsidRDefault="48A77BA5" w:rsidP="001305AA">
      <w:pPr>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Послодавци често након раскида уговора о ангажовању правног лица или предузетника са лиценцом за обављање послова безбедности и здравља на раду не организују послове безбедности и здравља на раду, нити одређују лице за безбедност и здравље на раду.</w:t>
      </w:r>
    </w:p>
    <w:p w14:paraId="7AD187AD" w14:textId="7392ED28" w:rsidR="00EC5D47" w:rsidRPr="00203E0A" w:rsidRDefault="48A77BA5" w:rsidP="48A77BA5">
      <w:pPr>
        <w:ind w:firstLine="720"/>
        <w:jc w:val="both"/>
        <w:rPr>
          <w:rFonts w:ascii="Times New Roman" w:hAnsi="Times New Roman" w:cs="Times New Roman"/>
          <w:b/>
          <w:bCs/>
          <w:sz w:val="24"/>
          <w:szCs w:val="24"/>
        </w:rPr>
      </w:pPr>
      <w:bookmarkStart w:id="22" w:name="_Toc126746527"/>
      <w:r w:rsidRPr="00203E0A">
        <w:rPr>
          <w:rFonts w:ascii="Times New Roman" w:hAnsi="Times New Roman" w:cs="Times New Roman"/>
          <w:b/>
          <w:bCs/>
          <w:sz w:val="24"/>
          <w:szCs w:val="24"/>
        </w:rPr>
        <w:lastRenderedPageBreak/>
        <w:t>3.5. Анализа уређења права, обавеза и одговорности у области безбедности и здравља</w:t>
      </w:r>
      <w:bookmarkEnd w:id="22"/>
      <w:r w:rsidRPr="00203E0A">
        <w:rPr>
          <w:rFonts w:ascii="Times New Roman" w:hAnsi="Times New Roman" w:cs="Times New Roman"/>
          <w:b/>
          <w:bCs/>
          <w:sz w:val="24"/>
          <w:szCs w:val="24"/>
        </w:rPr>
        <w:t xml:space="preserve"> </w:t>
      </w:r>
    </w:p>
    <w:p w14:paraId="534EFD98" w14:textId="66FA28DC" w:rsidR="00EC5D47" w:rsidRPr="00203E0A" w:rsidRDefault="48A77BA5" w:rsidP="00524B15">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Права, обавезе и одговорности у вези са безбедношћу и здрављем на раду, могу се ближе уредити колективним уговором код послодавца, општим актом послодавца или уговором о раду. Најчешћи начин уређења права, обавеза и одговорности у области безбедности и здравља на раду у протеклом периоду је путем општег акта, односно путем Правилника о безбедности и здрављу на раду.  У пракси се субјекти опредељују за овај приступ услед: 1) недовољно прихваћеног става да се безбедност и здравље на раду, као право из радног односа, може уредити и Правилником о раду; 2) релативно малог броја послодаваца ко</w:t>
      </w:r>
      <w:r w:rsidR="00C157D6">
        <w:rPr>
          <w:rFonts w:ascii="Times New Roman" w:hAnsi="Times New Roman" w:cs="Times New Roman"/>
          <w:color w:val="000000" w:themeColor="text1"/>
          <w:sz w:val="24"/>
          <w:szCs w:val="24"/>
        </w:rPr>
        <w:t>д којих је организован синдикат;</w:t>
      </w:r>
      <w:r w:rsidRPr="00203E0A">
        <w:rPr>
          <w:rFonts w:ascii="Times New Roman" w:hAnsi="Times New Roman" w:cs="Times New Roman"/>
          <w:color w:val="000000" w:themeColor="text1"/>
          <w:sz w:val="24"/>
          <w:szCs w:val="24"/>
        </w:rPr>
        <w:t xml:space="preserve"> 3) непостојања воље послодавца и синдиката да се о овим правима, обавезама и одговорностима </w:t>
      </w:r>
      <w:r w:rsidR="00C157D6">
        <w:rPr>
          <w:rFonts w:ascii="Times New Roman" w:hAnsi="Times New Roman" w:cs="Times New Roman"/>
          <w:sz w:val="24"/>
          <w:szCs w:val="24"/>
        </w:rPr>
        <w:t>преговара,</w:t>
      </w:r>
      <w:r w:rsidRPr="00203E0A">
        <w:rPr>
          <w:rFonts w:ascii="Times New Roman" w:hAnsi="Times New Roman" w:cs="Times New Roman"/>
          <w:sz w:val="24"/>
          <w:szCs w:val="24"/>
        </w:rPr>
        <w:t xml:space="preserve"> као и због ограниченог времена важења колективног уговора код послода</w:t>
      </w:r>
      <w:r w:rsidR="00C157D6">
        <w:rPr>
          <w:rFonts w:ascii="Times New Roman" w:hAnsi="Times New Roman" w:cs="Times New Roman"/>
          <w:sz w:val="24"/>
          <w:szCs w:val="24"/>
        </w:rPr>
        <w:t>вца;</w:t>
      </w:r>
      <w:r w:rsidRPr="00203E0A">
        <w:rPr>
          <w:rFonts w:ascii="Times New Roman" w:hAnsi="Times New Roman" w:cs="Times New Roman"/>
          <w:sz w:val="24"/>
          <w:szCs w:val="24"/>
        </w:rPr>
        <w:t xml:space="preserve"> 4) релативно малог броја послодаваца код којих је организован одбор за безбедност и здравље на раду и/или је именован представник запослених.</w:t>
      </w:r>
    </w:p>
    <w:p w14:paraId="186392E7" w14:textId="5AF6FB3B" w:rsidR="00EC5D47" w:rsidRPr="00203E0A" w:rsidRDefault="48A77BA5" w:rsidP="00524B15">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У поступцима надзора најчешће утврђени недостаци, односно неправилности у примени института нормативног уређења безбедности и здравља на раду, били су да послодавац ни на који начин није утврдио права, обавезе и одговорности у области безбедности и здравља на раду, и да послодавац, који је уредио права, обавезе и одговорности у области безбедности и здравља на раду, није утврдио посебна права, обавезе и мере у вези са безбедношћу и здрављем на раду младих, жена које раде на радном месту са повећаним ризиком, особа са инвалидитетом и професионално оболелих (члан 6. Закона о безбедности и здрављу на раду).</w:t>
      </w:r>
    </w:p>
    <w:p w14:paraId="17849DD3" w14:textId="77777777" w:rsidR="00EC5D47" w:rsidRPr="00203E0A" w:rsidRDefault="00EC5D47" w:rsidP="00EA0EA6">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sz w:val="24"/>
          <w:szCs w:val="24"/>
        </w:rPr>
        <w:t>У периоду спровођења претходне стратегије дошло је до значајног смањења субјекат</w:t>
      </w:r>
      <w:r w:rsidRPr="00203E0A">
        <w:rPr>
          <w:rFonts w:ascii="Times New Roman" w:hAnsi="Times New Roman" w:cs="Times New Roman"/>
          <w:sz w:val="24"/>
          <w:szCs w:val="24"/>
        </w:rPr>
        <w:t>а</w:t>
      </w:r>
      <w:r w:rsidRPr="00203E0A">
        <w:rPr>
          <w:rFonts w:ascii="Times New Roman" w:hAnsi="Times New Roman" w:cs="Times New Roman"/>
          <w:color w:val="000000"/>
          <w:sz w:val="24"/>
          <w:szCs w:val="24"/>
        </w:rPr>
        <w:t xml:space="preserve"> који нису уредили питање права, обавеза и одговорности у области безбедности и здравља на раду. Према извештају Инспектората за рад, на основу спроведених надзора током 2021. године, утврђено је да је 7% послодаваца који имају до десет запослених, права, обавезе и одговорности у области безбедности и здравља на раду утврдило уговором о раду. Права, обавезе и одговорности у области безбедности и здравља на раду је 77% послодаваца, код којих је извршен инспекцијски надзор у 2021. години, уредило општим актом, односно Правилником о безбедности и здрављу на раду, док је 6% послодаваца колективним уговором уредило права, обавезе и одговорности. Ипак у 2021. години и даље око 10% послодаваца уопште није уредило права, обавезе и одговорности у области безбедности и здравља на раду.</w:t>
      </w:r>
      <w:r w:rsidRPr="00203E0A">
        <w:rPr>
          <w:rFonts w:ascii="Times New Roman" w:hAnsi="Times New Roman" w:cs="Times New Roman"/>
          <w:b/>
          <w:bCs/>
          <w:color w:val="000000"/>
          <w:sz w:val="24"/>
          <w:szCs w:val="24"/>
        </w:rPr>
        <w:t xml:space="preserve"> </w:t>
      </w:r>
      <w:r w:rsidRPr="00203E0A">
        <w:rPr>
          <w:rFonts w:ascii="Times New Roman" w:hAnsi="Times New Roman" w:cs="Times New Roman"/>
          <w:color w:val="000000"/>
          <w:sz w:val="24"/>
          <w:szCs w:val="24"/>
        </w:rPr>
        <w:t>Просек за ЕУ у 2019. години показао је да је 91% предузећа поседовало неки документ којим уређује обавезе у области безбедности и здравља на раду.</w:t>
      </w:r>
      <w:r w:rsidRPr="006E0A0C">
        <w:rPr>
          <w:rFonts w:ascii="Times New Roman" w:hAnsi="Times New Roman" w:cs="Times New Roman"/>
          <w:color w:val="000000"/>
          <w:sz w:val="24"/>
          <w:szCs w:val="24"/>
          <w:vertAlign w:val="superscript"/>
        </w:rPr>
        <w:footnoteReference w:id="20"/>
      </w:r>
      <w:r w:rsidRPr="00203E0A">
        <w:rPr>
          <w:rFonts w:ascii="Times New Roman" w:hAnsi="Times New Roman" w:cs="Times New Roman"/>
          <w:color w:val="000000"/>
          <w:sz w:val="24"/>
          <w:szCs w:val="24"/>
        </w:rPr>
        <w:t xml:space="preserve"> У том контексту Србија се налази близу европског просека.</w:t>
      </w:r>
    </w:p>
    <w:p w14:paraId="6FCF365E" w14:textId="7768C9FB" w:rsidR="00A31CA4" w:rsidRPr="003C6E11" w:rsidRDefault="48A77BA5" w:rsidP="002E2391">
      <w:pPr>
        <w:spacing w:after="150"/>
        <w:ind w:left="709"/>
        <w:jc w:val="both"/>
        <w:rPr>
          <w:rFonts w:ascii="Times New Roman" w:hAnsi="Times New Roman" w:cs="Times New Roman"/>
          <w:sz w:val="24"/>
          <w:szCs w:val="24"/>
        </w:rPr>
      </w:pPr>
      <w:bookmarkStart w:id="23" w:name="_Toc126746528"/>
      <w:r w:rsidRPr="003C6E11">
        <w:rPr>
          <w:rFonts w:ascii="Times New Roman" w:hAnsi="Times New Roman" w:cs="Times New Roman"/>
          <w:b/>
          <w:bCs/>
          <w:sz w:val="24"/>
          <w:szCs w:val="24"/>
        </w:rPr>
        <w:t>3.6. Анализа надзора</w:t>
      </w:r>
      <w:bookmarkStart w:id="24" w:name="_Hlk126748712"/>
      <w:bookmarkEnd w:id="23"/>
    </w:p>
    <w:p w14:paraId="2E257DEC" w14:textId="5B942CF9" w:rsidR="0043347E" w:rsidRDefault="00A31CA4" w:rsidP="00C86C6A">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Табела приказује кључне трендове у области инспекцијског надзора у области безбедности и здравља на раду (БЗР). Укупан број инспекцијских надзора износио је 66.896, што представља благ раст у односу на 2022. годину када је тај број био 65.043. </w:t>
      </w:r>
      <w:r w:rsidRPr="003C6E11">
        <w:rPr>
          <w:rFonts w:ascii="Times New Roman" w:hAnsi="Times New Roman" w:cs="Times New Roman"/>
          <w:sz w:val="24"/>
          <w:szCs w:val="24"/>
        </w:rPr>
        <w:lastRenderedPageBreak/>
        <w:t>Ово указује на континуирано присуство инспекцијских активности. О</w:t>
      </w:r>
      <w:r w:rsidR="002E2391" w:rsidRPr="003C6E11">
        <w:rPr>
          <w:rFonts w:ascii="Times New Roman" w:hAnsi="Times New Roman" w:cs="Times New Roman"/>
          <w:sz w:val="24"/>
          <w:szCs w:val="24"/>
        </w:rPr>
        <w:t>д</w:t>
      </w:r>
      <w:r w:rsidRPr="003C6E11">
        <w:rPr>
          <w:rFonts w:ascii="Times New Roman" w:hAnsi="Times New Roman" w:cs="Times New Roman"/>
          <w:sz w:val="24"/>
          <w:szCs w:val="24"/>
        </w:rPr>
        <w:t xml:space="preserve"> укупног броја</w:t>
      </w:r>
      <w:r w:rsidR="002E2391" w:rsidRPr="003C6E11">
        <w:rPr>
          <w:rFonts w:ascii="Times New Roman" w:hAnsi="Times New Roman" w:cs="Times New Roman"/>
          <w:sz w:val="24"/>
          <w:szCs w:val="24"/>
        </w:rPr>
        <w:t>,</w:t>
      </w:r>
      <w:r w:rsidRPr="003C6E11">
        <w:rPr>
          <w:rFonts w:ascii="Times New Roman" w:hAnsi="Times New Roman" w:cs="Times New Roman"/>
          <w:sz w:val="24"/>
          <w:szCs w:val="24"/>
        </w:rPr>
        <w:t xml:space="preserve"> надзори у области БЗР у 2023. години износили су  32.461, што је релативно стабилно у односу</w:t>
      </w:r>
      <w:r w:rsidR="00DE6AFB">
        <w:rPr>
          <w:rFonts w:ascii="Times New Roman" w:hAnsi="Times New Roman" w:cs="Times New Roman"/>
          <w:sz w:val="24"/>
          <w:szCs w:val="24"/>
        </w:rPr>
        <w:t xml:space="preserve"> на</w:t>
      </w:r>
      <w:r w:rsidRPr="003C6E11">
        <w:rPr>
          <w:rFonts w:ascii="Times New Roman" w:hAnsi="Times New Roman" w:cs="Times New Roman"/>
          <w:sz w:val="24"/>
          <w:szCs w:val="24"/>
        </w:rPr>
        <w:t xml:space="preserve"> претходни период</w:t>
      </w:r>
      <w:r w:rsidR="002E2391" w:rsidRPr="003C6E11">
        <w:rPr>
          <w:rFonts w:ascii="Times New Roman" w:hAnsi="Times New Roman" w:cs="Times New Roman"/>
          <w:sz w:val="24"/>
          <w:szCs w:val="24"/>
        </w:rPr>
        <w:t>,</w:t>
      </w:r>
      <w:r w:rsidRPr="003C6E11">
        <w:rPr>
          <w:rFonts w:ascii="Times New Roman" w:hAnsi="Times New Roman" w:cs="Times New Roman"/>
          <w:sz w:val="24"/>
          <w:szCs w:val="24"/>
        </w:rPr>
        <w:t xml:space="preserve"> </w:t>
      </w:r>
      <w:r w:rsidR="002E2391" w:rsidRPr="003C6E11">
        <w:rPr>
          <w:rFonts w:ascii="Times New Roman" w:hAnsi="Times New Roman" w:cs="Times New Roman"/>
          <w:sz w:val="24"/>
          <w:szCs w:val="24"/>
        </w:rPr>
        <w:t>а</w:t>
      </w:r>
      <w:r w:rsidRPr="003C6E11">
        <w:rPr>
          <w:rFonts w:ascii="Times New Roman" w:hAnsi="Times New Roman" w:cs="Times New Roman"/>
          <w:sz w:val="24"/>
          <w:szCs w:val="24"/>
        </w:rPr>
        <w:t xml:space="preserve"> указује на константан обим активности у овој области.  Број лица обухваћених надзором у 2023. години био је 382.004, што је значајан пад у односу на претходне године. Број запослених обухваћених инспекцијским надзором у области БЗР у 2023. години био је 214.009, што је смањење у односу на 2022. годину када је овај број био 239.978. Број донетих решења о отклањању недостатака у 2023. години био је 4.171, што је мање у односу на 2022. годину када је тај број био 4.255. Овај тренд опадања може указивати на бољу усклађеност са прописима или ефикасније претходне интервенције.</w:t>
      </w:r>
      <w:r w:rsidR="00AD4B88" w:rsidRPr="003C6E11">
        <w:rPr>
          <w:rFonts w:ascii="Times New Roman" w:hAnsi="Times New Roman" w:cs="Times New Roman"/>
          <w:sz w:val="24"/>
          <w:szCs w:val="24"/>
        </w:rPr>
        <w:t xml:space="preserve"> </w:t>
      </w:r>
      <w:r w:rsidRPr="003C6E11">
        <w:rPr>
          <w:rFonts w:ascii="Times New Roman" w:hAnsi="Times New Roman" w:cs="Times New Roman"/>
          <w:sz w:val="24"/>
          <w:szCs w:val="24"/>
        </w:rPr>
        <w:t xml:space="preserve">Број донетих решења о забрани рада у 2023. години био је 654, што је повећање у односу на 2022. </w:t>
      </w:r>
      <w:r w:rsidR="00606799">
        <w:rPr>
          <w:rFonts w:ascii="Times New Roman" w:hAnsi="Times New Roman" w:cs="Times New Roman"/>
          <w:sz w:val="24"/>
          <w:szCs w:val="24"/>
        </w:rPr>
        <w:t>годину када је тај број био 503</w:t>
      </w:r>
      <w:r w:rsidRPr="003C6E11">
        <w:rPr>
          <w:rFonts w:ascii="Times New Roman" w:hAnsi="Times New Roman" w:cs="Times New Roman"/>
          <w:sz w:val="24"/>
          <w:szCs w:val="24"/>
        </w:rPr>
        <w:t xml:space="preserve"> </w:t>
      </w:r>
      <w:r w:rsidR="00AD4B88" w:rsidRPr="003C6E11">
        <w:rPr>
          <w:rFonts w:ascii="Times New Roman" w:hAnsi="Times New Roman" w:cs="Times New Roman"/>
          <w:sz w:val="24"/>
          <w:szCs w:val="24"/>
        </w:rPr>
        <w:t>што указује на</w:t>
      </w:r>
      <w:r w:rsidRPr="003C6E11">
        <w:rPr>
          <w:rFonts w:ascii="Times New Roman" w:hAnsi="Times New Roman" w:cs="Times New Roman"/>
          <w:sz w:val="24"/>
          <w:szCs w:val="24"/>
        </w:rPr>
        <w:t xml:space="preserve"> строжу примену мера и већу спремност инспекције да донесе такве одлуке.</w:t>
      </w:r>
      <w:r w:rsidR="007B4AF0" w:rsidRPr="003C6E11">
        <w:rPr>
          <w:rFonts w:ascii="Times New Roman" w:hAnsi="Times New Roman" w:cs="Times New Roman"/>
          <w:sz w:val="24"/>
          <w:szCs w:val="24"/>
        </w:rPr>
        <w:t xml:space="preserve"> </w:t>
      </w:r>
      <w:r w:rsidRPr="003C6E11">
        <w:rPr>
          <w:rFonts w:ascii="Times New Roman" w:hAnsi="Times New Roman" w:cs="Times New Roman"/>
          <w:sz w:val="24"/>
          <w:szCs w:val="24"/>
        </w:rPr>
        <w:t xml:space="preserve">Број поднетих захтева за покретање прекршајног поступка </w:t>
      </w:r>
      <w:r w:rsidR="007B4AF0" w:rsidRPr="003C6E11">
        <w:rPr>
          <w:rFonts w:ascii="Times New Roman" w:hAnsi="Times New Roman" w:cs="Times New Roman"/>
          <w:sz w:val="24"/>
          <w:szCs w:val="24"/>
        </w:rPr>
        <w:t xml:space="preserve">такође </w:t>
      </w:r>
      <w:r w:rsidRPr="003C6E11">
        <w:rPr>
          <w:rFonts w:ascii="Times New Roman" w:hAnsi="Times New Roman" w:cs="Times New Roman"/>
          <w:sz w:val="24"/>
          <w:szCs w:val="24"/>
        </w:rPr>
        <w:t>указује на константан ниво активности у примени прекршајних мера.</w:t>
      </w:r>
      <w:r w:rsidR="00A61253" w:rsidRPr="003C6E11">
        <w:rPr>
          <w:rFonts w:ascii="Times New Roman" w:hAnsi="Times New Roman" w:cs="Times New Roman"/>
          <w:sz w:val="24"/>
          <w:szCs w:val="24"/>
        </w:rPr>
        <w:t xml:space="preserve"> У случају броја </w:t>
      </w:r>
      <w:r w:rsidRPr="003C6E11">
        <w:rPr>
          <w:rFonts w:ascii="Times New Roman" w:hAnsi="Times New Roman" w:cs="Times New Roman"/>
          <w:sz w:val="24"/>
          <w:szCs w:val="24"/>
        </w:rPr>
        <w:t xml:space="preserve">поднетих пријава за покретање кривичног поступка </w:t>
      </w:r>
      <w:r w:rsidR="00A61253" w:rsidRPr="003C6E11">
        <w:rPr>
          <w:rFonts w:ascii="Times New Roman" w:hAnsi="Times New Roman" w:cs="Times New Roman"/>
          <w:sz w:val="24"/>
          <w:szCs w:val="24"/>
        </w:rPr>
        <w:t>постоје значајне годишње осцилације</w:t>
      </w:r>
      <w:r w:rsidRPr="003C6E11">
        <w:rPr>
          <w:rFonts w:ascii="Times New Roman" w:hAnsi="Times New Roman" w:cs="Times New Roman"/>
          <w:sz w:val="24"/>
          <w:szCs w:val="24"/>
        </w:rPr>
        <w:t>.</w:t>
      </w:r>
    </w:p>
    <w:p w14:paraId="62A8CD4B" w14:textId="77777777" w:rsidR="00C86C6A" w:rsidRPr="00C86C6A" w:rsidRDefault="00C86C6A" w:rsidP="00C86C6A">
      <w:pPr>
        <w:spacing w:after="150"/>
        <w:ind w:firstLine="720"/>
        <w:jc w:val="both"/>
        <w:rPr>
          <w:rFonts w:ascii="Times New Roman" w:hAnsi="Times New Roman" w:cs="Times New Roman"/>
          <w:sz w:val="24"/>
          <w:szCs w:val="24"/>
        </w:rPr>
      </w:pPr>
    </w:p>
    <w:p w14:paraId="2D208396" w14:textId="6FCA960B" w:rsidR="00EC5D47" w:rsidRPr="00203E0A" w:rsidRDefault="003A1E03" w:rsidP="48A77BA5">
      <w:pPr>
        <w:spacing w:after="150"/>
        <w:ind w:firstLine="720"/>
        <w:jc w:val="both"/>
        <w:rPr>
          <w:rFonts w:ascii="Times New Roman" w:hAnsi="Times New Roman" w:cs="Times New Roman"/>
          <w:b/>
          <w:bCs/>
          <w:i/>
          <w:iCs/>
          <w:sz w:val="24"/>
          <w:szCs w:val="24"/>
        </w:rPr>
      </w:pPr>
      <w:r>
        <w:rPr>
          <w:rFonts w:ascii="Times New Roman" w:hAnsi="Times New Roman" w:cs="Times New Roman"/>
          <w:b/>
          <w:bCs/>
          <w:i/>
          <w:iCs/>
          <w:sz w:val="24"/>
          <w:szCs w:val="24"/>
        </w:rPr>
        <w:t>Табела 4:</w:t>
      </w:r>
      <w:r w:rsidR="48A77BA5" w:rsidRPr="00203E0A">
        <w:rPr>
          <w:rFonts w:ascii="Times New Roman" w:hAnsi="Times New Roman" w:cs="Times New Roman"/>
          <w:b/>
          <w:bCs/>
          <w:i/>
          <w:iCs/>
          <w:sz w:val="24"/>
          <w:szCs w:val="24"/>
        </w:rPr>
        <w:t xml:space="preserve"> Инспекцијски надзори</w:t>
      </w:r>
    </w:p>
    <w:tbl>
      <w:tblPr>
        <w:tblW w:w="9214" w:type="dxa"/>
        <w:jc w:val="center"/>
        <w:tblLook w:val="04A0" w:firstRow="1" w:lastRow="0" w:firstColumn="1" w:lastColumn="0" w:noHBand="0" w:noVBand="1"/>
      </w:tblPr>
      <w:tblGrid>
        <w:gridCol w:w="2694"/>
        <w:gridCol w:w="1134"/>
        <w:gridCol w:w="996"/>
        <w:gridCol w:w="1056"/>
        <w:gridCol w:w="1116"/>
        <w:gridCol w:w="996"/>
        <w:gridCol w:w="1222"/>
      </w:tblGrid>
      <w:tr w:rsidR="008328CD" w:rsidRPr="00203E0A" w14:paraId="12CFA67C" w14:textId="783B1716" w:rsidTr="0069742E">
        <w:trPr>
          <w:trHeight w:val="300"/>
          <w:jc w:val="center"/>
        </w:trPr>
        <w:tc>
          <w:tcPr>
            <w:tcW w:w="2694" w:type="dxa"/>
            <w:tcBorders>
              <w:top w:val="nil"/>
              <w:left w:val="nil"/>
              <w:bottom w:val="nil"/>
              <w:right w:val="single" w:sz="4" w:space="0" w:color="auto"/>
            </w:tcBorders>
            <w:noWrap/>
            <w:vAlign w:val="bottom"/>
            <w:hideMark/>
          </w:tcPr>
          <w:p w14:paraId="71E5B148" w14:textId="77777777" w:rsidR="008328CD" w:rsidRPr="00203E0A" w:rsidRDefault="008328CD" w:rsidP="00580065">
            <w:pPr>
              <w:spacing w:after="0" w:line="240" w:lineRule="auto"/>
              <w:jc w:val="center"/>
              <w:rPr>
                <w:rFonts w:ascii="Times New Roman" w:hAnsi="Times New Roman" w:cs="Times New Roman"/>
                <w:sz w:val="24"/>
                <w:szCs w:val="24"/>
                <w:lang w:eastAsia="en-GB"/>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B7ACDB1" w14:textId="77777777" w:rsidR="008328CD" w:rsidRPr="002736C9" w:rsidRDefault="008328CD" w:rsidP="004C54CF">
            <w:pPr>
              <w:spacing w:after="0" w:line="240" w:lineRule="auto"/>
              <w:jc w:val="right"/>
              <w:rPr>
                <w:rFonts w:ascii="Times New Roman" w:hAnsi="Times New Roman" w:cs="Times New Roman"/>
                <w:b/>
                <w:bCs/>
                <w:lang w:eastAsia="en-GB"/>
              </w:rPr>
            </w:pPr>
            <w:r w:rsidRPr="002736C9">
              <w:rPr>
                <w:rFonts w:ascii="Times New Roman" w:hAnsi="Times New Roman" w:cs="Times New Roman"/>
                <w:b/>
                <w:bCs/>
              </w:rPr>
              <w:t>2018</w:t>
            </w:r>
          </w:p>
        </w:tc>
        <w:tc>
          <w:tcPr>
            <w:tcW w:w="996" w:type="dxa"/>
            <w:tcBorders>
              <w:top w:val="single" w:sz="4" w:space="0" w:color="auto"/>
              <w:left w:val="nil"/>
              <w:bottom w:val="single" w:sz="4" w:space="0" w:color="auto"/>
              <w:right w:val="single" w:sz="4" w:space="0" w:color="auto"/>
            </w:tcBorders>
            <w:noWrap/>
            <w:vAlign w:val="center"/>
            <w:hideMark/>
          </w:tcPr>
          <w:p w14:paraId="0131B301" w14:textId="77777777" w:rsidR="008328CD" w:rsidRPr="002736C9" w:rsidRDefault="008328CD" w:rsidP="004C54CF">
            <w:pPr>
              <w:spacing w:after="0" w:line="240" w:lineRule="auto"/>
              <w:jc w:val="right"/>
              <w:rPr>
                <w:rFonts w:ascii="Times New Roman" w:hAnsi="Times New Roman" w:cs="Times New Roman"/>
                <w:b/>
                <w:bCs/>
                <w:lang w:eastAsia="en-GB"/>
              </w:rPr>
            </w:pPr>
            <w:r w:rsidRPr="002736C9">
              <w:rPr>
                <w:rFonts w:ascii="Times New Roman" w:hAnsi="Times New Roman" w:cs="Times New Roman"/>
                <w:b/>
                <w:bCs/>
              </w:rPr>
              <w:t>2019</w:t>
            </w:r>
          </w:p>
        </w:tc>
        <w:tc>
          <w:tcPr>
            <w:tcW w:w="1056" w:type="dxa"/>
            <w:tcBorders>
              <w:top w:val="single" w:sz="4" w:space="0" w:color="auto"/>
              <w:left w:val="nil"/>
              <w:bottom w:val="single" w:sz="4" w:space="0" w:color="auto"/>
              <w:right w:val="single" w:sz="4" w:space="0" w:color="auto"/>
            </w:tcBorders>
            <w:noWrap/>
            <w:vAlign w:val="center"/>
            <w:hideMark/>
          </w:tcPr>
          <w:p w14:paraId="6AACED93" w14:textId="77777777" w:rsidR="008328CD" w:rsidRPr="002736C9" w:rsidRDefault="008328CD" w:rsidP="004C54CF">
            <w:pPr>
              <w:spacing w:after="0" w:line="240" w:lineRule="auto"/>
              <w:jc w:val="right"/>
              <w:rPr>
                <w:rFonts w:ascii="Times New Roman" w:hAnsi="Times New Roman" w:cs="Times New Roman"/>
                <w:b/>
                <w:bCs/>
                <w:lang w:eastAsia="en-GB"/>
              </w:rPr>
            </w:pPr>
            <w:r w:rsidRPr="002736C9">
              <w:rPr>
                <w:rFonts w:ascii="Times New Roman" w:hAnsi="Times New Roman" w:cs="Times New Roman"/>
                <w:b/>
                <w:bCs/>
              </w:rPr>
              <w:t>2020</w:t>
            </w:r>
          </w:p>
        </w:tc>
        <w:tc>
          <w:tcPr>
            <w:tcW w:w="1116" w:type="dxa"/>
            <w:tcBorders>
              <w:top w:val="single" w:sz="4" w:space="0" w:color="auto"/>
              <w:left w:val="nil"/>
              <w:bottom w:val="single" w:sz="4" w:space="0" w:color="auto"/>
              <w:right w:val="single" w:sz="4" w:space="0" w:color="auto"/>
            </w:tcBorders>
            <w:noWrap/>
            <w:vAlign w:val="center"/>
            <w:hideMark/>
          </w:tcPr>
          <w:p w14:paraId="072313CC" w14:textId="77777777" w:rsidR="008328CD" w:rsidRPr="002736C9" w:rsidRDefault="008328CD" w:rsidP="004C54CF">
            <w:pPr>
              <w:spacing w:after="0" w:line="240" w:lineRule="auto"/>
              <w:jc w:val="right"/>
              <w:rPr>
                <w:rFonts w:ascii="Times New Roman" w:hAnsi="Times New Roman" w:cs="Times New Roman"/>
                <w:b/>
                <w:bCs/>
                <w:lang w:eastAsia="en-GB"/>
              </w:rPr>
            </w:pPr>
            <w:r w:rsidRPr="002736C9">
              <w:rPr>
                <w:rFonts w:ascii="Times New Roman" w:hAnsi="Times New Roman" w:cs="Times New Roman"/>
                <w:b/>
                <w:bCs/>
              </w:rPr>
              <w:t>2021</w:t>
            </w:r>
          </w:p>
        </w:tc>
        <w:tc>
          <w:tcPr>
            <w:tcW w:w="996" w:type="dxa"/>
            <w:tcBorders>
              <w:top w:val="single" w:sz="4" w:space="0" w:color="auto"/>
              <w:left w:val="nil"/>
              <w:bottom w:val="single" w:sz="4" w:space="0" w:color="auto"/>
              <w:right w:val="single" w:sz="4" w:space="0" w:color="auto"/>
            </w:tcBorders>
            <w:vAlign w:val="center"/>
          </w:tcPr>
          <w:p w14:paraId="67BB2D8F" w14:textId="77777777" w:rsidR="008328CD" w:rsidRPr="002736C9" w:rsidRDefault="008328CD" w:rsidP="004C54CF">
            <w:pPr>
              <w:spacing w:after="0" w:line="240" w:lineRule="auto"/>
              <w:jc w:val="right"/>
              <w:rPr>
                <w:rFonts w:ascii="Times New Roman" w:hAnsi="Times New Roman" w:cs="Times New Roman"/>
                <w:b/>
                <w:bCs/>
                <w:lang w:eastAsia="en-GB"/>
              </w:rPr>
            </w:pPr>
            <w:r w:rsidRPr="002736C9">
              <w:rPr>
                <w:rFonts w:ascii="Times New Roman" w:hAnsi="Times New Roman" w:cs="Times New Roman"/>
                <w:b/>
                <w:bCs/>
              </w:rPr>
              <w:t>2022</w:t>
            </w:r>
          </w:p>
        </w:tc>
        <w:tc>
          <w:tcPr>
            <w:tcW w:w="1222" w:type="dxa"/>
            <w:tcBorders>
              <w:top w:val="single" w:sz="4" w:space="0" w:color="auto"/>
              <w:left w:val="nil"/>
              <w:bottom w:val="single" w:sz="4" w:space="0" w:color="auto"/>
              <w:right w:val="single" w:sz="4" w:space="0" w:color="auto"/>
            </w:tcBorders>
            <w:vAlign w:val="center"/>
          </w:tcPr>
          <w:p w14:paraId="0DF19A9C" w14:textId="5AD5E0D5" w:rsidR="008328CD" w:rsidRPr="002736C9" w:rsidRDefault="008328CD" w:rsidP="004C54CF">
            <w:pPr>
              <w:spacing w:after="0" w:line="240" w:lineRule="auto"/>
              <w:jc w:val="right"/>
              <w:rPr>
                <w:rFonts w:ascii="Times New Roman" w:hAnsi="Times New Roman" w:cs="Times New Roman"/>
                <w:b/>
                <w:bCs/>
                <w:lang w:val="sr-Latn-RS" w:eastAsia="en-GB"/>
              </w:rPr>
            </w:pPr>
            <w:r w:rsidRPr="002736C9">
              <w:rPr>
                <w:rFonts w:ascii="Times New Roman" w:hAnsi="Times New Roman" w:cs="Times New Roman"/>
                <w:b/>
                <w:bCs/>
                <w:lang w:val="sr-Latn-RS" w:eastAsia="en-GB"/>
              </w:rPr>
              <w:t>2023</w:t>
            </w:r>
          </w:p>
        </w:tc>
      </w:tr>
      <w:tr w:rsidR="008328CD" w:rsidRPr="00203E0A" w14:paraId="66A45FE1" w14:textId="50EC5767" w:rsidTr="002736C9">
        <w:trPr>
          <w:trHeight w:val="720"/>
          <w:jc w:val="center"/>
        </w:trPr>
        <w:tc>
          <w:tcPr>
            <w:tcW w:w="2694"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332AD3A"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Укупан број инспекцијских надзора (редовни, контролни, надзори по захтеву странке, преглед пословног простора, надзори у вези професионалних обољења и надзори поводом повреда на раду)</w:t>
            </w:r>
          </w:p>
        </w:tc>
        <w:tc>
          <w:tcPr>
            <w:tcW w:w="1134" w:type="dxa"/>
            <w:tcBorders>
              <w:top w:val="nil"/>
              <w:left w:val="nil"/>
              <w:bottom w:val="single" w:sz="4" w:space="0" w:color="auto"/>
              <w:right w:val="single" w:sz="4" w:space="0" w:color="auto"/>
            </w:tcBorders>
            <w:shd w:val="clear" w:color="000000" w:fill="C0C0C0"/>
            <w:noWrap/>
            <w:vAlign w:val="center"/>
            <w:hideMark/>
          </w:tcPr>
          <w:p w14:paraId="62FEFEF4" w14:textId="2F24435F"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70</w:t>
            </w:r>
            <w:r w:rsidR="002E5F1F" w:rsidRPr="002736C9">
              <w:rPr>
                <w:rFonts w:ascii="Times New Roman" w:hAnsi="Times New Roman" w:cs="Times New Roman"/>
              </w:rPr>
              <w:t>.</w:t>
            </w:r>
            <w:r w:rsidRPr="002736C9">
              <w:rPr>
                <w:rFonts w:ascii="Times New Roman" w:hAnsi="Times New Roman" w:cs="Times New Roman"/>
              </w:rPr>
              <w:t>122</w:t>
            </w:r>
          </w:p>
        </w:tc>
        <w:tc>
          <w:tcPr>
            <w:tcW w:w="996" w:type="dxa"/>
            <w:tcBorders>
              <w:top w:val="nil"/>
              <w:left w:val="nil"/>
              <w:bottom w:val="single" w:sz="4" w:space="0" w:color="auto"/>
              <w:right w:val="single" w:sz="4" w:space="0" w:color="auto"/>
            </w:tcBorders>
            <w:shd w:val="clear" w:color="000000" w:fill="C0C0C0"/>
            <w:noWrap/>
            <w:vAlign w:val="center"/>
            <w:hideMark/>
          </w:tcPr>
          <w:p w14:paraId="6B87C9A7" w14:textId="769BECAD"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77</w:t>
            </w:r>
            <w:r w:rsidR="002E5F1F" w:rsidRPr="002736C9">
              <w:rPr>
                <w:rFonts w:ascii="Times New Roman" w:hAnsi="Times New Roman" w:cs="Times New Roman"/>
              </w:rPr>
              <w:t>.</w:t>
            </w:r>
            <w:r w:rsidRPr="002736C9">
              <w:rPr>
                <w:rFonts w:ascii="Times New Roman" w:hAnsi="Times New Roman" w:cs="Times New Roman"/>
              </w:rPr>
              <w:t>806</w:t>
            </w:r>
          </w:p>
        </w:tc>
        <w:tc>
          <w:tcPr>
            <w:tcW w:w="1056" w:type="dxa"/>
            <w:tcBorders>
              <w:top w:val="nil"/>
              <w:left w:val="nil"/>
              <w:bottom w:val="single" w:sz="4" w:space="0" w:color="auto"/>
              <w:right w:val="single" w:sz="4" w:space="0" w:color="auto"/>
            </w:tcBorders>
            <w:shd w:val="clear" w:color="000000" w:fill="C0C0C0"/>
            <w:noWrap/>
            <w:vAlign w:val="center"/>
            <w:hideMark/>
          </w:tcPr>
          <w:p w14:paraId="535004E7" w14:textId="4EF7C9EB"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62</w:t>
            </w:r>
            <w:r w:rsidR="002E5F1F" w:rsidRPr="002736C9">
              <w:rPr>
                <w:rFonts w:ascii="Times New Roman" w:hAnsi="Times New Roman" w:cs="Times New Roman"/>
              </w:rPr>
              <w:t>.</w:t>
            </w:r>
            <w:r w:rsidRPr="002736C9">
              <w:rPr>
                <w:rFonts w:ascii="Times New Roman" w:hAnsi="Times New Roman" w:cs="Times New Roman"/>
              </w:rPr>
              <w:t>475</w:t>
            </w:r>
          </w:p>
        </w:tc>
        <w:tc>
          <w:tcPr>
            <w:tcW w:w="1116" w:type="dxa"/>
            <w:tcBorders>
              <w:top w:val="nil"/>
              <w:left w:val="nil"/>
              <w:bottom w:val="single" w:sz="4" w:space="0" w:color="auto"/>
              <w:right w:val="single" w:sz="4" w:space="0" w:color="auto"/>
            </w:tcBorders>
            <w:shd w:val="clear" w:color="000000" w:fill="C0C0C0"/>
            <w:noWrap/>
            <w:vAlign w:val="center"/>
            <w:hideMark/>
          </w:tcPr>
          <w:p w14:paraId="3FD8E7DC" w14:textId="2979DDC0"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63</w:t>
            </w:r>
            <w:r w:rsidR="002E5F1F" w:rsidRPr="002736C9">
              <w:rPr>
                <w:rFonts w:ascii="Times New Roman" w:hAnsi="Times New Roman" w:cs="Times New Roman"/>
              </w:rPr>
              <w:t>.</w:t>
            </w:r>
            <w:r w:rsidRPr="002736C9">
              <w:rPr>
                <w:rFonts w:ascii="Times New Roman" w:hAnsi="Times New Roman" w:cs="Times New Roman"/>
              </w:rPr>
              <w:t>670</w:t>
            </w:r>
          </w:p>
        </w:tc>
        <w:tc>
          <w:tcPr>
            <w:tcW w:w="996" w:type="dxa"/>
            <w:tcBorders>
              <w:top w:val="nil"/>
              <w:left w:val="nil"/>
              <w:bottom w:val="single" w:sz="4" w:space="0" w:color="auto"/>
              <w:right w:val="single" w:sz="4" w:space="0" w:color="auto"/>
            </w:tcBorders>
            <w:shd w:val="clear" w:color="000000" w:fill="C0C0C0"/>
            <w:vAlign w:val="center"/>
          </w:tcPr>
          <w:p w14:paraId="7F43C9DF" w14:textId="60585E2E"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65</w:t>
            </w:r>
            <w:r w:rsidR="002E5F1F" w:rsidRPr="002736C9">
              <w:rPr>
                <w:rFonts w:ascii="Times New Roman" w:hAnsi="Times New Roman" w:cs="Times New Roman"/>
              </w:rPr>
              <w:t>.</w:t>
            </w:r>
            <w:r w:rsidRPr="002736C9">
              <w:rPr>
                <w:rFonts w:ascii="Times New Roman" w:hAnsi="Times New Roman" w:cs="Times New Roman"/>
              </w:rPr>
              <w:t>043</w:t>
            </w:r>
          </w:p>
        </w:tc>
        <w:tc>
          <w:tcPr>
            <w:tcW w:w="1222" w:type="dxa"/>
            <w:tcBorders>
              <w:top w:val="nil"/>
              <w:left w:val="nil"/>
              <w:bottom w:val="single" w:sz="4" w:space="0" w:color="auto"/>
              <w:right w:val="single" w:sz="4" w:space="0" w:color="auto"/>
            </w:tcBorders>
            <w:shd w:val="clear" w:color="000000" w:fill="C0C0C0"/>
            <w:vAlign w:val="center"/>
          </w:tcPr>
          <w:p w14:paraId="15E1E6BC" w14:textId="30210423" w:rsidR="008328CD" w:rsidRPr="002736C9"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66.896</w:t>
            </w:r>
          </w:p>
        </w:tc>
      </w:tr>
      <w:tr w:rsidR="008328CD" w:rsidRPr="00203E0A" w14:paraId="78CF5C6A" w14:textId="65269794" w:rsidTr="002736C9">
        <w:trPr>
          <w:trHeight w:val="720"/>
          <w:jc w:val="center"/>
        </w:trPr>
        <w:tc>
          <w:tcPr>
            <w:tcW w:w="2694" w:type="dxa"/>
            <w:tcBorders>
              <w:top w:val="single" w:sz="4" w:space="0" w:color="auto"/>
              <w:left w:val="single" w:sz="4" w:space="0" w:color="auto"/>
              <w:bottom w:val="single" w:sz="4" w:space="0" w:color="auto"/>
              <w:right w:val="single" w:sz="4" w:space="0" w:color="auto"/>
            </w:tcBorders>
            <w:shd w:val="clear" w:color="000000" w:fill="C0C0C0"/>
            <w:vAlign w:val="center"/>
          </w:tcPr>
          <w:p w14:paraId="4AFF1BEC"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лица која су обухваћена надзором</w:t>
            </w:r>
          </w:p>
        </w:tc>
        <w:tc>
          <w:tcPr>
            <w:tcW w:w="1134" w:type="dxa"/>
            <w:tcBorders>
              <w:top w:val="nil"/>
              <w:left w:val="nil"/>
              <w:bottom w:val="single" w:sz="4" w:space="0" w:color="auto"/>
              <w:right w:val="single" w:sz="4" w:space="0" w:color="auto"/>
            </w:tcBorders>
            <w:shd w:val="clear" w:color="000000" w:fill="C0C0C0"/>
            <w:noWrap/>
            <w:vAlign w:val="center"/>
          </w:tcPr>
          <w:p w14:paraId="7FAD825C" w14:textId="7CF28DE0"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629</w:t>
            </w:r>
            <w:r w:rsidR="002E5F1F" w:rsidRPr="002736C9">
              <w:rPr>
                <w:rFonts w:ascii="Times New Roman" w:hAnsi="Times New Roman" w:cs="Times New Roman"/>
              </w:rPr>
              <w:t>.</w:t>
            </w:r>
            <w:r w:rsidRPr="002736C9">
              <w:rPr>
                <w:rFonts w:ascii="Times New Roman" w:hAnsi="Times New Roman" w:cs="Times New Roman"/>
              </w:rPr>
              <w:t>834</w:t>
            </w:r>
          </w:p>
        </w:tc>
        <w:tc>
          <w:tcPr>
            <w:tcW w:w="996" w:type="dxa"/>
            <w:tcBorders>
              <w:top w:val="nil"/>
              <w:left w:val="nil"/>
              <w:bottom w:val="single" w:sz="4" w:space="0" w:color="auto"/>
              <w:right w:val="single" w:sz="4" w:space="0" w:color="auto"/>
            </w:tcBorders>
            <w:shd w:val="clear" w:color="000000" w:fill="C0C0C0"/>
            <w:noWrap/>
            <w:vAlign w:val="center"/>
          </w:tcPr>
          <w:p w14:paraId="3E6EF65D" w14:textId="198C2AA4"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658</w:t>
            </w:r>
            <w:r w:rsidR="002E5F1F" w:rsidRPr="002736C9">
              <w:rPr>
                <w:rFonts w:ascii="Times New Roman" w:hAnsi="Times New Roman" w:cs="Times New Roman"/>
              </w:rPr>
              <w:t>.</w:t>
            </w:r>
            <w:r w:rsidRPr="002736C9">
              <w:rPr>
                <w:rFonts w:ascii="Times New Roman" w:hAnsi="Times New Roman" w:cs="Times New Roman"/>
              </w:rPr>
              <w:t>744</w:t>
            </w:r>
          </w:p>
        </w:tc>
        <w:tc>
          <w:tcPr>
            <w:tcW w:w="1056" w:type="dxa"/>
            <w:tcBorders>
              <w:top w:val="nil"/>
              <w:left w:val="nil"/>
              <w:bottom w:val="single" w:sz="4" w:space="0" w:color="auto"/>
              <w:right w:val="single" w:sz="4" w:space="0" w:color="auto"/>
            </w:tcBorders>
            <w:shd w:val="clear" w:color="000000" w:fill="C0C0C0"/>
            <w:noWrap/>
            <w:vAlign w:val="center"/>
          </w:tcPr>
          <w:p w14:paraId="41EE19D6" w14:textId="63171362"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546</w:t>
            </w:r>
            <w:r w:rsidR="002E5F1F" w:rsidRPr="002736C9">
              <w:rPr>
                <w:rFonts w:ascii="Times New Roman" w:hAnsi="Times New Roman" w:cs="Times New Roman"/>
              </w:rPr>
              <w:t>.</w:t>
            </w:r>
            <w:r w:rsidRPr="002736C9">
              <w:rPr>
                <w:rFonts w:ascii="Times New Roman" w:hAnsi="Times New Roman" w:cs="Times New Roman"/>
              </w:rPr>
              <w:t>702</w:t>
            </w:r>
          </w:p>
        </w:tc>
        <w:tc>
          <w:tcPr>
            <w:tcW w:w="1116" w:type="dxa"/>
            <w:tcBorders>
              <w:top w:val="nil"/>
              <w:left w:val="nil"/>
              <w:bottom w:val="single" w:sz="4" w:space="0" w:color="auto"/>
              <w:right w:val="single" w:sz="4" w:space="0" w:color="auto"/>
            </w:tcBorders>
            <w:shd w:val="clear" w:color="000000" w:fill="C0C0C0"/>
            <w:noWrap/>
            <w:vAlign w:val="center"/>
          </w:tcPr>
          <w:p w14:paraId="66620E97" w14:textId="2F2F031A"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426</w:t>
            </w:r>
            <w:r w:rsidR="002E5F1F" w:rsidRPr="002736C9">
              <w:rPr>
                <w:rFonts w:ascii="Times New Roman" w:hAnsi="Times New Roman" w:cs="Times New Roman"/>
              </w:rPr>
              <w:t>.</w:t>
            </w:r>
            <w:r w:rsidRPr="002736C9">
              <w:rPr>
                <w:rFonts w:ascii="Times New Roman" w:hAnsi="Times New Roman" w:cs="Times New Roman"/>
              </w:rPr>
              <w:t>023</w:t>
            </w:r>
          </w:p>
        </w:tc>
        <w:tc>
          <w:tcPr>
            <w:tcW w:w="996" w:type="dxa"/>
            <w:tcBorders>
              <w:top w:val="nil"/>
              <w:left w:val="nil"/>
              <w:bottom w:val="single" w:sz="4" w:space="0" w:color="auto"/>
              <w:right w:val="single" w:sz="4" w:space="0" w:color="auto"/>
            </w:tcBorders>
            <w:shd w:val="clear" w:color="000000" w:fill="C0C0C0"/>
            <w:vAlign w:val="center"/>
          </w:tcPr>
          <w:p w14:paraId="5AD6AD9E" w14:textId="26F972AC"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406</w:t>
            </w:r>
            <w:r w:rsidR="002E5F1F" w:rsidRPr="002736C9">
              <w:rPr>
                <w:rFonts w:ascii="Times New Roman" w:hAnsi="Times New Roman" w:cs="Times New Roman"/>
              </w:rPr>
              <w:t>.</w:t>
            </w:r>
            <w:r w:rsidRPr="002736C9">
              <w:rPr>
                <w:rFonts w:ascii="Times New Roman" w:hAnsi="Times New Roman" w:cs="Times New Roman"/>
              </w:rPr>
              <w:t>865</w:t>
            </w:r>
          </w:p>
        </w:tc>
        <w:tc>
          <w:tcPr>
            <w:tcW w:w="1222" w:type="dxa"/>
            <w:tcBorders>
              <w:top w:val="nil"/>
              <w:left w:val="nil"/>
              <w:bottom w:val="single" w:sz="4" w:space="0" w:color="auto"/>
              <w:right w:val="single" w:sz="4" w:space="0" w:color="auto"/>
            </w:tcBorders>
            <w:shd w:val="clear" w:color="000000" w:fill="C0C0C0"/>
            <w:vAlign w:val="center"/>
          </w:tcPr>
          <w:p w14:paraId="1491F9C3" w14:textId="5C0013A5" w:rsidR="008328CD" w:rsidRPr="002736C9" w:rsidRDefault="00832298" w:rsidP="004C54CF">
            <w:pPr>
              <w:spacing w:after="0" w:line="240" w:lineRule="auto"/>
              <w:jc w:val="right"/>
              <w:rPr>
                <w:rFonts w:ascii="Times New Roman" w:hAnsi="Times New Roman" w:cs="Times New Roman"/>
                <w:lang w:eastAsia="en-GB"/>
              </w:rPr>
            </w:pPr>
            <w:r w:rsidRPr="002736C9">
              <w:rPr>
                <w:rFonts w:ascii="Times New Roman" w:hAnsi="Times New Roman" w:cs="Times New Roman"/>
                <w:b/>
                <w:bCs/>
              </w:rPr>
              <w:t>382.004</w:t>
            </w:r>
          </w:p>
        </w:tc>
      </w:tr>
      <w:tr w:rsidR="008328CD" w:rsidRPr="00203E0A" w14:paraId="5A749B1F" w14:textId="3AED8F48" w:rsidTr="002736C9">
        <w:trPr>
          <w:trHeight w:val="300"/>
          <w:jc w:val="center"/>
        </w:trPr>
        <w:tc>
          <w:tcPr>
            <w:tcW w:w="2694" w:type="dxa"/>
            <w:tcBorders>
              <w:top w:val="nil"/>
              <w:left w:val="single" w:sz="4" w:space="0" w:color="auto"/>
              <w:bottom w:val="single" w:sz="4" w:space="0" w:color="auto"/>
              <w:right w:val="single" w:sz="4" w:space="0" w:color="auto"/>
            </w:tcBorders>
            <w:shd w:val="clear" w:color="000000" w:fill="C0C0C0"/>
            <w:vAlign w:val="center"/>
            <w:hideMark/>
          </w:tcPr>
          <w:p w14:paraId="46193C6D"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инспекцијских надзора у области БЗР</w:t>
            </w:r>
          </w:p>
        </w:tc>
        <w:tc>
          <w:tcPr>
            <w:tcW w:w="1134" w:type="dxa"/>
            <w:tcBorders>
              <w:top w:val="nil"/>
              <w:left w:val="nil"/>
              <w:bottom w:val="single" w:sz="4" w:space="0" w:color="auto"/>
              <w:right w:val="single" w:sz="4" w:space="0" w:color="auto"/>
            </w:tcBorders>
            <w:shd w:val="clear" w:color="000000" w:fill="C0C0C0"/>
            <w:noWrap/>
            <w:vAlign w:val="center"/>
            <w:hideMark/>
          </w:tcPr>
          <w:p w14:paraId="3B7FAA52" w14:textId="3F7E64BD"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26</w:t>
            </w:r>
            <w:r w:rsidR="002E5F1F" w:rsidRPr="002736C9">
              <w:rPr>
                <w:rFonts w:ascii="Times New Roman" w:hAnsi="Times New Roman" w:cs="Times New Roman"/>
              </w:rPr>
              <w:t>.</w:t>
            </w:r>
            <w:r w:rsidRPr="002736C9">
              <w:rPr>
                <w:rFonts w:ascii="Times New Roman" w:hAnsi="Times New Roman" w:cs="Times New Roman"/>
              </w:rPr>
              <w:t>515 </w:t>
            </w:r>
          </w:p>
        </w:tc>
        <w:tc>
          <w:tcPr>
            <w:tcW w:w="996" w:type="dxa"/>
            <w:tcBorders>
              <w:top w:val="nil"/>
              <w:left w:val="nil"/>
              <w:bottom w:val="single" w:sz="4" w:space="0" w:color="auto"/>
              <w:right w:val="single" w:sz="4" w:space="0" w:color="auto"/>
            </w:tcBorders>
            <w:shd w:val="clear" w:color="000000" w:fill="C0C0C0"/>
            <w:noWrap/>
            <w:vAlign w:val="center"/>
            <w:hideMark/>
          </w:tcPr>
          <w:p w14:paraId="2BB5ED92" w14:textId="3480E4C4"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34</w:t>
            </w:r>
            <w:r w:rsidR="002E5F1F" w:rsidRPr="002736C9">
              <w:rPr>
                <w:rFonts w:ascii="Times New Roman" w:hAnsi="Times New Roman" w:cs="Times New Roman"/>
              </w:rPr>
              <w:t>.</w:t>
            </w:r>
            <w:r w:rsidRPr="002736C9">
              <w:rPr>
                <w:rFonts w:ascii="Times New Roman" w:hAnsi="Times New Roman" w:cs="Times New Roman"/>
              </w:rPr>
              <w:t>932  </w:t>
            </w:r>
          </w:p>
        </w:tc>
        <w:tc>
          <w:tcPr>
            <w:tcW w:w="1056" w:type="dxa"/>
            <w:tcBorders>
              <w:top w:val="nil"/>
              <w:left w:val="nil"/>
              <w:bottom w:val="single" w:sz="4" w:space="0" w:color="auto"/>
              <w:right w:val="single" w:sz="4" w:space="0" w:color="auto"/>
            </w:tcBorders>
            <w:shd w:val="clear" w:color="000000" w:fill="C0C0C0"/>
            <w:noWrap/>
            <w:vAlign w:val="center"/>
            <w:hideMark/>
          </w:tcPr>
          <w:p w14:paraId="7D67D573" w14:textId="0EE850B9"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31</w:t>
            </w:r>
            <w:r w:rsidR="002E5F1F" w:rsidRPr="002736C9">
              <w:rPr>
                <w:rFonts w:ascii="Times New Roman" w:hAnsi="Times New Roman" w:cs="Times New Roman"/>
              </w:rPr>
              <w:t>.</w:t>
            </w:r>
            <w:r w:rsidRPr="002736C9">
              <w:rPr>
                <w:rFonts w:ascii="Times New Roman" w:hAnsi="Times New Roman" w:cs="Times New Roman"/>
              </w:rPr>
              <w:t>243</w:t>
            </w:r>
          </w:p>
        </w:tc>
        <w:tc>
          <w:tcPr>
            <w:tcW w:w="1116" w:type="dxa"/>
            <w:tcBorders>
              <w:top w:val="nil"/>
              <w:left w:val="nil"/>
              <w:bottom w:val="single" w:sz="4" w:space="0" w:color="auto"/>
              <w:right w:val="single" w:sz="4" w:space="0" w:color="auto"/>
            </w:tcBorders>
            <w:shd w:val="clear" w:color="000000" w:fill="C0C0C0"/>
            <w:noWrap/>
            <w:vAlign w:val="center"/>
            <w:hideMark/>
          </w:tcPr>
          <w:p w14:paraId="13748DB3" w14:textId="18569D96"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32</w:t>
            </w:r>
            <w:r w:rsidR="002E5F1F" w:rsidRPr="002736C9">
              <w:rPr>
                <w:rFonts w:ascii="Times New Roman" w:hAnsi="Times New Roman" w:cs="Times New Roman"/>
              </w:rPr>
              <w:t>.</w:t>
            </w:r>
            <w:r w:rsidRPr="002736C9">
              <w:rPr>
                <w:rFonts w:ascii="Times New Roman" w:hAnsi="Times New Roman" w:cs="Times New Roman"/>
              </w:rPr>
              <w:t>920</w:t>
            </w:r>
          </w:p>
        </w:tc>
        <w:tc>
          <w:tcPr>
            <w:tcW w:w="996" w:type="dxa"/>
            <w:tcBorders>
              <w:top w:val="nil"/>
              <w:left w:val="nil"/>
              <w:bottom w:val="single" w:sz="4" w:space="0" w:color="auto"/>
              <w:right w:val="single" w:sz="4" w:space="0" w:color="auto"/>
            </w:tcBorders>
            <w:shd w:val="clear" w:color="000000" w:fill="C0C0C0"/>
            <w:vAlign w:val="center"/>
          </w:tcPr>
          <w:p w14:paraId="796CB54F" w14:textId="0660DC9A"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32</w:t>
            </w:r>
            <w:r w:rsidR="002E5F1F" w:rsidRPr="002736C9">
              <w:rPr>
                <w:rFonts w:ascii="Times New Roman" w:hAnsi="Times New Roman" w:cs="Times New Roman"/>
              </w:rPr>
              <w:t>.</w:t>
            </w:r>
            <w:r w:rsidRPr="002736C9">
              <w:rPr>
                <w:rFonts w:ascii="Times New Roman" w:hAnsi="Times New Roman" w:cs="Times New Roman"/>
              </w:rPr>
              <w:t>414</w:t>
            </w:r>
          </w:p>
        </w:tc>
        <w:tc>
          <w:tcPr>
            <w:tcW w:w="1222" w:type="dxa"/>
            <w:tcBorders>
              <w:top w:val="nil"/>
              <w:left w:val="nil"/>
              <w:bottom w:val="single" w:sz="4" w:space="0" w:color="auto"/>
              <w:right w:val="single" w:sz="4" w:space="0" w:color="auto"/>
            </w:tcBorders>
            <w:shd w:val="clear" w:color="000000" w:fill="C0C0C0"/>
            <w:vAlign w:val="center"/>
          </w:tcPr>
          <w:p w14:paraId="469EA143" w14:textId="1373641B" w:rsidR="008328CD" w:rsidRPr="002736C9"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32.461</w:t>
            </w:r>
          </w:p>
        </w:tc>
      </w:tr>
      <w:tr w:rsidR="008328CD" w:rsidRPr="00203E0A" w14:paraId="279227EE" w14:textId="4941525C" w:rsidTr="002736C9">
        <w:trPr>
          <w:trHeight w:val="315"/>
          <w:jc w:val="center"/>
        </w:trPr>
        <w:tc>
          <w:tcPr>
            <w:tcW w:w="2694" w:type="dxa"/>
            <w:tcBorders>
              <w:top w:val="nil"/>
              <w:left w:val="single" w:sz="4" w:space="0" w:color="auto"/>
              <w:bottom w:val="single" w:sz="4" w:space="0" w:color="auto"/>
              <w:right w:val="single" w:sz="4" w:space="0" w:color="auto"/>
            </w:tcBorders>
            <w:vAlign w:val="center"/>
          </w:tcPr>
          <w:p w14:paraId="466FE52E"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службених саветодавних посета у области БЗР</w:t>
            </w:r>
          </w:p>
        </w:tc>
        <w:tc>
          <w:tcPr>
            <w:tcW w:w="1134" w:type="dxa"/>
            <w:tcBorders>
              <w:top w:val="nil"/>
              <w:left w:val="nil"/>
              <w:bottom w:val="single" w:sz="4" w:space="0" w:color="auto"/>
              <w:right w:val="single" w:sz="4" w:space="0" w:color="auto"/>
            </w:tcBorders>
            <w:noWrap/>
            <w:vAlign w:val="center"/>
          </w:tcPr>
          <w:p w14:paraId="22E3F79D"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60</w:t>
            </w:r>
          </w:p>
        </w:tc>
        <w:tc>
          <w:tcPr>
            <w:tcW w:w="996" w:type="dxa"/>
            <w:tcBorders>
              <w:top w:val="nil"/>
              <w:left w:val="nil"/>
              <w:bottom w:val="single" w:sz="4" w:space="0" w:color="auto"/>
              <w:right w:val="single" w:sz="4" w:space="0" w:color="auto"/>
            </w:tcBorders>
            <w:noWrap/>
            <w:vAlign w:val="center"/>
          </w:tcPr>
          <w:p w14:paraId="1E9F1090"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97</w:t>
            </w:r>
          </w:p>
        </w:tc>
        <w:tc>
          <w:tcPr>
            <w:tcW w:w="1056" w:type="dxa"/>
            <w:tcBorders>
              <w:top w:val="nil"/>
              <w:left w:val="nil"/>
              <w:bottom w:val="single" w:sz="4" w:space="0" w:color="auto"/>
              <w:right w:val="single" w:sz="4" w:space="0" w:color="auto"/>
            </w:tcBorders>
            <w:noWrap/>
            <w:vAlign w:val="center"/>
          </w:tcPr>
          <w:p w14:paraId="574B2593"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66</w:t>
            </w:r>
          </w:p>
        </w:tc>
        <w:tc>
          <w:tcPr>
            <w:tcW w:w="1116" w:type="dxa"/>
            <w:tcBorders>
              <w:top w:val="nil"/>
              <w:left w:val="nil"/>
              <w:bottom w:val="single" w:sz="4" w:space="0" w:color="auto"/>
              <w:right w:val="single" w:sz="4" w:space="0" w:color="auto"/>
            </w:tcBorders>
            <w:noWrap/>
            <w:vAlign w:val="center"/>
          </w:tcPr>
          <w:p w14:paraId="78ED5A41"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50</w:t>
            </w:r>
          </w:p>
        </w:tc>
        <w:tc>
          <w:tcPr>
            <w:tcW w:w="996" w:type="dxa"/>
            <w:tcBorders>
              <w:top w:val="nil"/>
              <w:left w:val="nil"/>
              <w:bottom w:val="single" w:sz="4" w:space="0" w:color="auto"/>
              <w:right w:val="single" w:sz="4" w:space="0" w:color="auto"/>
            </w:tcBorders>
            <w:vAlign w:val="center"/>
          </w:tcPr>
          <w:p w14:paraId="44AC785C"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39</w:t>
            </w:r>
          </w:p>
        </w:tc>
        <w:tc>
          <w:tcPr>
            <w:tcW w:w="1222" w:type="dxa"/>
            <w:tcBorders>
              <w:top w:val="nil"/>
              <w:left w:val="nil"/>
              <w:bottom w:val="single" w:sz="4" w:space="0" w:color="auto"/>
              <w:right w:val="single" w:sz="4" w:space="0" w:color="auto"/>
            </w:tcBorders>
            <w:vAlign w:val="center"/>
          </w:tcPr>
          <w:p w14:paraId="6A016F6E" w14:textId="498BED0B" w:rsidR="008328CD" w:rsidRPr="002736C9" w:rsidRDefault="00A056C9" w:rsidP="004C54CF">
            <w:pPr>
              <w:spacing w:after="0" w:line="240" w:lineRule="auto"/>
              <w:jc w:val="right"/>
              <w:rPr>
                <w:rFonts w:ascii="Times New Roman" w:hAnsi="Times New Roman" w:cs="Times New Roman"/>
                <w:lang w:eastAsia="en-GB"/>
              </w:rPr>
            </w:pPr>
            <w:r w:rsidRPr="002736C9">
              <w:rPr>
                <w:rFonts w:ascii="Times New Roman" w:hAnsi="Times New Roman" w:cs="Times New Roman"/>
                <w:lang w:eastAsia="en-GB"/>
              </w:rPr>
              <w:t>72</w:t>
            </w:r>
          </w:p>
        </w:tc>
      </w:tr>
      <w:tr w:rsidR="008328CD" w:rsidRPr="00203E0A" w14:paraId="5CADF9DF" w14:textId="176ECBCB" w:rsidTr="002736C9">
        <w:trPr>
          <w:trHeight w:val="315"/>
          <w:jc w:val="center"/>
        </w:trPr>
        <w:tc>
          <w:tcPr>
            <w:tcW w:w="2694" w:type="dxa"/>
            <w:tcBorders>
              <w:top w:val="nil"/>
              <w:left w:val="single" w:sz="4" w:space="0" w:color="auto"/>
              <w:bottom w:val="single" w:sz="4" w:space="0" w:color="auto"/>
              <w:right w:val="single" w:sz="4" w:space="0" w:color="auto"/>
            </w:tcBorders>
            <w:vAlign w:val="center"/>
            <w:hideMark/>
          </w:tcPr>
          <w:p w14:paraId="2D12AC61"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извршених редовних инспекцијских надзора</w:t>
            </w:r>
          </w:p>
        </w:tc>
        <w:tc>
          <w:tcPr>
            <w:tcW w:w="1134" w:type="dxa"/>
            <w:tcBorders>
              <w:top w:val="nil"/>
              <w:left w:val="nil"/>
              <w:bottom w:val="single" w:sz="4" w:space="0" w:color="auto"/>
              <w:right w:val="single" w:sz="4" w:space="0" w:color="auto"/>
            </w:tcBorders>
            <w:noWrap/>
            <w:vAlign w:val="center"/>
            <w:hideMark/>
          </w:tcPr>
          <w:p w14:paraId="03A4E799" w14:textId="1AC76A70"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w:t>
            </w:r>
            <w:r w:rsidR="002E5F1F" w:rsidRPr="002736C9">
              <w:rPr>
                <w:rFonts w:ascii="Times New Roman" w:hAnsi="Times New Roman" w:cs="Times New Roman"/>
              </w:rPr>
              <w:t>.</w:t>
            </w:r>
            <w:r w:rsidRPr="002736C9">
              <w:rPr>
                <w:rFonts w:ascii="Times New Roman" w:hAnsi="Times New Roman" w:cs="Times New Roman"/>
              </w:rPr>
              <w:t>144</w:t>
            </w:r>
          </w:p>
        </w:tc>
        <w:tc>
          <w:tcPr>
            <w:tcW w:w="996" w:type="dxa"/>
            <w:tcBorders>
              <w:top w:val="nil"/>
              <w:left w:val="nil"/>
              <w:bottom w:val="single" w:sz="4" w:space="0" w:color="auto"/>
              <w:right w:val="single" w:sz="4" w:space="0" w:color="auto"/>
            </w:tcBorders>
            <w:noWrap/>
            <w:vAlign w:val="center"/>
            <w:hideMark/>
          </w:tcPr>
          <w:p w14:paraId="68559832" w14:textId="5F3A9FB9"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230 </w:t>
            </w:r>
          </w:p>
        </w:tc>
        <w:tc>
          <w:tcPr>
            <w:tcW w:w="1056" w:type="dxa"/>
            <w:tcBorders>
              <w:top w:val="nil"/>
              <w:left w:val="nil"/>
              <w:bottom w:val="single" w:sz="4" w:space="0" w:color="auto"/>
              <w:right w:val="single" w:sz="4" w:space="0" w:color="auto"/>
            </w:tcBorders>
            <w:noWrap/>
            <w:vAlign w:val="center"/>
            <w:hideMark/>
          </w:tcPr>
          <w:p w14:paraId="36BC982C" w14:textId="605C19B4"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070</w:t>
            </w:r>
          </w:p>
        </w:tc>
        <w:tc>
          <w:tcPr>
            <w:tcW w:w="1116" w:type="dxa"/>
            <w:tcBorders>
              <w:top w:val="nil"/>
              <w:left w:val="nil"/>
              <w:bottom w:val="single" w:sz="4" w:space="0" w:color="auto"/>
              <w:right w:val="single" w:sz="4" w:space="0" w:color="auto"/>
            </w:tcBorders>
            <w:noWrap/>
            <w:vAlign w:val="center"/>
            <w:hideMark/>
          </w:tcPr>
          <w:p w14:paraId="7C2699EF" w14:textId="64C470CE"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074</w:t>
            </w:r>
          </w:p>
        </w:tc>
        <w:tc>
          <w:tcPr>
            <w:tcW w:w="996" w:type="dxa"/>
            <w:tcBorders>
              <w:top w:val="nil"/>
              <w:left w:val="nil"/>
              <w:bottom w:val="single" w:sz="4" w:space="0" w:color="auto"/>
              <w:right w:val="single" w:sz="4" w:space="0" w:color="auto"/>
            </w:tcBorders>
            <w:vAlign w:val="center"/>
          </w:tcPr>
          <w:p w14:paraId="6FEC70BD" w14:textId="1D25F3DD"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w:t>
            </w:r>
            <w:r w:rsidR="002E5F1F" w:rsidRPr="002736C9">
              <w:rPr>
                <w:rFonts w:ascii="Times New Roman" w:hAnsi="Times New Roman" w:cs="Times New Roman"/>
              </w:rPr>
              <w:t>.</w:t>
            </w:r>
            <w:r w:rsidRPr="002736C9">
              <w:rPr>
                <w:rFonts w:ascii="Times New Roman" w:hAnsi="Times New Roman" w:cs="Times New Roman"/>
              </w:rPr>
              <w:t xml:space="preserve">547 </w:t>
            </w:r>
          </w:p>
        </w:tc>
        <w:tc>
          <w:tcPr>
            <w:tcW w:w="1222" w:type="dxa"/>
            <w:tcBorders>
              <w:top w:val="nil"/>
              <w:left w:val="nil"/>
              <w:bottom w:val="single" w:sz="4" w:space="0" w:color="auto"/>
              <w:right w:val="single" w:sz="4" w:space="0" w:color="auto"/>
            </w:tcBorders>
            <w:vAlign w:val="center"/>
          </w:tcPr>
          <w:p w14:paraId="108CDD2D" w14:textId="69E2538F" w:rsidR="008328CD" w:rsidRPr="002736C9" w:rsidRDefault="003840AE" w:rsidP="004C54CF">
            <w:pPr>
              <w:spacing w:after="0" w:line="240" w:lineRule="auto"/>
              <w:jc w:val="right"/>
              <w:rPr>
                <w:rFonts w:ascii="Times New Roman" w:hAnsi="Times New Roman" w:cs="Times New Roman"/>
                <w:lang w:eastAsia="en-GB"/>
              </w:rPr>
            </w:pPr>
            <w:r w:rsidRPr="002736C9">
              <w:rPr>
                <w:rFonts w:ascii="Times New Roman" w:hAnsi="Times New Roman" w:cs="Times New Roman"/>
                <w:b/>
                <w:color w:val="000000"/>
                <w:lang w:val="sr-Latn-RS"/>
              </w:rPr>
              <w:t>2.115</w:t>
            </w:r>
          </w:p>
        </w:tc>
      </w:tr>
      <w:tr w:rsidR="008328CD" w:rsidRPr="00203E0A" w14:paraId="2B3DFE99" w14:textId="5D58B7E0"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1957B98E"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извршених контролних инспекцијских надзора</w:t>
            </w:r>
          </w:p>
        </w:tc>
        <w:tc>
          <w:tcPr>
            <w:tcW w:w="1134" w:type="dxa"/>
            <w:tcBorders>
              <w:top w:val="nil"/>
              <w:left w:val="nil"/>
              <w:bottom w:val="single" w:sz="4" w:space="0" w:color="auto"/>
              <w:right w:val="single" w:sz="4" w:space="0" w:color="auto"/>
            </w:tcBorders>
            <w:noWrap/>
            <w:vAlign w:val="center"/>
            <w:hideMark/>
          </w:tcPr>
          <w:p w14:paraId="3277C37A" w14:textId="3D67A153"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w:t>
            </w:r>
            <w:r w:rsidR="002E5F1F" w:rsidRPr="002736C9">
              <w:rPr>
                <w:rFonts w:ascii="Times New Roman" w:hAnsi="Times New Roman" w:cs="Times New Roman"/>
              </w:rPr>
              <w:t>.</w:t>
            </w:r>
            <w:r w:rsidRPr="002736C9">
              <w:rPr>
                <w:rFonts w:ascii="Times New Roman" w:hAnsi="Times New Roman" w:cs="Times New Roman"/>
              </w:rPr>
              <w:t>867</w:t>
            </w:r>
          </w:p>
        </w:tc>
        <w:tc>
          <w:tcPr>
            <w:tcW w:w="996" w:type="dxa"/>
            <w:tcBorders>
              <w:top w:val="nil"/>
              <w:left w:val="nil"/>
              <w:bottom w:val="single" w:sz="4" w:space="0" w:color="auto"/>
              <w:right w:val="single" w:sz="4" w:space="0" w:color="auto"/>
            </w:tcBorders>
            <w:noWrap/>
            <w:vAlign w:val="center"/>
            <w:hideMark/>
          </w:tcPr>
          <w:p w14:paraId="3792EC0C" w14:textId="46CC173D"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690 </w:t>
            </w:r>
          </w:p>
        </w:tc>
        <w:tc>
          <w:tcPr>
            <w:tcW w:w="1056" w:type="dxa"/>
            <w:tcBorders>
              <w:top w:val="nil"/>
              <w:left w:val="nil"/>
              <w:bottom w:val="single" w:sz="4" w:space="0" w:color="auto"/>
              <w:right w:val="single" w:sz="4" w:space="0" w:color="auto"/>
            </w:tcBorders>
            <w:noWrap/>
            <w:vAlign w:val="center"/>
            <w:hideMark/>
          </w:tcPr>
          <w:p w14:paraId="1A766233" w14:textId="1D32DD4A"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w:t>
            </w:r>
            <w:r w:rsidR="002E5F1F" w:rsidRPr="002736C9">
              <w:rPr>
                <w:rFonts w:ascii="Times New Roman" w:hAnsi="Times New Roman" w:cs="Times New Roman"/>
              </w:rPr>
              <w:t>.</w:t>
            </w:r>
            <w:r w:rsidRPr="002736C9">
              <w:rPr>
                <w:rFonts w:ascii="Times New Roman" w:hAnsi="Times New Roman" w:cs="Times New Roman"/>
              </w:rPr>
              <w:t>624</w:t>
            </w:r>
          </w:p>
        </w:tc>
        <w:tc>
          <w:tcPr>
            <w:tcW w:w="1116" w:type="dxa"/>
            <w:tcBorders>
              <w:top w:val="nil"/>
              <w:left w:val="nil"/>
              <w:bottom w:val="single" w:sz="4" w:space="0" w:color="auto"/>
              <w:right w:val="single" w:sz="4" w:space="0" w:color="auto"/>
            </w:tcBorders>
            <w:noWrap/>
            <w:vAlign w:val="center"/>
            <w:hideMark/>
          </w:tcPr>
          <w:p w14:paraId="4AA21033" w14:textId="17AAD750"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505</w:t>
            </w:r>
          </w:p>
        </w:tc>
        <w:tc>
          <w:tcPr>
            <w:tcW w:w="996" w:type="dxa"/>
            <w:tcBorders>
              <w:top w:val="nil"/>
              <w:left w:val="nil"/>
              <w:bottom w:val="single" w:sz="4" w:space="0" w:color="auto"/>
              <w:right w:val="single" w:sz="4" w:space="0" w:color="auto"/>
            </w:tcBorders>
            <w:vAlign w:val="center"/>
          </w:tcPr>
          <w:p w14:paraId="46544DEB" w14:textId="63E3E1B6"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330</w:t>
            </w:r>
          </w:p>
        </w:tc>
        <w:tc>
          <w:tcPr>
            <w:tcW w:w="1222" w:type="dxa"/>
            <w:tcBorders>
              <w:top w:val="nil"/>
              <w:left w:val="nil"/>
              <w:bottom w:val="single" w:sz="4" w:space="0" w:color="auto"/>
              <w:right w:val="single" w:sz="4" w:space="0" w:color="auto"/>
            </w:tcBorders>
            <w:vAlign w:val="center"/>
          </w:tcPr>
          <w:p w14:paraId="2F92E312" w14:textId="3D776FDC" w:rsidR="008328CD" w:rsidRPr="002736C9" w:rsidRDefault="00293546" w:rsidP="004C54CF">
            <w:pPr>
              <w:spacing w:after="0" w:line="240" w:lineRule="auto"/>
              <w:jc w:val="right"/>
              <w:rPr>
                <w:rFonts w:ascii="Times New Roman" w:hAnsi="Times New Roman" w:cs="Times New Roman"/>
                <w:lang w:eastAsia="en-GB"/>
              </w:rPr>
            </w:pPr>
            <w:r w:rsidRPr="002736C9">
              <w:rPr>
                <w:rFonts w:ascii="Times New Roman" w:hAnsi="Times New Roman" w:cs="Times New Roman"/>
                <w:b/>
              </w:rPr>
              <w:t>2.623</w:t>
            </w:r>
          </w:p>
        </w:tc>
      </w:tr>
      <w:tr w:rsidR="008328CD" w:rsidRPr="00203E0A" w14:paraId="5FE810EB" w14:textId="16120967" w:rsidTr="002736C9">
        <w:trPr>
          <w:trHeight w:val="315"/>
          <w:jc w:val="center"/>
        </w:trPr>
        <w:tc>
          <w:tcPr>
            <w:tcW w:w="2694" w:type="dxa"/>
            <w:tcBorders>
              <w:top w:val="nil"/>
              <w:left w:val="single" w:sz="4" w:space="0" w:color="auto"/>
              <w:bottom w:val="single" w:sz="4" w:space="0" w:color="auto"/>
              <w:right w:val="single" w:sz="4" w:space="0" w:color="auto"/>
            </w:tcBorders>
            <w:vAlign w:val="center"/>
            <w:hideMark/>
          </w:tcPr>
          <w:p w14:paraId="0D64CE4D"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надзора у вези професионалних обољења</w:t>
            </w:r>
          </w:p>
        </w:tc>
        <w:tc>
          <w:tcPr>
            <w:tcW w:w="1134" w:type="dxa"/>
            <w:tcBorders>
              <w:top w:val="nil"/>
              <w:left w:val="nil"/>
              <w:bottom w:val="single" w:sz="4" w:space="0" w:color="auto"/>
              <w:right w:val="single" w:sz="4" w:space="0" w:color="auto"/>
            </w:tcBorders>
            <w:noWrap/>
            <w:vAlign w:val="center"/>
            <w:hideMark/>
          </w:tcPr>
          <w:p w14:paraId="2E7AF159"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p>
        </w:tc>
        <w:tc>
          <w:tcPr>
            <w:tcW w:w="996" w:type="dxa"/>
            <w:tcBorders>
              <w:top w:val="nil"/>
              <w:left w:val="nil"/>
              <w:bottom w:val="single" w:sz="4" w:space="0" w:color="auto"/>
              <w:right w:val="single" w:sz="4" w:space="0" w:color="auto"/>
            </w:tcBorders>
            <w:noWrap/>
            <w:vAlign w:val="center"/>
            <w:hideMark/>
          </w:tcPr>
          <w:p w14:paraId="3D89A6B1"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0 </w:t>
            </w:r>
          </w:p>
        </w:tc>
        <w:tc>
          <w:tcPr>
            <w:tcW w:w="1056" w:type="dxa"/>
            <w:tcBorders>
              <w:top w:val="nil"/>
              <w:left w:val="nil"/>
              <w:bottom w:val="single" w:sz="4" w:space="0" w:color="auto"/>
              <w:right w:val="single" w:sz="4" w:space="0" w:color="auto"/>
            </w:tcBorders>
            <w:noWrap/>
            <w:vAlign w:val="center"/>
            <w:hideMark/>
          </w:tcPr>
          <w:p w14:paraId="64CCB974"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0 </w:t>
            </w:r>
          </w:p>
        </w:tc>
        <w:tc>
          <w:tcPr>
            <w:tcW w:w="1116" w:type="dxa"/>
            <w:tcBorders>
              <w:top w:val="nil"/>
              <w:left w:val="nil"/>
              <w:bottom w:val="single" w:sz="4" w:space="0" w:color="auto"/>
              <w:right w:val="single" w:sz="4" w:space="0" w:color="auto"/>
            </w:tcBorders>
            <w:noWrap/>
            <w:vAlign w:val="center"/>
            <w:hideMark/>
          </w:tcPr>
          <w:p w14:paraId="1CF37939"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0 </w:t>
            </w:r>
          </w:p>
        </w:tc>
        <w:tc>
          <w:tcPr>
            <w:tcW w:w="996" w:type="dxa"/>
            <w:tcBorders>
              <w:top w:val="nil"/>
              <w:left w:val="nil"/>
              <w:bottom w:val="single" w:sz="4" w:space="0" w:color="auto"/>
              <w:right w:val="single" w:sz="4" w:space="0" w:color="auto"/>
            </w:tcBorders>
            <w:vAlign w:val="center"/>
          </w:tcPr>
          <w:p w14:paraId="437E50A1"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0</w:t>
            </w:r>
          </w:p>
        </w:tc>
        <w:tc>
          <w:tcPr>
            <w:tcW w:w="1222" w:type="dxa"/>
            <w:tcBorders>
              <w:top w:val="nil"/>
              <w:left w:val="nil"/>
              <w:bottom w:val="single" w:sz="4" w:space="0" w:color="auto"/>
              <w:right w:val="single" w:sz="4" w:space="0" w:color="auto"/>
            </w:tcBorders>
            <w:vAlign w:val="center"/>
          </w:tcPr>
          <w:p w14:paraId="4CFF65F2" w14:textId="3233E168" w:rsidR="008328CD" w:rsidRPr="002736C9" w:rsidRDefault="00A001C9" w:rsidP="004C54CF">
            <w:pPr>
              <w:spacing w:after="0" w:line="240" w:lineRule="auto"/>
              <w:jc w:val="right"/>
              <w:rPr>
                <w:rFonts w:ascii="Times New Roman" w:hAnsi="Times New Roman" w:cs="Times New Roman"/>
                <w:lang w:eastAsia="en-GB"/>
              </w:rPr>
            </w:pPr>
            <w:r w:rsidRPr="002736C9">
              <w:rPr>
                <w:rFonts w:ascii="Times New Roman" w:hAnsi="Times New Roman" w:cs="Times New Roman"/>
                <w:lang w:eastAsia="en-GB"/>
              </w:rPr>
              <w:t>0</w:t>
            </w:r>
          </w:p>
        </w:tc>
      </w:tr>
      <w:tr w:rsidR="008328CD" w:rsidRPr="00203E0A" w14:paraId="2AD32177" w14:textId="685405E0" w:rsidTr="002736C9">
        <w:trPr>
          <w:trHeight w:val="315"/>
          <w:jc w:val="center"/>
        </w:trPr>
        <w:tc>
          <w:tcPr>
            <w:tcW w:w="2694" w:type="dxa"/>
            <w:tcBorders>
              <w:top w:val="nil"/>
              <w:left w:val="single" w:sz="4" w:space="0" w:color="auto"/>
              <w:bottom w:val="single" w:sz="4" w:space="0" w:color="auto"/>
              <w:right w:val="single" w:sz="4" w:space="0" w:color="auto"/>
            </w:tcBorders>
            <w:vAlign w:val="center"/>
            <w:hideMark/>
          </w:tcPr>
          <w:p w14:paraId="64DDFECE"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надзора поводом повреда на раду</w:t>
            </w:r>
          </w:p>
        </w:tc>
        <w:tc>
          <w:tcPr>
            <w:tcW w:w="1134" w:type="dxa"/>
            <w:tcBorders>
              <w:top w:val="nil"/>
              <w:left w:val="nil"/>
              <w:bottom w:val="single" w:sz="4" w:space="0" w:color="auto"/>
              <w:right w:val="single" w:sz="4" w:space="0" w:color="auto"/>
            </w:tcBorders>
            <w:noWrap/>
            <w:vAlign w:val="center"/>
            <w:hideMark/>
          </w:tcPr>
          <w:p w14:paraId="133EA116"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908</w:t>
            </w:r>
          </w:p>
        </w:tc>
        <w:tc>
          <w:tcPr>
            <w:tcW w:w="996" w:type="dxa"/>
            <w:tcBorders>
              <w:top w:val="nil"/>
              <w:left w:val="nil"/>
              <w:bottom w:val="single" w:sz="4" w:space="0" w:color="auto"/>
              <w:right w:val="single" w:sz="4" w:space="0" w:color="auto"/>
            </w:tcBorders>
            <w:noWrap/>
            <w:vAlign w:val="center"/>
            <w:hideMark/>
          </w:tcPr>
          <w:p w14:paraId="64B691BF"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984</w:t>
            </w:r>
          </w:p>
        </w:tc>
        <w:tc>
          <w:tcPr>
            <w:tcW w:w="1056" w:type="dxa"/>
            <w:tcBorders>
              <w:top w:val="nil"/>
              <w:left w:val="nil"/>
              <w:bottom w:val="single" w:sz="4" w:space="0" w:color="auto"/>
              <w:right w:val="single" w:sz="4" w:space="0" w:color="auto"/>
            </w:tcBorders>
            <w:noWrap/>
            <w:vAlign w:val="center"/>
            <w:hideMark/>
          </w:tcPr>
          <w:p w14:paraId="4B023489"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891</w:t>
            </w:r>
          </w:p>
        </w:tc>
        <w:tc>
          <w:tcPr>
            <w:tcW w:w="1116" w:type="dxa"/>
            <w:tcBorders>
              <w:top w:val="nil"/>
              <w:left w:val="nil"/>
              <w:bottom w:val="single" w:sz="4" w:space="0" w:color="auto"/>
              <w:right w:val="single" w:sz="4" w:space="0" w:color="auto"/>
            </w:tcBorders>
            <w:noWrap/>
            <w:vAlign w:val="center"/>
            <w:hideMark/>
          </w:tcPr>
          <w:p w14:paraId="2EA6580B" w14:textId="0D443052"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096</w:t>
            </w:r>
          </w:p>
        </w:tc>
        <w:tc>
          <w:tcPr>
            <w:tcW w:w="996" w:type="dxa"/>
            <w:tcBorders>
              <w:top w:val="nil"/>
              <w:left w:val="nil"/>
              <w:bottom w:val="single" w:sz="4" w:space="0" w:color="auto"/>
              <w:right w:val="single" w:sz="4" w:space="0" w:color="auto"/>
            </w:tcBorders>
            <w:vAlign w:val="center"/>
          </w:tcPr>
          <w:p w14:paraId="3E8C6388"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982</w:t>
            </w:r>
          </w:p>
        </w:tc>
        <w:tc>
          <w:tcPr>
            <w:tcW w:w="1222" w:type="dxa"/>
            <w:tcBorders>
              <w:top w:val="nil"/>
              <w:left w:val="nil"/>
              <w:bottom w:val="single" w:sz="4" w:space="0" w:color="auto"/>
              <w:right w:val="single" w:sz="4" w:space="0" w:color="auto"/>
            </w:tcBorders>
            <w:vAlign w:val="center"/>
          </w:tcPr>
          <w:p w14:paraId="7A7243EE" w14:textId="195FEDFD" w:rsidR="008328CD" w:rsidRPr="002736C9"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1</w:t>
            </w:r>
            <w:r w:rsidR="002E5F1F" w:rsidRPr="002736C9">
              <w:rPr>
                <w:rFonts w:ascii="Times New Roman" w:hAnsi="Times New Roman" w:cs="Times New Roman"/>
                <w:lang w:eastAsia="en-GB"/>
              </w:rPr>
              <w:t>.</w:t>
            </w:r>
            <w:r w:rsidRPr="002736C9">
              <w:rPr>
                <w:rFonts w:ascii="Times New Roman" w:hAnsi="Times New Roman" w:cs="Times New Roman"/>
                <w:lang w:val="sr-Latn-RS" w:eastAsia="en-GB"/>
              </w:rPr>
              <w:t>039</w:t>
            </w:r>
          </w:p>
        </w:tc>
      </w:tr>
      <w:tr w:rsidR="008328CD" w:rsidRPr="00203E0A" w14:paraId="50530668" w14:textId="027F856F"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00B78988" w14:textId="77777777" w:rsidR="008328CD" w:rsidRPr="002736C9" w:rsidRDefault="008328CD" w:rsidP="00580065">
            <w:pPr>
              <w:spacing w:after="0" w:line="240" w:lineRule="auto"/>
              <w:ind w:firstLineChars="200" w:firstLine="400"/>
              <w:rPr>
                <w:rFonts w:ascii="Times New Roman" w:hAnsi="Times New Roman" w:cs="Times New Roman"/>
                <w:sz w:val="20"/>
                <w:szCs w:val="20"/>
                <w:lang w:eastAsia="en-GB"/>
              </w:rPr>
            </w:pPr>
            <w:r w:rsidRPr="002736C9">
              <w:rPr>
                <w:rFonts w:ascii="Times New Roman" w:hAnsi="Times New Roman" w:cs="Times New Roman"/>
                <w:sz w:val="20"/>
                <w:szCs w:val="20"/>
              </w:rPr>
              <w:t>Смртне</w:t>
            </w:r>
          </w:p>
        </w:tc>
        <w:tc>
          <w:tcPr>
            <w:tcW w:w="1134" w:type="dxa"/>
            <w:tcBorders>
              <w:top w:val="nil"/>
              <w:left w:val="nil"/>
              <w:bottom w:val="single" w:sz="4" w:space="0" w:color="auto"/>
              <w:right w:val="single" w:sz="4" w:space="0" w:color="auto"/>
            </w:tcBorders>
            <w:noWrap/>
            <w:vAlign w:val="center"/>
            <w:hideMark/>
          </w:tcPr>
          <w:p w14:paraId="26B5416A"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24</w:t>
            </w:r>
          </w:p>
        </w:tc>
        <w:tc>
          <w:tcPr>
            <w:tcW w:w="996" w:type="dxa"/>
            <w:tcBorders>
              <w:top w:val="nil"/>
              <w:left w:val="nil"/>
              <w:bottom w:val="single" w:sz="4" w:space="0" w:color="auto"/>
              <w:right w:val="single" w:sz="4" w:space="0" w:color="auto"/>
            </w:tcBorders>
            <w:noWrap/>
            <w:vAlign w:val="center"/>
            <w:hideMark/>
          </w:tcPr>
          <w:p w14:paraId="129B45FB"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33</w:t>
            </w:r>
          </w:p>
        </w:tc>
        <w:tc>
          <w:tcPr>
            <w:tcW w:w="1056" w:type="dxa"/>
            <w:tcBorders>
              <w:top w:val="nil"/>
              <w:left w:val="nil"/>
              <w:bottom w:val="single" w:sz="4" w:space="0" w:color="auto"/>
              <w:right w:val="single" w:sz="4" w:space="0" w:color="auto"/>
            </w:tcBorders>
            <w:noWrap/>
            <w:vAlign w:val="center"/>
            <w:hideMark/>
          </w:tcPr>
          <w:p w14:paraId="69D86E6F"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31</w:t>
            </w:r>
          </w:p>
        </w:tc>
        <w:tc>
          <w:tcPr>
            <w:tcW w:w="1116" w:type="dxa"/>
            <w:tcBorders>
              <w:top w:val="nil"/>
              <w:left w:val="nil"/>
              <w:bottom w:val="single" w:sz="4" w:space="0" w:color="auto"/>
              <w:right w:val="single" w:sz="4" w:space="0" w:color="auto"/>
            </w:tcBorders>
            <w:noWrap/>
            <w:vAlign w:val="center"/>
            <w:hideMark/>
          </w:tcPr>
          <w:p w14:paraId="2F117C05"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44</w:t>
            </w:r>
          </w:p>
        </w:tc>
        <w:tc>
          <w:tcPr>
            <w:tcW w:w="996" w:type="dxa"/>
            <w:tcBorders>
              <w:top w:val="nil"/>
              <w:left w:val="nil"/>
              <w:bottom w:val="single" w:sz="4" w:space="0" w:color="auto"/>
              <w:right w:val="single" w:sz="4" w:space="0" w:color="auto"/>
            </w:tcBorders>
            <w:vAlign w:val="center"/>
          </w:tcPr>
          <w:p w14:paraId="4CCF85F6"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26</w:t>
            </w:r>
          </w:p>
        </w:tc>
        <w:tc>
          <w:tcPr>
            <w:tcW w:w="1222" w:type="dxa"/>
            <w:tcBorders>
              <w:top w:val="nil"/>
              <w:left w:val="nil"/>
              <w:bottom w:val="single" w:sz="4" w:space="0" w:color="auto"/>
              <w:right w:val="single" w:sz="4" w:space="0" w:color="auto"/>
            </w:tcBorders>
            <w:vAlign w:val="center"/>
          </w:tcPr>
          <w:p w14:paraId="712EA97F" w14:textId="15601A3F" w:rsidR="008328CD" w:rsidRPr="002736C9"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22</w:t>
            </w:r>
          </w:p>
        </w:tc>
      </w:tr>
      <w:tr w:rsidR="008328CD" w:rsidRPr="00203E0A" w14:paraId="7DE9FA8D" w14:textId="0F8E4513"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1C29AE08" w14:textId="77777777" w:rsidR="008328CD" w:rsidRPr="002736C9" w:rsidRDefault="008328CD" w:rsidP="00580065">
            <w:pPr>
              <w:spacing w:after="0" w:line="240" w:lineRule="auto"/>
              <w:ind w:firstLineChars="200" w:firstLine="400"/>
              <w:rPr>
                <w:rFonts w:ascii="Times New Roman" w:hAnsi="Times New Roman" w:cs="Times New Roman"/>
                <w:sz w:val="20"/>
                <w:szCs w:val="20"/>
                <w:lang w:eastAsia="en-GB"/>
              </w:rPr>
            </w:pPr>
            <w:r w:rsidRPr="002736C9">
              <w:rPr>
                <w:rFonts w:ascii="Times New Roman" w:hAnsi="Times New Roman" w:cs="Times New Roman"/>
                <w:sz w:val="20"/>
                <w:szCs w:val="20"/>
              </w:rPr>
              <w:t>Тешке са смртним исходом</w:t>
            </w:r>
          </w:p>
        </w:tc>
        <w:tc>
          <w:tcPr>
            <w:tcW w:w="1134" w:type="dxa"/>
            <w:tcBorders>
              <w:top w:val="nil"/>
              <w:left w:val="nil"/>
              <w:bottom w:val="single" w:sz="4" w:space="0" w:color="auto"/>
              <w:right w:val="single" w:sz="4" w:space="0" w:color="auto"/>
            </w:tcBorders>
            <w:noWrap/>
            <w:vAlign w:val="center"/>
            <w:hideMark/>
          </w:tcPr>
          <w:p w14:paraId="36BD47C5"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29</w:t>
            </w:r>
          </w:p>
        </w:tc>
        <w:tc>
          <w:tcPr>
            <w:tcW w:w="996" w:type="dxa"/>
            <w:tcBorders>
              <w:top w:val="nil"/>
              <w:left w:val="nil"/>
              <w:bottom w:val="single" w:sz="4" w:space="0" w:color="auto"/>
              <w:right w:val="single" w:sz="4" w:space="0" w:color="auto"/>
            </w:tcBorders>
            <w:noWrap/>
            <w:vAlign w:val="center"/>
            <w:hideMark/>
          </w:tcPr>
          <w:p w14:paraId="1677241D"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16</w:t>
            </w:r>
          </w:p>
        </w:tc>
        <w:tc>
          <w:tcPr>
            <w:tcW w:w="1056" w:type="dxa"/>
            <w:tcBorders>
              <w:top w:val="nil"/>
              <w:left w:val="nil"/>
              <w:bottom w:val="single" w:sz="4" w:space="0" w:color="auto"/>
              <w:right w:val="single" w:sz="4" w:space="0" w:color="auto"/>
            </w:tcBorders>
            <w:noWrap/>
            <w:vAlign w:val="center"/>
            <w:hideMark/>
          </w:tcPr>
          <w:p w14:paraId="73B13450"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12</w:t>
            </w:r>
          </w:p>
        </w:tc>
        <w:tc>
          <w:tcPr>
            <w:tcW w:w="1116" w:type="dxa"/>
            <w:tcBorders>
              <w:top w:val="nil"/>
              <w:left w:val="nil"/>
              <w:bottom w:val="single" w:sz="4" w:space="0" w:color="auto"/>
              <w:right w:val="single" w:sz="4" w:space="0" w:color="auto"/>
            </w:tcBorders>
            <w:noWrap/>
            <w:vAlign w:val="center"/>
            <w:hideMark/>
          </w:tcPr>
          <w:p w14:paraId="7030E1B6"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17</w:t>
            </w:r>
          </w:p>
        </w:tc>
        <w:tc>
          <w:tcPr>
            <w:tcW w:w="996" w:type="dxa"/>
            <w:tcBorders>
              <w:top w:val="nil"/>
              <w:left w:val="nil"/>
              <w:bottom w:val="single" w:sz="4" w:space="0" w:color="auto"/>
              <w:right w:val="single" w:sz="4" w:space="0" w:color="auto"/>
            </w:tcBorders>
            <w:vAlign w:val="center"/>
          </w:tcPr>
          <w:p w14:paraId="1E4FFEAD"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21</w:t>
            </w:r>
          </w:p>
        </w:tc>
        <w:tc>
          <w:tcPr>
            <w:tcW w:w="1222" w:type="dxa"/>
            <w:tcBorders>
              <w:top w:val="nil"/>
              <w:left w:val="nil"/>
              <w:bottom w:val="single" w:sz="4" w:space="0" w:color="auto"/>
              <w:right w:val="single" w:sz="4" w:space="0" w:color="auto"/>
            </w:tcBorders>
            <w:vAlign w:val="center"/>
          </w:tcPr>
          <w:p w14:paraId="5FFCA6AB" w14:textId="2D35A763" w:rsidR="008328CD" w:rsidRPr="002736C9"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18</w:t>
            </w:r>
          </w:p>
        </w:tc>
      </w:tr>
      <w:tr w:rsidR="008328CD" w:rsidRPr="00203E0A" w14:paraId="4A500409" w14:textId="6CF9EFB6"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143DECE9" w14:textId="77777777" w:rsidR="008328CD" w:rsidRPr="002736C9" w:rsidRDefault="008328CD" w:rsidP="00580065">
            <w:pPr>
              <w:spacing w:after="0" w:line="240" w:lineRule="auto"/>
              <w:ind w:firstLineChars="200" w:firstLine="400"/>
              <w:rPr>
                <w:rFonts w:ascii="Times New Roman" w:hAnsi="Times New Roman" w:cs="Times New Roman"/>
                <w:sz w:val="20"/>
                <w:szCs w:val="20"/>
                <w:lang w:eastAsia="en-GB"/>
              </w:rPr>
            </w:pPr>
            <w:r w:rsidRPr="002736C9">
              <w:rPr>
                <w:rFonts w:ascii="Times New Roman" w:hAnsi="Times New Roman" w:cs="Times New Roman"/>
                <w:sz w:val="20"/>
                <w:szCs w:val="20"/>
              </w:rPr>
              <w:t>Тешке</w:t>
            </w:r>
          </w:p>
        </w:tc>
        <w:tc>
          <w:tcPr>
            <w:tcW w:w="1134" w:type="dxa"/>
            <w:tcBorders>
              <w:top w:val="nil"/>
              <w:left w:val="nil"/>
              <w:bottom w:val="single" w:sz="4" w:space="0" w:color="auto"/>
              <w:right w:val="single" w:sz="4" w:space="0" w:color="auto"/>
            </w:tcBorders>
            <w:noWrap/>
            <w:vAlign w:val="center"/>
            <w:hideMark/>
          </w:tcPr>
          <w:p w14:paraId="3C9529F8"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779</w:t>
            </w:r>
          </w:p>
        </w:tc>
        <w:tc>
          <w:tcPr>
            <w:tcW w:w="996" w:type="dxa"/>
            <w:tcBorders>
              <w:top w:val="nil"/>
              <w:left w:val="nil"/>
              <w:bottom w:val="single" w:sz="4" w:space="0" w:color="auto"/>
              <w:right w:val="single" w:sz="4" w:space="0" w:color="auto"/>
            </w:tcBorders>
            <w:noWrap/>
            <w:vAlign w:val="center"/>
            <w:hideMark/>
          </w:tcPr>
          <w:p w14:paraId="4177E317"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819</w:t>
            </w:r>
          </w:p>
        </w:tc>
        <w:tc>
          <w:tcPr>
            <w:tcW w:w="1056" w:type="dxa"/>
            <w:tcBorders>
              <w:top w:val="nil"/>
              <w:left w:val="nil"/>
              <w:bottom w:val="single" w:sz="4" w:space="0" w:color="auto"/>
              <w:right w:val="single" w:sz="4" w:space="0" w:color="auto"/>
            </w:tcBorders>
            <w:noWrap/>
            <w:vAlign w:val="center"/>
            <w:hideMark/>
          </w:tcPr>
          <w:p w14:paraId="2F4FB496"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798</w:t>
            </w:r>
          </w:p>
        </w:tc>
        <w:tc>
          <w:tcPr>
            <w:tcW w:w="1116" w:type="dxa"/>
            <w:tcBorders>
              <w:top w:val="nil"/>
              <w:left w:val="nil"/>
              <w:bottom w:val="single" w:sz="4" w:space="0" w:color="auto"/>
              <w:right w:val="single" w:sz="4" w:space="0" w:color="auto"/>
            </w:tcBorders>
            <w:noWrap/>
            <w:vAlign w:val="center"/>
            <w:hideMark/>
          </w:tcPr>
          <w:p w14:paraId="1FCFA00F"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957</w:t>
            </w:r>
          </w:p>
        </w:tc>
        <w:tc>
          <w:tcPr>
            <w:tcW w:w="996" w:type="dxa"/>
            <w:tcBorders>
              <w:top w:val="nil"/>
              <w:left w:val="nil"/>
              <w:bottom w:val="single" w:sz="4" w:space="0" w:color="auto"/>
              <w:right w:val="single" w:sz="4" w:space="0" w:color="auto"/>
            </w:tcBorders>
            <w:vAlign w:val="center"/>
          </w:tcPr>
          <w:p w14:paraId="7B3C1073" w14:textId="51D07591"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w:t>
            </w:r>
            <w:r w:rsidR="002E5F1F" w:rsidRPr="002736C9">
              <w:rPr>
                <w:rFonts w:ascii="Times New Roman" w:hAnsi="Times New Roman" w:cs="Times New Roman"/>
              </w:rPr>
              <w:t>.</w:t>
            </w:r>
            <w:r w:rsidRPr="002736C9">
              <w:rPr>
                <w:rFonts w:ascii="Times New Roman" w:hAnsi="Times New Roman" w:cs="Times New Roman"/>
              </w:rPr>
              <w:t>029</w:t>
            </w:r>
          </w:p>
        </w:tc>
        <w:tc>
          <w:tcPr>
            <w:tcW w:w="1222" w:type="dxa"/>
            <w:tcBorders>
              <w:top w:val="nil"/>
              <w:left w:val="nil"/>
              <w:bottom w:val="single" w:sz="4" w:space="0" w:color="auto"/>
              <w:right w:val="single" w:sz="4" w:space="0" w:color="auto"/>
            </w:tcBorders>
            <w:vAlign w:val="center"/>
          </w:tcPr>
          <w:p w14:paraId="4B6E0397" w14:textId="18F5A08E" w:rsidR="008328CD" w:rsidRPr="002736C9"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886</w:t>
            </w:r>
          </w:p>
        </w:tc>
      </w:tr>
      <w:tr w:rsidR="008328CD" w:rsidRPr="00203E0A" w14:paraId="7EFA7300" w14:textId="3B85594A" w:rsidTr="002736C9">
        <w:trPr>
          <w:trHeight w:val="315"/>
          <w:jc w:val="center"/>
        </w:trPr>
        <w:tc>
          <w:tcPr>
            <w:tcW w:w="2694" w:type="dxa"/>
            <w:tcBorders>
              <w:top w:val="nil"/>
              <w:left w:val="single" w:sz="4" w:space="0" w:color="auto"/>
              <w:bottom w:val="single" w:sz="4" w:space="0" w:color="auto"/>
              <w:right w:val="single" w:sz="4" w:space="0" w:color="auto"/>
            </w:tcBorders>
            <w:vAlign w:val="center"/>
            <w:hideMark/>
          </w:tcPr>
          <w:p w14:paraId="7AB7BBA3" w14:textId="77777777" w:rsidR="008328CD" w:rsidRPr="002736C9" w:rsidRDefault="008328CD" w:rsidP="00580065">
            <w:pPr>
              <w:spacing w:after="0" w:line="240" w:lineRule="auto"/>
              <w:ind w:firstLineChars="200" w:firstLine="400"/>
              <w:rPr>
                <w:rFonts w:ascii="Times New Roman" w:hAnsi="Times New Roman" w:cs="Times New Roman"/>
                <w:sz w:val="20"/>
                <w:szCs w:val="20"/>
                <w:lang w:eastAsia="en-GB"/>
              </w:rPr>
            </w:pPr>
            <w:r w:rsidRPr="002736C9">
              <w:rPr>
                <w:rFonts w:ascii="Times New Roman" w:hAnsi="Times New Roman" w:cs="Times New Roman"/>
                <w:sz w:val="20"/>
                <w:szCs w:val="20"/>
              </w:rPr>
              <w:t>Колективне</w:t>
            </w:r>
          </w:p>
        </w:tc>
        <w:tc>
          <w:tcPr>
            <w:tcW w:w="1134" w:type="dxa"/>
            <w:tcBorders>
              <w:top w:val="nil"/>
              <w:left w:val="nil"/>
              <w:bottom w:val="single" w:sz="4" w:space="0" w:color="auto"/>
              <w:right w:val="single" w:sz="4" w:space="0" w:color="auto"/>
            </w:tcBorders>
            <w:noWrap/>
            <w:vAlign w:val="center"/>
            <w:hideMark/>
          </w:tcPr>
          <w:p w14:paraId="07A7C3E7"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15</w:t>
            </w:r>
          </w:p>
        </w:tc>
        <w:tc>
          <w:tcPr>
            <w:tcW w:w="996" w:type="dxa"/>
            <w:tcBorders>
              <w:top w:val="nil"/>
              <w:left w:val="nil"/>
              <w:bottom w:val="single" w:sz="4" w:space="0" w:color="auto"/>
              <w:right w:val="single" w:sz="4" w:space="0" w:color="auto"/>
            </w:tcBorders>
            <w:noWrap/>
            <w:vAlign w:val="center"/>
            <w:hideMark/>
          </w:tcPr>
          <w:p w14:paraId="4A1336C8"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23</w:t>
            </w:r>
          </w:p>
        </w:tc>
        <w:tc>
          <w:tcPr>
            <w:tcW w:w="1056" w:type="dxa"/>
            <w:tcBorders>
              <w:top w:val="nil"/>
              <w:left w:val="nil"/>
              <w:bottom w:val="single" w:sz="4" w:space="0" w:color="auto"/>
              <w:right w:val="single" w:sz="4" w:space="0" w:color="auto"/>
            </w:tcBorders>
            <w:noWrap/>
            <w:vAlign w:val="center"/>
            <w:hideMark/>
          </w:tcPr>
          <w:p w14:paraId="5E296388"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15</w:t>
            </w:r>
          </w:p>
        </w:tc>
        <w:tc>
          <w:tcPr>
            <w:tcW w:w="1116" w:type="dxa"/>
            <w:tcBorders>
              <w:top w:val="nil"/>
              <w:left w:val="nil"/>
              <w:bottom w:val="single" w:sz="4" w:space="0" w:color="auto"/>
              <w:right w:val="single" w:sz="4" w:space="0" w:color="auto"/>
            </w:tcBorders>
            <w:noWrap/>
            <w:vAlign w:val="center"/>
            <w:hideMark/>
          </w:tcPr>
          <w:p w14:paraId="74DC402E"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19</w:t>
            </w:r>
          </w:p>
        </w:tc>
        <w:tc>
          <w:tcPr>
            <w:tcW w:w="996" w:type="dxa"/>
            <w:tcBorders>
              <w:top w:val="nil"/>
              <w:left w:val="nil"/>
              <w:bottom w:val="single" w:sz="4" w:space="0" w:color="auto"/>
              <w:right w:val="single" w:sz="4" w:space="0" w:color="auto"/>
            </w:tcBorders>
            <w:vAlign w:val="center"/>
          </w:tcPr>
          <w:p w14:paraId="40971481" w14:textId="77777777" w:rsidR="008328CD" w:rsidRPr="002736C9" w:rsidRDefault="008328CD" w:rsidP="004C54CF">
            <w:pPr>
              <w:spacing w:after="0" w:line="240" w:lineRule="auto"/>
              <w:jc w:val="right"/>
              <w:rPr>
                <w:rFonts w:ascii="Times New Roman" w:hAnsi="Times New Roman" w:cs="Times New Roman"/>
                <w:lang w:eastAsia="en-GB"/>
              </w:rPr>
            </w:pPr>
            <w:r w:rsidRPr="002736C9">
              <w:rPr>
                <w:rFonts w:ascii="Times New Roman" w:hAnsi="Times New Roman" w:cs="Times New Roman"/>
              </w:rPr>
              <w:t>16</w:t>
            </w:r>
          </w:p>
        </w:tc>
        <w:tc>
          <w:tcPr>
            <w:tcW w:w="1222" w:type="dxa"/>
            <w:tcBorders>
              <w:top w:val="nil"/>
              <w:left w:val="nil"/>
              <w:bottom w:val="single" w:sz="4" w:space="0" w:color="auto"/>
              <w:right w:val="single" w:sz="4" w:space="0" w:color="auto"/>
            </w:tcBorders>
            <w:vAlign w:val="center"/>
          </w:tcPr>
          <w:p w14:paraId="05BF4FD7" w14:textId="5BA2D76D" w:rsidR="008328CD" w:rsidRPr="00D24BFE" w:rsidRDefault="008328CD" w:rsidP="004C54CF">
            <w:pPr>
              <w:spacing w:after="0" w:line="240" w:lineRule="auto"/>
              <w:jc w:val="right"/>
              <w:rPr>
                <w:rFonts w:ascii="Times New Roman" w:hAnsi="Times New Roman" w:cs="Times New Roman"/>
                <w:lang w:val="sr-Latn-RS" w:eastAsia="en-GB"/>
              </w:rPr>
            </w:pPr>
            <w:r w:rsidRPr="002736C9">
              <w:rPr>
                <w:rFonts w:ascii="Times New Roman" w:hAnsi="Times New Roman" w:cs="Times New Roman"/>
                <w:lang w:val="sr-Latn-RS" w:eastAsia="en-GB"/>
              </w:rPr>
              <w:t>25</w:t>
            </w:r>
          </w:p>
        </w:tc>
      </w:tr>
      <w:tr w:rsidR="008328CD" w:rsidRPr="00203E0A" w14:paraId="5CF6DB8F" w14:textId="421B6B96"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691AB48B" w14:textId="77777777" w:rsidR="008328CD" w:rsidRPr="002736C9" w:rsidRDefault="008328CD" w:rsidP="00580065">
            <w:pPr>
              <w:spacing w:after="0" w:line="240" w:lineRule="auto"/>
              <w:ind w:firstLineChars="200" w:firstLine="400"/>
              <w:rPr>
                <w:rFonts w:ascii="Times New Roman" w:hAnsi="Times New Roman" w:cs="Times New Roman"/>
                <w:sz w:val="20"/>
                <w:szCs w:val="20"/>
                <w:lang w:eastAsia="en-GB"/>
              </w:rPr>
            </w:pPr>
            <w:r w:rsidRPr="002736C9">
              <w:rPr>
                <w:rFonts w:ascii="Times New Roman" w:hAnsi="Times New Roman" w:cs="Times New Roman"/>
                <w:sz w:val="20"/>
                <w:szCs w:val="20"/>
              </w:rPr>
              <w:t>Лаке</w:t>
            </w:r>
          </w:p>
        </w:tc>
        <w:tc>
          <w:tcPr>
            <w:tcW w:w="1134" w:type="dxa"/>
            <w:tcBorders>
              <w:top w:val="nil"/>
              <w:left w:val="nil"/>
              <w:bottom w:val="single" w:sz="4" w:space="0" w:color="auto"/>
              <w:right w:val="single" w:sz="4" w:space="0" w:color="auto"/>
            </w:tcBorders>
            <w:noWrap/>
            <w:vAlign w:val="center"/>
            <w:hideMark/>
          </w:tcPr>
          <w:p w14:paraId="024119AC"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61</w:t>
            </w:r>
          </w:p>
        </w:tc>
        <w:tc>
          <w:tcPr>
            <w:tcW w:w="996" w:type="dxa"/>
            <w:tcBorders>
              <w:top w:val="nil"/>
              <w:left w:val="nil"/>
              <w:bottom w:val="single" w:sz="4" w:space="0" w:color="auto"/>
              <w:right w:val="single" w:sz="4" w:space="0" w:color="auto"/>
            </w:tcBorders>
            <w:noWrap/>
            <w:vAlign w:val="center"/>
            <w:hideMark/>
          </w:tcPr>
          <w:p w14:paraId="168290E9"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93</w:t>
            </w:r>
          </w:p>
        </w:tc>
        <w:tc>
          <w:tcPr>
            <w:tcW w:w="1056" w:type="dxa"/>
            <w:tcBorders>
              <w:top w:val="nil"/>
              <w:left w:val="nil"/>
              <w:bottom w:val="single" w:sz="4" w:space="0" w:color="auto"/>
              <w:right w:val="single" w:sz="4" w:space="0" w:color="auto"/>
            </w:tcBorders>
            <w:noWrap/>
            <w:vAlign w:val="center"/>
            <w:hideMark/>
          </w:tcPr>
          <w:p w14:paraId="29FE01AE"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35</w:t>
            </w:r>
          </w:p>
        </w:tc>
        <w:tc>
          <w:tcPr>
            <w:tcW w:w="1116" w:type="dxa"/>
            <w:tcBorders>
              <w:top w:val="nil"/>
              <w:left w:val="nil"/>
              <w:bottom w:val="single" w:sz="4" w:space="0" w:color="auto"/>
              <w:right w:val="single" w:sz="4" w:space="0" w:color="auto"/>
            </w:tcBorders>
            <w:noWrap/>
            <w:vAlign w:val="center"/>
            <w:hideMark/>
          </w:tcPr>
          <w:p w14:paraId="10934230"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59</w:t>
            </w:r>
          </w:p>
        </w:tc>
        <w:tc>
          <w:tcPr>
            <w:tcW w:w="996" w:type="dxa"/>
            <w:tcBorders>
              <w:top w:val="nil"/>
              <w:left w:val="nil"/>
              <w:bottom w:val="single" w:sz="4" w:space="0" w:color="auto"/>
              <w:right w:val="single" w:sz="4" w:space="0" w:color="auto"/>
            </w:tcBorders>
            <w:vAlign w:val="center"/>
          </w:tcPr>
          <w:p w14:paraId="7C5ED3F8"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75</w:t>
            </w:r>
          </w:p>
        </w:tc>
        <w:tc>
          <w:tcPr>
            <w:tcW w:w="1222" w:type="dxa"/>
            <w:tcBorders>
              <w:top w:val="nil"/>
              <w:left w:val="nil"/>
              <w:bottom w:val="single" w:sz="4" w:space="0" w:color="auto"/>
              <w:right w:val="single" w:sz="4" w:space="0" w:color="auto"/>
            </w:tcBorders>
            <w:vAlign w:val="center"/>
          </w:tcPr>
          <w:p w14:paraId="30FB3C8C" w14:textId="0BBF2506" w:rsidR="008328CD" w:rsidRPr="00D24BFE" w:rsidRDefault="008328CD" w:rsidP="004C54CF">
            <w:pPr>
              <w:spacing w:after="0" w:line="240" w:lineRule="auto"/>
              <w:jc w:val="right"/>
              <w:rPr>
                <w:rFonts w:ascii="Times New Roman" w:hAnsi="Times New Roman" w:cs="Times New Roman"/>
                <w:lang w:val="sr-Latn-RS" w:eastAsia="en-GB"/>
              </w:rPr>
            </w:pPr>
            <w:r w:rsidRPr="00D24BFE">
              <w:rPr>
                <w:rFonts w:ascii="Times New Roman" w:hAnsi="Times New Roman" w:cs="Times New Roman"/>
                <w:lang w:val="sr-Latn-RS" w:eastAsia="en-GB"/>
              </w:rPr>
              <w:t>88</w:t>
            </w:r>
          </w:p>
        </w:tc>
      </w:tr>
      <w:tr w:rsidR="008328CD" w:rsidRPr="00203E0A" w14:paraId="27053F58" w14:textId="6BE92D33" w:rsidTr="002736C9">
        <w:trPr>
          <w:trHeight w:val="300"/>
          <w:jc w:val="center"/>
        </w:trPr>
        <w:tc>
          <w:tcPr>
            <w:tcW w:w="2694" w:type="dxa"/>
            <w:tcBorders>
              <w:top w:val="nil"/>
              <w:left w:val="single" w:sz="4" w:space="0" w:color="auto"/>
              <w:bottom w:val="single" w:sz="4" w:space="0" w:color="auto"/>
              <w:right w:val="single" w:sz="4" w:space="0" w:color="auto"/>
            </w:tcBorders>
            <w:shd w:val="clear" w:color="000000" w:fill="C0C0C0"/>
            <w:vAlign w:val="center"/>
            <w:hideMark/>
          </w:tcPr>
          <w:p w14:paraId="0551F091"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Број запослених обухваћених инспекцијским надзором у области БЗР</w:t>
            </w:r>
          </w:p>
        </w:tc>
        <w:tc>
          <w:tcPr>
            <w:tcW w:w="1134" w:type="dxa"/>
            <w:tcBorders>
              <w:top w:val="nil"/>
              <w:left w:val="nil"/>
              <w:bottom w:val="single" w:sz="4" w:space="0" w:color="auto"/>
              <w:right w:val="single" w:sz="4" w:space="0" w:color="auto"/>
            </w:tcBorders>
            <w:shd w:val="clear" w:color="000000" w:fill="C0C0C0"/>
            <w:noWrap/>
            <w:vAlign w:val="center"/>
            <w:hideMark/>
          </w:tcPr>
          <w:p w14:paraId="4FFD9DDD" w14:textId="7A59765C"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304</w:t>
            </w:r>
            <w:r w:rsidR="00495352" w:rsidRPr="00D24BFE">
              <w:rPr>
                <w:rFonts w:ascii="Times New Roman" w:hAnsi="Times New Roman" w:cs="Times New Roman"/>
              </w:rPr>
              <w:t>.</w:t>
            </w:r>
            <w:r w:rsidRPr="00D24BFE">
              <w:rPr>
                <w:rFonts w:ascii="Times New Roman" w:hAnsi="Times New Roman" w:cs="Times New Roman"/>
              </w:rPr>
              <w:t>256</w:t>
            </w:r>
          </w:p>
        </w:tc>
        <w:tc>
          <w:tcPr>
            <w:tcW w:w="996" w:type="dxa"/>
            <w:tcBorders>
              <w:top w:val="nil"/>
              <w:left w:val="nil"/>
              <w:bottom w:val="single" w:sz="4" w:space="0" w:color="auto"/>
              <w:right w:val="single" w:sz="4" w:space="0" w:color="auto"/>
            </w:tcBorders>
            <w:shd w:val="clear" w:color="000000" w:fill="C0C0C0"/>
            <w:noWrap/>
            <w:vAlign w:val="center"/>
            <w:hideMark/>
          </w:tcPr>
          <w:p w14:paraId="4F9E034C" w14:textId="76079CC4"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197</w:t>
            </w:r>
            <w:r w:rsidR="00495352" w:rsidRPr="00D24BFE">
              <w:rPr>
                <w:rFonts w:ascii="Times New Roman" w:hAnsi="Times New Roman" w:cs="Times New Roman"/>
              </w:rPr>
              <w:t>.</w:t>
            </w:r>
            <w:r w:rsidRPr="00D24BFE">
              <w:rPr>
                <w:rFonts w:ascii="Times New Roman" w:hAnsi="Times New Roman" w:cs="Times New Roman"/>
              </w:rPr>
              <w:t>574</w:t>
            </w:r>
          </w:p>
        </w:tc>
        <w:tc>
          <w:tcPr>
            <w:tcW w:w="1056" w:type="dxa"/>
            <w:tcBorders>
              <w:top w:val="nil"/>
              <w:left w:val="nil"/>
              <w:bottom w:val="single" w:sz="4" w:space="0" w:color="auto"/>
              <w:right w:val="single" w:sz="4" w:space="0" w:color="auto"/>
            </w:tcBorders>
            <w:shd w:val="clear" w:color="000000" w:fill="C0C0C0"/>
            <w:noWrap/>
            <w:vAlign w:val="center"/>
            <w:hideMark/>
          </w:tcPr>
          <w:p w14:paraId="7BF1568B" w14:textId="37106AF5"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214</w:t>
            </w:r>
            <w:r w:rsidR="00495352" w:rsidRPr="00D24BFE">
              <w:rPr>
                <w:rFonts w:ascii="Times New Roman" w:hAnsi="Times New Roman" w:cs="Times New Roman"/>
              </w:rPr>
              <w:t>.</w:t>
            </w:r>
            <w:r w:rsidRPr="00D24BFE">
              <w:rPr>
                <w:rFonts w:ascii="Times New Roman" w:hAnsi="Times New Roman" w:cs="Times New Roman"/>
              </w:rPr>
              <w:t>293 </w:t>
            </w:r>
          </w:p>
        </w:tc>
        <w:tc>
          <w:tcPr>
            <w:tcW w:w="1116" w:type="dxa"/>
            <w:tcBorders>
              <w:top w:val="nil"/>
              <w:left w:val="nil"/>
              <w:bottom w:val="single" w:sz="4" w:space="0" w:color="auto"/>
              <w:right w:val="single" w:sz="4" w:space="0" w:color="auto"/>
            </w:tcBorders>
            <w:shd w:val="clear" w:color="000000" w:fill="C0C0C0"/>
            <w:noWrap/>
            <w:vAlign w:val="center"/>
            <w:hideMark/>
          </w:tcPr>
          <w:p w14:paraId="74920DD3" w14:textId="643CED79"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222</w:t>
            </w:r>
            <w:r w:rsidR="002E5F1F" w:rsidRPr="00D24BFE">
              <w:rPr>
                <w:rFonts w:ascii="Times New Roman" w:hAnsi="Times New Roman" w:cs="Times New Roman"/>
              </w:rPr>
              <w:t>.</w:t>
            </w:r>
            <w:r w:rsidRPr="00D24BFE">
              <w:rPr>
                <w:rFonts w:ascii="Times New Roman" w:hAnsi="Times New Roman" w:cs="Times New Roman"/>
              </w:rPr>
              <w:t>930  </w:t>
            </w:r>
          </w:p>
        </w:tc>
        <w:tc>
          <w:tcPr>
            <w:tcW w:w="996" w:type="dxa"/>
            <w:tcBorders>
              <w:top w:val="nil"/>
              <w:left w:val="nil"/>
              <w:bottom w:val="single" w:sz="4" w:space="0" w:color="auto"/>
              <w:right w:val="single" w:sz="4" w:space="0" w:color="auto"/>
            </w:tcBorders>
            <w:shd w:val="clear" w:color="000000" w:fill="C0C0C0"/>
            <w:vAlign w:val="center"/>
          </w:tcPr>
          <w:p w14:paraId="3797C90C" w14:textId="77777777" w:rsidR="008328CD" w:rsidRPr="00D24BFE" w:rsidRDefault="008328CD" w:rsidP="00D24BFE">
            <w:pPr>
              <w:spacing w:after="0" w:line="240" w:lineRule="auto"/>
              <w:jc w:val="right"/>
              <w:rPr>
                <w:rFonts w:ascii="Times New Roman" w:hAnsi="Times New Roman" w:cs="Times New Roman"/>
                <w:lang w:eastAsia="en-GB"/>
              </w:rPr>
            </w:pPr>
            <w:r w:rsidRPr="00D24BFE">
              <w:rPr>
                <w:rFonts w:ascii="Times New Roman" w:hAnsi="Times New Roman" w:cs="Times New Roman"/>
              </w:rPr>
              <w:t xml:space="preserve">    </w:t>
            </w:r>
          </w:p>
          <w:p w14:paraId="22295742" w14:textId="10675052" w:rsidR="008328CD" w:rsidRPr="00D24BFE" w:rsidRDefault="008328CD" w:rsidP="00D24BFE">
            <w:pPr>
              <w:pStyle w:val="PodPodPodnaslov"/>
              <w:rPr>
                <w:b w:val="0"/>
                <w:lang w:eastAsia="en-GB"/>
              </w:rPr>
            </w:pPr>
            <w:r w:rsidRPr="00D24BFE">
              <w:rPr>
                <w:b w:val="0"/>
              </w:rPr>
              <w:t>239</w:t>
            </w:r>
            <w:r w:rsidR="00495352" w:rsidRPr="00D24BFE">
              <w:rPr>
                <w:b w:val="0"/>
              </w:rPr>
              <w:t>.</w:t>
            </w:r>
            <w:r w:rsidRPr="00D24BFE">
              <w:rPr>
                <w:b w:val="0"/>
              </w:rPr>
              <w:t>978</w:t>
            </w:r>
          </w:p>
        </w:tc>
        <w:tc>
          <w:tcPr>
            <w:tcW w:w="1222" w:type="dxa"/>
            <w:tcBorders>
              <w:top w:val="nil"/>
              <w:left w:val="nil"/>
              <w:bottom w:val="single" w:sz="4" w:space="0" w:color="auto"/>
              <w:right w:val="single" w:sz="4" w:space="0" w:color="auto"/>
            </w:tcBorders>
            <w:shd w:val="clear" w:color="000000" w:fill="C0C0C0"/>
            <w:vAlign w:val="center"/>
          </w:tcPr>
          <w:p w14:paraId="6B77E47A" w14:textId="572835B1" w:rsidR="008328CD" w:rsidRPr="00D24BFE" w:rsidRDefault="00495352" w:rsidP="00D24BFE">
            <w:pPr>
              <w:spacing w:after="0" w:line="240" w:lineRule="auto"/>
              <w:jc w:val="right"/>
              <w:rPr>
                <w:rFonts w:ascii="Times New Roman" w:hAnsi="Times New Roman" w:cs="Times New Roman"/>
                <w:lang w:eastAsia="en-GB"/>
              </w:rPr>
            </w:pPr>
            <w:r w:rsidRPr="00D24BFE">
              <w:rPr>
                <w:rFonts w:ascii="Times New Roman" w:hAnsi="Times New Roman" w:cs="Times New Roman"/>
                <w:lang w:eastAsia="en-GB"/>
              </w:rPr>
              <w:t xml:space="preserve">214.009  </w:t>
            </w:r>
          </w:p>
        </w:tc>
      </w:tr>
      <w:tr w:rsidR="008328CD" w:rsidRPr="00203E0A" w14:paraId="4AE5E98E" w14:textId="5F71758B" w:rsidTr="002736C9">
        <w:trPr>
          <w:trHeight w:val="300"/>
          <w:jc w:val="center"/>
        </w:trPr>
        <w:tc>
          <w:tcPr>
            <w:tcW w:w="2694" w:type="dxa"/>
            <w:tcBorders>
              <w:top w:val="nil"/>
              <w:left w:val="single" w:sz="4" w:space="0" w:color="auto"/>
              <w:bottom w:val="single" w:sz="4" w:space="0" w:color="auto"/>
              <w:right w:val="single" w:sz="4" w:space="0" w:color="auto"/>
            </w:tcBorders>
            <w:shd w:val="clear" w:color="000000" w:fill="C0C0C0"/>
            <w:vAlign w:val="center"/>
            <w:hideMark/>
          </w:tcPr>
          <w:p w14:paraId="54BFC0F6"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lastRenderedPageBreak/>
              <w:t>Донето решења о отклањању недостатака</w:t>
            </w:r>
          </w:p>
        </w:tc>
        <w:tc>
          <w:tcPr>
            <w:tcW w:w="1134" w:type="dxa"/>
            <w:tcBorders>
              <w:top w:val="nil"/>
              <w:left w:val="nil"/>
              <w:bottom w:val="single" w:sz="4" w:space="0" w:color="auto"/>
              <w:right w:val="single" w:sz="4" w:space="0" w:color="auto"/>
            </w:tcBorders>
            <w:shd w:val="clear" w:color="000000" w:fill="C0C0C0"/>
            <w:noWrap/>
            <w:vAlign w:val="center"/>
            <w:hideMark/>
          </w:tcPr>
          <w:p w14:paraId="3B2E4050" w14:textId="3E051355"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w:t>
            </w:r>
            <w:r w:rsidR="00495352" w:rsidRPr="00D24BFE">
              <w:rPr>
                <w:rFonts w:ascii="Times New Roman" w:hAnsi="Times New Roman" w:cs="Times New Roman"/>
              </w:rPr>
              <w:t>.</w:t>
            </w:r>
            <w:r w:rsidRPr="00D24BFE">
              <w:rPr>
                <w:rFonts w:ascii="Times New Roman" w:hAnsi="Times New Roman" w:cs="Times New Roman"/>
              </w:rPr>
              <w:t>773</w:t>
            </w:r>
          </w:p>
        </w:tc>
        <w:tc>
          <w:tcPr>
            <w:tcW w:w="996" w:type="dxa"/>
            <w:tcBorders>
              <w:top w:val="nil"/>
              <w:left w:val="nil"/>
              <w:bottom w:val="single" w:sz="4" w:space="0" w:color="auto"/>
              <w:right w:val="single" w:sz="4" w:space="0" w:color="auto"/>
            </w:tcBorders>
            <w:shd w:val="clear" w:color="000000" w:fill="C0C0C0"/>
            <w:noWrap/>
            <w:vAlign w:val="center"/>
            <w:hideMark/>
          </w:tcPr>
          <w:p w14:paraId="7865FF72" w14:textId="4604BCB2"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w:t>
            </w:r>
            <w:r w:rsidR="00495352" w:rsidRPr="00D24BFE">
              <w:rPr>
                <w:rFonts w:ascii="Times New Roman" w:hAnsi="Times New Roman" w:cs="Times New Roman"/>
              </w:rPr>
              <w:t>.</w:t>
            </w:r>
            <w:r w:rsidRPr="00D24BFE">
              <w:rPr>
                <w:rFonts w:ascii="Times New Roman" w:hAnsi="Times New Roman" w:cs="Times New Roman"/>
              </w:rPr>
              <w:t>530</w:t>
            </w:r>
          </w:p>
        </w:tc>
        <w:tc>
          <w:tcPr>
            <w:tcW w:w="1056" w:type="dxa"/>
            <w:tcBorders>
              <w:top w:val="nil"/>
              <w:left w:val="nil"/>
              <w:bottom w:val="single" w:sz="4" w:space="0" w:color="auto"/>
              <w:right w:val="single" w:sz="4" w:space="0" w:color="auto"/>
            </w:tcBorders>
            <w:shd w:val="clear" w:color="000000" w:fill="C0C0C0"/>
            <w:noWrap/>
            <w:vAlign w:val="center"/>
            <w:hideMark/>
          </w:tcPr>
          <w:p w14:paraId="7C05B611" w14:textId="06B67CC2"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w:t>
            </w:r>
            <w:r w:rsidR="00495352" w:rsidRPr="00D24BFE">
              <w:rPr>
                <w:rFonts w:ascii="Times New Roman" w:hAnsi="Times New Roman" w:cs="Times New Roman"/>
              </w:rPr>
              <w:t>.</w:t>
            </w:r>
            <w:r w:rsidRPr="00D24BFE">
              <w:rPr>
                <w:rFonts w:ascii="Times New Roman" w:hAnsi="Times New Roman" w:cs="Times New Roman"/>
              </w:rPr>
              <w:t>135</w:t>
            </w:r>
          </w:p>
        </w:tc>
        <w:tc>
          <w:tcPr>
            <w:tcW w:w="1116" w:type="dxa"/>
            <w:tcBorders>
              <w:top w:val="nil"/>
              <w:left w:val="nil"/>
              <w:bottom w:val="single" w:sz="4" w:space="0" w:color="auto"/>
              <w:right w:val="single" w:sz="4" w:space="0" w:color="auto"/>
            </w:tcBorders>
            <w:shd w:val="clear" w:color="000000" w:fill="C0C0C0"/>
            <w:noWrap/>
            <w:vAlign w:val="center"/>
            <w:hideMark/>
          </w:tcPr>
          <w:p w14:paraId="02269B8C" w14:textId="6BC2C634"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w:t>
            </w:r>
            <w:r w:rsidR="00495352" w:rsidRPr="00D24BFE">
              <w:rPr>
                <w:rFonts w:ascii="Times New Roman" w:hAnsi="Times New Roman" w:cs="Times New Roman"/>
              </w:rPr>
              <w:t>.</w:t>
            </w:r>
            <w:r w:rsidRPr="00D24BFE">
              <w:rPr>
                <w:rFonts w:ascii="Times New Roman" w:hAnsi="Times New Roman" w:cs="Times New Roman"/>
              </w:rPr>
              <w:t>154</w:t>
            </w:r>
          </w:p>
        </w:tc>
        <w:tc>
          <w:tcPr>
            <w:tcW w:w="996" w:type="dxa"/>
            <w:tcBorders>
              <w:top w:val="nil"/>
              <w:left w:val="nil"/>
              <w:bottom w:val="single" w:sz="4" w:space="0" w:color="auto"/>
              <w:right w:val="single" w:sz="4" w:space="0" w:color="auto"/>
            </w:tcBorders>
            <w:shd w:val="clear" w:color="000000" w:fill="C0C0C0"/>
            <w:vAlign w:val="center"/>
          </w:tcPr>
          <w:p w14:paraId="1E29F698" w14:textId="6A8BF91E"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w:t>
            </w:r>
            <w:r w:rsidR="00495352" w:rsidRPr="00D24BFE">
              <w:rPr>
                <w:rFonts w:ascii="Times New Roman" w:hAnsi="Times New Roman" w:cs="Times New Roman"/>
              </w:rPr>
              <w:t>.</w:t>
            </w:r>
            <w:r w:rsidRPr="00D24BFE">
              <w:rPr>
                <w:rFonts w:ascii="Times New Roman" w:hAnsi="Times New Roman" w:cs="Times New Roman"/>
              </w:rPr>
              <w:t>255</w:t>
            </w:r>
          </w:p>
        </w:tc>
        <w:tc>
          <w:tcPr>
            <w:tcW w:w="1222" w:type="dxa"/>
            <w:tcBorders>
              <w:top w:val="nil"/>
              <w:left w:val="nil"/>
              <w:bottom w:val="single" w:sz="4" w:space="0" w:color="auto"/>
              <w:right w:val="single" w:sz="4" w:space="0" w:color="auto"/>
            </w:tcBorders>
            <w:shd w:val="clear" w:color="000000" w:fill="C0C0C0"/>
            <w:vAlign w:val="center"/>
          </w:tcPr>
          <w:p w14:paraId="1EB73508" w14:textId="2EC96792" w:rsidR="008328CD" w:rsidRPr="00D24BFE" w:rsidRDefault="003A12C2" w:rsidP="004C54CF">
            <w:pPr>
              <w:spacing w:after="0" w:line="240" w:lineRule="auto"/>
              <w:jc w:val="right"/>
              <w:rPr>
                <w:rFonts w:ascii="Times New Roman" w:hAnsi="Times New Roman" w:cs="Times New Roman"/>
                <w:lang w:eastAsia="en-GB"/>
              </w:rPr>
            </w:pPr>
            <w:r w:rsidRPr="00D24BFE">
              <w:rPr>
                <w:rFonts w:ascii="Times New Roman" w:hAnsi="Times New Roman" w:cs="Times New Roman"/>
                <w:lang w:eastAsia="en-GB"/>
              </w:rPr>
              <w:t>4</w:t>
            </w:r>
            <w:r w:rsidR="00D24BFE">
              <w:rPr>
                <w:rFonts w:ascii="Times New Roman" w:hAnsi="Times New Roman" w:cs="Times New Roman"/>
                <w:lang w:eastAsia="en-GB"/>
              </w:rPr>
              <w:t>.</w:t>
            </w:r>
            <w:r w:rsidRPr="00D24BFE">
              <w:rPr>
                <w:rFonts w:ascii="Times New Roman" w:hAnsi="Times New Roman" w:cs="Times New Roman"/>
                <w:lang w:eastAsia="en-GB"/>
              </w:rPr>
              <w:t>171</w:t>
            </w:r>
          </w:p>
        </w:tc>
      </w:tr>
      <w:tr w:rsidR="008328CD" w:rsidRPr="00203E0A" w14:paraId="1B15FEC1" w14:textId="134627C5"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713DD03D"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Укупан број наложених мера</w:t>
            </w:r>
          </w:p>
        </w:tc>
        <w:tc>
          <w:tcPr>
            <w:tcW w:w="1134" w:type="dxa"/>
            <w:tcBorders>
              <w:top w:val="nil"/>
              <w:left w:val="nil"/>
              <w:bottom w:val="single" w:sz="4" w:space="0" w:color="auto"/>
              <w:right w:val="single" w:sz="4" w:space="0" w:color="auto"/>
            </w:tcBorders>
            <w:noWrap/>
            <w:vAlign w:val="center"/>
            <w:hideMark/>
          </w:tcPr>
          <w:p w14:paraId="752F0134" w14:textId="0E29BD9F"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15</w:t>
            </w:r>
            <w:r w:rsidR="00495352" w:rsidRPr="00D24BFE">
              <w:rPr>
                <w:rFonts w:ascii="Times New Roman" w:hAnsi="Times New Roman" w:cs="Times New Roman"/>
              </w:rPr>
              <w:t>.</w:t>
            </w:r>
            <w:r w:rsidRPr="00D24BFE">
              <w:rPr>
                <w:rFonts w:ascii="Times New Roman" w:hAnsi="Times New Roman" w:cs="Times New Roman"/>
              </w:rPr>
              <w:t>564</w:t>
            </w:r>
          </w:p>
        </w:tc>
        <w:tc>
          <w:tcPr>
            <w:tcW w:w="996" w:type="dxa"/>
            <w:tcBorders>
              <w:top w:val="nil"/>
              <w:left w:val="nil"/>
              <w:bottom w:val="single" w:sz="4" w:space="0" w:color="auto"/>
              <w:right w:val="single" w:sz="4" w:space="0" w:color="auto"/>
            </w:tcBorders>
            <w:noWrap/>
            <w:vAlign w:val="center"/>
            <w:hideMark/>
          </w:tcPr>
          <w:p w14:paraId="274E2E3D" w14:textId="6B91F693"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w:t>
            </w:r>
            <w:r w:rsidR="00495352" w:rsidRPr="00D24BFE">
              <w:rPr>
                <w:rFonts w:ascii="Times New Roman" w:hAnsi="Times New Roman" w:cs="Times New Roman"/>
              </w:rPr>
              <w:t>.</w:t>
            </w:r>
            <w:r w:rsidRPr="00D24BFE">
              <w:rPr>
                <w:rFonts w:ascii="Times New Roman" w:hAnsi="Times New Roman" w:cs="Times New Roman"/>
              </w:rPr>
              <w:t>643 </w:t>
            </w:r>
          </w:p>
        </w:tc>
        <w:tc>
          <w:tcPr>
            <w:tcW w:w="1056" w:type="dxa"/>
            <w:tcBorders>
              <w:top w:val="nil"/>
              <w:left w:val="nil"/>
              <w:bottom w:val="single" w:sz="4" w:space="0" w:color="auto"/>
              <w:right w:val="single" w:sz="4" w:space="0" w:color="auto"/>
            </w:tcBorders>
            <w:noWrap/>
            <w:vAlign w:val="center"/>
            <w:hideMark/>
          </w:tcPr>
          <w:p w14:paraId="7D50A7DB" w14:textId="38F8E79A"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10</w:t>
            </w:r>
            <w:r w:rsidR="00495352" w:rsidRPr="00D24BFE">
              <w:rPr>
                <w:rFonts w:ascii="Times New Roman" w:hAnsi="Times New Roman" w:cs="Times New Roman"/>
              </w:rPr>
              <w:t>.</w:t>
            </w:r>
            <w:r w:rsidRPr="00D24BFE">
              <w:rPr>
                <w:rFonts w:ascii="Times New Roman" w:hAnsi="Times New Roman" w:cs="Times New Roman"/>
              </w:rPr>
              <w:t>358 </w:t>
            </w:r>
          </w:p>
        </w:tc>
        <w:tc>
          <w:tcPr>
            <w:tcW w:w="1116" w:type="dxa"/>
            <w:tcBorders>
              <w:top w:val="nil"/>
              <w:left w:val="nil"/>
              <w:bottom w:val="single" w:sz="4" w:space="0" w:color="auto"/>
              <w:right w:val="single" w:sz="4" w:space="0" w:color="auto"/>
            </w:tcBorders>
            <w:noWrap/>
            <w:vAlign w:val="center"/>
            <w:hideMark/>
          </w:tcPr>
          <w:p w14:paraId="1A448AA0" w14:textId="3AF99A78"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9</w:t>
            </w:r>
            <w:r w:rsidR="00495352" w:rsidRPr="00D24BFE">
              <w:rPr>
                <w:rFonts w:ascii="Times New Roman" w:hAnsi="Times New Roman" w:cs="Times New Roman"/>
              </w:rPr>
              <w:t>.</w:t>
            </w:r>
            <w:r w:rsidRPr="00D24BFE">
              <w:rPr>
                <w:rFonts w:ascii="Times New Roman" w:hAnsi="Times New Roman" w:cs="Times New Roman"/>
              </w:rPr>
              <w:t>825 </w:t>
            </w:r>
          </w:p>
        </w:tc>
        <w:tc>
          <w:tcPr>
            <w:tcW w:w="996" w:type="dxa"/>
            <w:tcBorders>
              <w:top w:val="nil"/>
              <w:left w:val="nil"/>
              <w:bottom w:val="single" w:sz="4" w:space="0" w:color="auto"/>
              <w:right w:val="single" w:sz="4" w:space="0" w:color="auto"/>
            </w:tcBorders>
            <w:vAlign w:val="center"/>
          </w:tcPr>
          <w:p w14:paraId="5286DE96" w14:textId="4B4F3AB3"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9</w:t>
            </w:r>
            <w:r w:rsidR="00495352" w:rsidRPr="00D24BFE">
              <w:rPr>
                <w:rFonts w:ascii="Times New Roman" w:hAnsi="Times New Roman" w:cs="Times New Roman"/>
              </w:rPr>
              <w:t>.</w:t>
            </w:r>
            <w:r w:rsidRPr="00D24BFE">
              <w:rPr>
                <w:rFonts w:ascii="Times New Roman" w:hAnsi="Times New Roman" w:cs="Times New Roman"/>
              </w:rPr>
              <w:t>799</w:t>
            </w:r>
          </w:p>
        </w:tc>
        <w:tc>
          <w:tcPr>
            <w:tcW w:w="1222" w:type="dxa"/>
            <w:tcBorders>
              <w:top w:val="nil"/>
              <w:left w:val="nil"/>
              <w:bottom w:val="single" w:sz="4" w:space="0" w:color="auto"/>
              <w:right w:val="single" w:sz="4" w:space="0" w:color="auto"/>
            </w:tcBorders>
            <w:vAlign w:val="center"/>
          </w:tcPr>
          <w:p w14:paraId="05705DE7" w14:textId="77124548" w:rsidR="008328CD" w:rsidRPr="00D24BFE" w:rsidRDefault="003A12C2" w:rsidP="004C54CF">
            <w:pPr>
              <w:spacing w:after="0" w:line="240" w:lineRule="auto"/>
              <w:jc w:val="right"/>
              <w:rPr>
                <w:rFonts w:ascii="Times New Roman" w:hAnsi="Times New Roman" w:cs="Times New Roman"/>
                <w:lang w:eastAsia="en-GB"/>
              </w:rPr>
            </w:pPr>
            <w:r w:rsidRPr="00D24BFE">
              <w:rPr>
                <w:rFonts w:ascii="Times New Roman" w:hAnsi="Times New Roman" w:cs="Times New Roman"/>
                <w:lang w:eastAsia="en-GB"/>
              </w:rPr>
              <w:t>10</w:t>
            </w:r>
            <w:r w:rsidR="00495352" w:rsidRPr="00D24BFE">
              <w:rPr>
                <w:rFonts w:ascii="Times New Roman" w:hAnsi="Times New Roman" w:cs="Times New Roman"/>
                <w:lang w:eastAsia="en-GB"/>
              </w:rPr>
              <w:t>.</w:t>
            </w:r>
            <w:r w:rsidRPr="00D24BFE">
              <w:rPr>
                <w:rFonts w:ascii="Times New Roman" w:hAnsi="Times New Roman" w:cs="Times New Roman"/>
                <w:lang w:eastAsia="en-GB"/>
              </w:rPr>
              <w:t>514</w:t>
            </w:r>
          </w:p>
        </w:tc>
      </w:tr>
      <w:tr w:rsidR="008328CD" w:rsidRPr="00203E0A" w14:paraId="2C9B30F2" w14:textId="4C92DDED" w:rsidTr="002736C9">
        <w:trPr>
          <w:trHeight w:val="315"/>
          <w:jc w:val="center"/>
        </w:trPr>
        <w:tc>
          <w:tcPr>
            <w:tcW w:w="2694" w:type="dxa"/>
            <w:tcBorders>
              <w:top w:val="nil"/>
              <w:left w:val="single" w:sz="4" w:space="0" w:color="auto"/>
              <w:bottom w:val="single" w:sz="4" w:space="0" w:color="auto"/>
              <w:right w:val="single" w:sz="4" w:space="0" w:color="auto"/>
            </w:tcBorders>
            <w:shd w:val="clear" w:color="000000" w:fill="C0C0C0"/>
            <w:vAlign w:val="center"/>
            <w:hideMark/>
          </w:tcPr>
          <w:p w14:paraId="230BD347"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Донето решења о забрани рада</w:t>
            </w:r>
          </w:p>
        </w:tc>
        <w:tc>
          <w:tcPr>
            <w:tcW w:w="1134" w:type="dxa"/>
            <w:tcBorders>
              <w:top w:val="nil"/>
              <w:left w:val="nil"/>
              <w:bottom w:val="single" w:sz="4" w:space="0" w:color="auto"/>
              <w:right w:val="single" w:sz="4" w:space="0" w:color="auto"/>
            </w:tcBorders>
            <w:shd w:val="clear" w:color="000000" w:fill="C0C0C0"/>
            <w:noWrap/>
            <w:vAlign w:val="center"/>
            <w:hideMark/>
          </w:tcPr>
          <w:p w14:paraId="1A7C35D6"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823</w:t>
            </w:r>
          </w:p>
        </w:tc>
        <w:tc>
          <w:tcPr>
            <w:tcW w:w="996" w:type="dxa"/>
            <w:tcBorders>
              <w:top w:val="nil"/>
              <w:left w:val="nil"/>
              <w:bottom w:val="single" w:sz="4" w:space="0" w:color="auto"/>
              <w:right w:val="single" w:sz="4" w:space="0" w:color="auto"/>
            </w:tcBorders>
            <w:shd w:val="clear" w:color="000000" w:fill="C0C0C0"/>
            <w:noWrap/>
            <w:vAlign w:val="center"/>
            <w:hideMark/>
          </w:tcPr>
          <w:p w14:paraId="2A2A21F1"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846</w:t>
            </w:r>
          </w:p>
        </w:tc>
        <w:tc>
          <w:tcPr>
            <w:tcW w:w="1056" w:type="dxa"/>
            <w:tcBorders>
              <w:top w:val="nil"/>
              <w:left w:val="nil"/>
              <w:bottom w:val="single" w:sz="4" w:space="0" w:color="auto"/>
              <w:right w:val="single" w:sz="4" w:space="0" w:color="auto"/>
            </w:tcBorders>
            <w:shd w:val="clear" w:color="000000" w:fill="C0C0C0"/>
            <w:noWrap/>
            <w:vAlign w:val="center"/>
            <w:hideMark/>
          </w:tcPr>
          <w:p w14:paraId="2D64F42B"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540</w:t>
            </w:r>
          </w:p>
        </w:tc>
        <w:tc>
          <w:tcPr>
            <w:tcW w:w="1116" w:type="dxa"/>
            <w:tcBorders>
              <w:top w:val="nil"/>
              <w:left w:val="nil"/>
              <w:bottom w:val="single" w:sz="4" w:space="0" w:color="auto"/>
              <w:right w:val="single" w:sz="4" w:space="0" w:color="auto"/>
            </w:tcBorders>
            <w:shd w:val="clear" w:color="000000" w:fill="C0C0C0"/>
            <w:noWrap/>
            <w:vAlign w:val="center"/>
            <w:hideMark/>
          </w:tcPr>
          <w:p w14:paraId="14F7D264"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492</w:t>
            </w:r>
          </w:p>
        </w:tc>
        <w:tc>
          <w:tcPr>
            <w:tcW w:w="996" w:type="dxa"/>
            <w:tcBorders>
              <w:top w:val="nil"/>
              <w:left w:val="nil"/>
              <w:bottom w:val="single" w:sz="4" w:space="0" w:color="auto"/>
              <w:right w:val="single" w:sz="4" w:space="0" w:color="auto"/>
            </w:tcBorders>
            <w:shd w:val="clear" w:color="000000" w:fill="C0C0C0"/>
            <w:vAlign w:val="center"/>
          </w:tcPr>
          <w:p w14:paraId="024F05B9"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503</w:t>
            </w:r>
          </w:p>
        </w:tc>
        <w:tc>
          <w:tcPr>
            <w:tcW w:w="1222" w:type="dxa"/>
            <w:tcBorders>
              <w:top w:val="nil"/>
              <w:left w:val="nil"/>
              <w:bottom w:val="single" w:sz="4" w:space="0" w:color="auto"/>
              <w:right w:val="single" w:sz="4" w:space="0" w:color="auto"/>
            </w:tcBorders>
            <w:shd w:val="clear" w:color="000000" w:fill="C0C0C0"/>
            <w:vAlign w:val="center"/>
          </w:tcPr>
          <w:p w14:paraId="39589AA6" w14:textId="676A1FDF" w:rsidR="008328CD" w:rsidRPr="00D24BFE" w:rsidRDefault="00005E07" w:rsidP="004C54CF">
            <w:pPr>
              <w:spacing w:after="0" w:line="240" w:lineRule="auto"/>
              <w:jc w:val="right"/>
              <w:rPr>
                <w:rFonts w:ascii="Times New Roman" w:hAnsi="Times New Roman" w:cs="Times New Roman"/>
                <w:lang w:eastAsia="en-GB"/>
              </w:rPr>
            </w:pPr>
            <w:r w:rsidRPr="00D24BFE">
              <w:rPr>
                <w:rFonts w:ascii="Times New Roman" w:hAnsi="Times New Roman" w:cs="Times New Roman"/>
                <w:lang w:eastAsia="en-GB"/>
              </w:rPr>
              <w:t>654</w:t>
            </w:r>
          </w:p>
        </w:tc>
      </w:tr>
      <w:tr w:rsidR="008328CD" w:rsidRPr="00203E0A" w14:paraId="06C10D46" w14:textId="72409D08" w:rsidTr="002736C9">
        <w:trPr>
          <w:trHeight w:val="315"/>
          <w:jc w:val="center"/>
        </w:trPr>
        <w:tc>
          <w:tcPr>
            <w:tcW w:w="2694" w:type="dxa"/>
            <w:tcBorders>
              <w:top w:val="nil"/>
              <w:left w:val="single" w:sz="4" w:space="0" w:color="auto"/>
              <w:bottom w:val="single" w:sz="4" w:space="0" w:color="auto"/>
              <w:right w:val="single" w:sz="4" w:space="0" w:color="auto"/>
            </w:tcBorders>
            <w:shd w:val="clear" w:color="000000" w:fill="C0C0C0"/>
            <w:vAlign w:val="center"/>
            <w:hideMark/>
          </w:tcPr>
          <w:p w14:paraId="58B18A3C"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Укупан број поднетих захтева за покретање прекршајног поступка</w:t>
            </w:r>
          </w:p>
        </w:tc>
        <w:tc>
          <w:tcPr>
            <w:tcW w:w="1134" w:type="dxa"/>
            <w:tcBorders>
              <w:top w:val="nil"/>
              <w:left w:val="nil"/>
              <w:bottom w:val="single" w:sz="4" w:space="0" w:color="auto"/>
              <w:right w:val="single" w:sz="4" w:space="0" w:color="auto"/>
            </w:tcBorders>
            <w:shd w:val="clear" w:color="000000" w:fill="C0C0C0"/>
            <w:noWrap/>
            <w:vAlign w:val="center"/>
            <w:hideMark/>
          </w:tcPr>
          <w:p w14:paraId="5B685DD8" w14:textId="5197DA62"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w:t>
            </w:r>
            <w:r w:rsidR="00495352" w:rsidRPr="00D24BFE">
              <w:rPr>
                <w:rFonts w:ascii="Times New Roman" w:hAnsi="Times New Roman" w:cs="Times New Roman"/>
              </w:rPr>
              <w:t>.</w:t>
            </w:r>
            <w:r w:rsidRPr="00D24BFE">
              <w:rPr>
                <w:rFonts w:ascii="Times New Roman" w:hAnsi="Times New Roman" w:cs="Times New Roman"/>
              </w:rPr>
              <w:t>471</w:t>
            </w:r>
          </w:p>
        </w:tc>
        <w:tc>
          <w:tcPr>
            <w:tcW w:w="996" w:type="dxa"/>
            <w:tcBorders>
              <w:top w:val="nil"/>
              <w:left w:val="nil"/>
              <w:bottom w:val="single" w:sz="4" w:space="0" w:color="auto"/>
              <w:right w:val="single" w:sz="4" w:space="0" w:color="auto"/>
            </w:tcBorders>
            <w:shd w:val="clear" w:color="000000" w:fill="C0C0C0"/>
            <w:noWrap/>
            <w:vAlign w:val="center"/>
            <w:hideMark/>
          </w:tcPr>
          <w:p w14:paraId="4DE50B46" w14:textId="3B9200F9"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w:t>
            </w:r>
            <w:r w:rsidR="00495352" w:rsidRPr="00D24BFE">
              <w:rPr>
                <w:rFonts w:ascii="Times New Roman" w:hAnsi="Times New Roman" w:cs="Times New Roman"/>
              </w:rPr>
              <w:t>.</w:t>
            </w:r>
            <w:r w:rsidRPr="00D24BFE">
              <w:rPr>
                <w:rFonts w:ascii="Times New Roman" w:hAnsi="Times New Roman" w:cs="Times New Roman"/>
              </w:rPr>
              <w:t>444</w:t>
            </w:r>
          </w:p>
        </w:tc>
        <w:tc>
          <w:tcPr>
            <w:tcW w:w="1056" w:type="dxa"/>
            <w:tcBorders>
              <w:top w:val="nil"/>
              <w:left w:val="nil"/>
              <w:bottom w:val="single" w:sz="4" w:space="0" w:color="auto"/>
              <w:right w:val="single" w:sz="4" w:space="0" w:color="auto"/>
            </w:tcBorders>
            <w:shd w:val="clear" w:color="000000" w:fill="C0C0C0"/>
            <w:noWrap/>
            <w:vAlign w:val="center"/>
            <w:hideMark/>
          </w:tcPr>
          <w:p w14:paraId="66EE542B" w14:textId="399B0673"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w:t>
            </w:r>
            <w:r w:rsidR="00495352" w:rsidRPr="00D24BFE">
              <w:rPr>
                <w:rFonts w:ascii="Times New Roman" w:hAnsi="Times New Roman" w:cs="Times New Roman"/>
              </w:rPr>
              <w:t>.</w:t>
            </w:r>
            <w:r w:rsidRPr="00D24BFE">
              <w:rPr>
                <w:rFonts w:ascii="Times New Roman" w:hAnsi="Times New Roman" w:cs="Times New Roman"/>
              </w:rPr>
              <w:t>168</w:t>
            </w:r>
          </w:p>
        </w:tc>
        <w:tc>
          <w:tcPr>
            <w:tcW w:w="1116" w:type="dxa"/>
            <w:tcBorders>
              <w:top w:val="nil"/>
              <w:left w:val="nil"/>
              <w:bottom w:val="single" w:sz="4" w:space="0" w:color="auto"/>
              <w:right w:val="single" w:sz="4" w:space="0" w:color="auto"/>
            </w:tcBorders>
            <w:shd w:val="clear" w:color="000000" w:fill="C0C0C0"/>
            <w:noWrap/>
            <w:vAlign w:val="center"/>
            <w:hideMark/>
          </w:tcPr>
          <w:p w14:paraId="601FEA5C" w14:textId="1FE9E3B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w:t>
            </w:r>
            <w:r w:rsidR="00495352" w:rsidRPr="00D24BFE">
              <w:rPr>
                <w:rFonts w:ascii="Times New Roman" w:hAnsi="Times New Roman" w:cs="Times New Roman"/>
              </w:rPr>
              <w:t>.</w:t>
            </w:r>
            <w:r w:rsidRPr="00D24BFE">
              <w:rPr>
                <w:rFonts w:ascii="Times New Roman" w:hAnsi="Times New Roman" w:cs="Times New Roman"/>
              </w:rPr>
              <w:t>442</w:t>
            </w:r>
          </w:p>
        </w:tc>
        <w:tc>
          <w:tcPr>
            <w:tcW w:w="996" w:type="dxa"/>
            <w:tcBorders>
              <w:top w:val="nil"/>
              <w:left w:val="nil"/>
              <w:bottom w:val="single" w:sz="4" w:space="0" w:color="auto"/>
              <w:right w:val="single" w:sz="4" w:space="0" w:color="auto"/>
            </w:tcBorders>
            <w:shd w:val="clear" w:color="000000" w:fill="C0C0C0"/>
            <w:vAlign w:val="center"/>
          </w:tcPr>
          <w:p w14:paraId="436EA51C" w14:textId="77786549"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w:t>
            </w:r>
            <w:r w:rsidR="00495352" w:rsidRPr="00D24BFE">
              <w:rPr>
                <w:rFonts w:ascii="Times New Roman" w:hAnsi="Times New Roman" w:cs="Times New Roman"/>
              </w:rPr>
              <w:t>.</w:t>
            </w:r>
            <w:r w:rsidRPr="00D24BFE">
              <w:rPr>
                <w:rFonts w:ascii="Times New Roman" w:hAnsi="Times New Roman" w:cs="Times New Roman"/>
              </w:rPr>
              <w:t>324</w:t>
            </w:r>
          </w:p>
        </w:tc>
        <w:tc>
          <w:tcPr>
            <w:tcW w:w="1222" w:type="dxa"/>
            <w:tcBorders>
              <w:top w:val="nil"/>
              <w:left w:val="nil"/>
              <w:bottom w:val="single" w:sz="4" w:space="0" w:color="auto"/>
              <w:right w:val="single" w:sz="4" w:space="0" w:color="auto"/>
            </w:tcBorders>
            <w:shd w:val="clear" w:color="000000" w:fill="C0C0C0"/>
            <w:vAlign w:val="center"/>
          </w:tcPr>
          <w:p w14:paraId="33D5301F" w14:textId="77777777" w:rsidR="008328CD" w:rsidRPr="00D24BFE" w:rsidRDefault="008328CD" w:rsidP="004C54CF">
            <w:pPr>
              <w:spacing w:after="0" w:line="240" w:lineRule="auto"/>
              <w:jc w:val="right"/>
              <w:rPr>
                <w:rFonts w:ascii="Times New Roman" w:hAnsi="Times New Roman" w:cs="Times New Roman"/>
                <w:lang w:eastAsia="en-GB"/>
              </w:rPr>
            </w:pPr>
          </w:p>
        </w:tc>
      </w:tr>
      <w:tr w:rsidR="008328CD" w:rsidRPr="00203E0A" w14:paraId="0351ECAF" w14:textId="29F59199"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3726F1B3" w14:textId="77777777" w:rsidR="008328CD" w:rsidRPr="002736C9" w:rsidRDefault="008328CD" w:rsidP="00580065">
            <w:pPr>
              <w:spacing w:after="0" w:line="240" w:lineRule="auto"/>
              <w:rPr>
                <w:rFonts w:ascii="Times New Roman" w:hAnsi="Times New Roman" w:cs="Times New Roman"/>
                <w:sz w:val="20"/>
                <w:szCs w:val="20"/>
                <w:lang w:eastAsia="en-GB"/>
              </w:rPr>
            </w:pPr>
            <w:r w:rsidRPr="002736C9">
              <w:rPr>
                <w:rFonts w:ascii="Times New Roman" w:hAnsi="Times New Roman" w:cs="Times New Roman"/>
                <w:sz w:val="20"/>
                <w:szCs w:val="20"/>
              </w:rPr>
              <w:t>Против правног лица и одговорног лица у правном лицу</w:t>
            </w:r>
          </w:p>
        </w:tc>
        <w:tc>
          <w:tcPr>
            <w:tcW w:w="1134" w:type="dxa"/>
            <w:tcBorders>
              <w:top w:val="nil"/>
              <w:left w:val="nil"/>
              <w:bottom w:val="single" w:sz="4" w:space="0" w:color="auto"/>
              <w:right w:val="single" w:sz="4" w:space="0" w:color="auto"/>
            </w:tcBorders>
            <w:vAlign w:val="center"/>
            <w:hideMark/>
          </w:tcPr>
          <w:p w14:paraId="36C580A9"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640</w:t>
            </w:r>
          </w:p>
        </w:tc>
        <w:tc>
          <w:tcPr>
            <w:tcW w:w="996" w:type="dxa"/>
            <w:tcBorders>
              <w:top w:val="nil"/>
              <w:left w:val="nil"/>
              <w:bottom w:val="single" w:sz="4" w:space="0" w:color="auto"/>
              <w:right w:val="single" w:sz="4" w:space="0" w:color="auto"/>
            </w:tcBorders>
            <w:vAlign w:val="center"/>
            <w:hideMark/>
          </w:tcPr>
          <w:p w14:paraId="51E5A24B"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659 </w:t>
            </w:r>
          </w:p>
        </w:tc>
        <w:tc>
          <w:tcPr>
            <w:tcW w:w="1056" w:type="dxa"/>
            <w:tcBorders>
              <w:top w:val="nil"/>
              <w:left w:val="nil"/>
              <w:bottom w:val="single" w:sz="4" w:space="0" w:color="auto"/>
              <w:right w:val="single" w:sz="4" w:space="0" w:color="auto"/>
            </w:tcBorders>
            <w:vAlign w:val="center"/>
            <w:hideMark/>
          </w:tcPr>
          <w:p w14:paraId="718FFB59"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602</w:t>
            </w:r>
          </w:p>
        </w:tc>
        <w:tc>
          <w:tcPr>
            <w:tcW w:w="1116" w:type="dxa"/>
            <w:tcBorders>
              <w:top w:val="nil"/>
              <w:left w:val="nil"/>
              <w:bottom w:val="single" w:sz="4" w:space="0" w:color="auto"/>
              <w:right w:val="single" w:sz="4" w:space="0" w:color="auto"/>
            </w:tcBorders>
            <w:vAlign w:val="center"/>
            <w:hideMark/>
          </w:tcPr>
          <w:p w14:paraId="3BAA78F2"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716</w:t>
            </w:r>
          </w:p>
        </w:tc>
        <w:tc>
          <w:tcPr>
            <w:tcW w:w="996" w:type="dxa"/>
            <w:tcBorders>
              <w:top w:val="nil"/>
              <w:left w:val="nil"/>
              <w:bottom w:val="single" w:sz="4" w:space="0" w:color="auto"/>
              <w:right w:val="single" w:sz="4" w:space="0" w:color="auto"/>
            </w:tcBorders>
            <w:vAlign w:val="center"/>
          </w:tcPr>
          <w:p w14:paraId="15EEC03F"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639</w:t>
            </w:r>
          </w:p>
        </w:tc>
        <w:tc>
          <w:tcPr>
            <w:tcW w:w="1222" w:type="dxa"/>
            <w:tcBorders>
              <w:top w:val="nil"/>
              <w:left w:val="nil"/>
              <w:bottom w:val="single" w:sz="4" w:space="0" w:color="auto"/>
              <w:right w:val="single" w:sz="4" w:space="0" w:color="auto"/>
            </w:tcBorders>
            <w:vAlign w:val="center"/>
          </w:tcPr>
          <w:p w14:paraId="4CDF5ACC" w14:textId="77777777" w:rsidR="008328CD" w:rsidRPr="00D24BFE" w:rsidRDefault="008328CD" w:rsidP="004C54CF">
            <w:pPr>
              <w:spacing w:after="0" w:line="240" w:lineRule="auto"/>
              <w:jc w:val="right"/>
              <w:rPr>
                <w:rFonts w:ascii="Times New Roman" w:hAnsi="Times New Roman" w:cs="Times New Roman"/>
                <w:lang w:eastAsia="en-GB"/>
              </w:rPr>
            </w:pPr>
          </w:p>
        </w:tc>
      </w:tr>
      <w:tr w:rsidR="008328CD" w:rsidRPr="00203E0A" w14:paraId="6FDEFDA7" w14:textId="068FBC5E"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78F1A719" w14:textId="77777777" w:rsidR="008328CD" w:rsidRPr="00D24BFE" w:rsidRDefault="008328CD" w:rsidP="00580065">
            <w:pPr>
              <w:spacing w:after="0" w:line="240" w:lineRule="auto"/>
              <w:rPr>
                <w:rFonts w:ascii="Times New Roman" w:hAnsi="Times New Roman" w:cs="Times New Roman"/>
                <w:sz w:val="20"/>
                <w:szCs w:val="20"/>
                <w:lang w:eastAsia="en-GB"/>
              </w:rPr>
            </w:pPr>
            <w:r w:rsidRPr="00D24BFE">
              <w:rPr>
                <w:rFonts w:ascii="Times New Roman" w:hAnsi="Times New Roman" w:cs="Times New Roman"/>
                <w:sz w:val="20"/>
                <w:szCs w:val="20"/>
              </w:rPr>
              <w:t>Против предузетника</w:t>
            </w:r>
          </w:p>
        </w:tc>
        <w:tc>
          <w:tcPr>
            <w:tcW w:w="1134" w:type="dxa"/>
            <w:tcBorders>
              <w:top w:val="nil"/>
              <w:left w:val="nil"/>
              <w:bottom w:val="single" w:sz="4" w:space="0" w:color="auto"/>
              <w:right w:val="single" w:sz="4" w:space="0" w:color="auto"/>
            </w:tcBorders>
            <w:vAlign w:val="center"/>
            <w:hideMark/>
          </w:tcPr>
          <w:p w14:paraId="63ED3700"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661</w:t>
            </w:r>
          </w:p>
        </w:tc>
        <w:tc>
          <w:tcPr>
            <w:tcW w:w="996" w:type="dxa"/>
            <w:tcBorders>
              <w:top w:val="nil"/>
              <w:left w:val="nil"/>
              <w:bottom w:val="single" w:sz="4" w:space="0" w:color="auto"/>
              <w:right w:val="single" w:sz="4" w:space="0" w:color="auto"/>
            </w:tcBorders>
            <w:vAlign w:val="center"/>
            <w:hideMark/>
          </w:tcPr>
          <w:p w14:paraId="1E63E3C1"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613 </w:t>
            </w:r>
          </w:p>
        </w:tc>
        <w:tc>
          <w:tcPr>
            <w:tcW w:w="1056" w:type="dxa"/>
            <w:tcBorders>
              <w:top w:val="nil"/>
              <w:left w:val="nil"/>
              <w:bottom w:val="single" w:sz="4" w:space="0" w:color="auto"/>
              <w:right w:val="single" w:sz="4" w:space="0" w:color="auto"/>
            </w:tcBorders>
            <w:vAlign w:val="center"/>
            <w:hideMark/>
          </w:tcPr>
          <w:p w14:paraId="7925140A"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477</w:t>
            </w:r>
          </w:p>
        </w:tc>
        <w:tc>
          <w:tcPr>
            <w:tcW w:w="1116" w:type="dxa"/>
            <w:tcBorders>
              <w:top w:val="nil"/>
              <w:left w:val="nil"/>
              <w:bottom w:val="single" w:sz="4" w:space="0" w:color="auto"/>
              <w:right w:val="single" w:sz="4" w:space="0" w:color="auto"/>
            </w:tcBorders>
            <w:vAlign w:val="center"/>
            <w:hideMark/>
          </w:tcPr>
          <w:p w14:paraId="1E7EB4ED"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607</w:t>
            </w:r>
          </w:p>
        </w:tc>
        <w:tc>
          <w:tcPr>
            <w:tcW w:w="996" w:type="dxa"/>
            <w:tcBorders>
              <w:top w:val="nil"/>
              <w:left w:val="nil"/>
              <w:bottom w:val="single" w:sz="4" w:space="0" w:color="auto"/>
              <w:right w:val="single" w:sz="4" w:space="0" w:color="auto"/>
            </w:tcBorders>
            <w:vAlign w:val="center"/>
          </w:tcPr>
          <w:p w14:paraId="7DEFB425"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597</w:t>
            </w:r>
          </w:p>
        </w:tc>
        <w:tc>
          <w:tcPr>
            <w:tcW w:w="1222" w:type="dxa"/>
            <w:tcBorders>
              <w:top w:val="nil"/>
              <w:left w:val="nil"/>
              <w:bottom w:val="single" w:sz="4" w:space="0" w:color="auto"/>
              <w:right w:val="single" w:sz="4" w:space="0" w:color="auto"/>
            </w:tcBorders>
            <w:vAlign w:val="center"/>
          </w:tcPr>
          <w:p w14:paraId="533A16AC" w14:textId="77777777" w:rsidR="008328CD" w:rsidRPr="00D24BFE" w:rsidRDefault="008328CD" w:rsidP="004C54CF">
            <w:pPr>
              <w:spacing w:after="0" w:line="240" w:lineRule="auto"/>
              <w:jc w:val="right"/>
              <w:rPr>
                <w:rFonts w:ascii="Times New Roman" w:hAnsi="Times New Roman" w:cs="Times New Roman"/>
                <w:lang w:eastAsia="en-GB"/>
              </w:rPr>
            </w:pPr>
          </w:p>
        </w:tc>
      </w:tr>
      <w:tr w:rsidR="008328CD" w:rsidRPr="00203E0A" w14:paraId="0BDFA964" w14:textId="58410AA3"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58B5E694" w14:textId="77777777" w:rsidR="008328CD" w:rsidRPr="00D24BFE" w:rsidRDefault="008328CD" w:rsidP="00580065">
            <w:pPr>
              <w:spacing w:after="0" w:line="240" w:lineRule="auto"/>
              <w:rPr>
                <w:rFonts w:ascii="Times New Roman" w:hAnsi="Times New Roman" w:cs="Times New Roman"/>
                <w:sz w:val="20"/>
                <w:szCs w:val="20"/>
                <w:lang w:eastAsia="en-GB"/>
              </w:rPr>
            </w:pPr>
            <w:r w:rsidRPr="00D24BFE">
              <w:rPr>
                <w:rFonts w:ascii="Times New Roman" w:hAnsi="Times New Roman" w:cs="Times New Roman"/>
                <w:sz w:val="20"/>
                <w:szCs w:val="20"/>
              </w:rPr>
              <w:t>Против запослених</w:t>
            </w:r>
          </w:p>
        </w:tc>
        <w:tc>
          <w:tcPr>
            <w:tcW w:w="1134" w:type="dxa"/>
            <w:tcBorders>
              <w:top w:val="nil"/>
              <w:left w:val="nil"/>
              <w:bottom w:val="single" w:sz="4" w:space="0" w:color="auto"/>
              <w:right w:val="single" w:sz="4" w:space="0" w:color="auto"/>
            </w:tcBorders>
            <w:vAlign w:val="center"/>
            <w:hideMark/>
          </w:tcPr>
          <w:p w14:paraId="370E1B65"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84</w:t>
            </w:r>
          </w:p>
        </w:tc>
        <w:tc>
          <w:tcPr>
            <w:tcW w:w="996" w:type="dxa"/>
            <w:tcBorders>
              <w:top w:val="nil"/>
              <w:left w:val="nil"/>
              <w:bottom w:val="single" w:sz="4" w:space="0" w:color="auto"/>
              <w:right w:val="single" w:sz="4" w:space="0" w:color="auto"/>
            </w:tcBorders>
            <w:vAlign w:val="center"/>
            <w:hideMark/>
          </w:tcPr>
          <w:p w14:paraId="333DB3B4"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68 </w:t>
            </w:r>
          </w:p>
        </w:tc>
        <w:tc>
          <w:tcPr>
            <w:tcW w:w="1056" w:type="dxa"/>
            <w:tcBorders>
              <w:top w:val="nil"/>
              <w:left w:val="nil"/>
              <w:bottom w:val="single" w:sz="4" w:space="0" w:color="auto"/>
              <w:right w:val="single" w:sz="4" w:space="0" w:color="auto"/>
            </w:tcBorders>
            <w:vAlign w:val="center"/>
            <w:hideMark/>
          </w:tcPr>
          <w:p w14:paraId="6123DB34"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42</w:t>
            </w:r>
          </w:p>
        </w:tc>
        <w:tc>
          <w:tcPr>
            <w:tcW w:w="1116" w:type="dxa"/>
            <w:tcBorders>
              <w:top w:val="nil"/>
              <w:left w:val="nil"/>
              <w:bottom w:val="single" w:sz="4" w:space="0" w:color="auto"/>
              <w:right w:val="single" w:sz="4" w:space="0" w:color="auto"/>
            </w:tcBorders>
            <w:vAlign w:val="center"/>
            <w:hideMark/>
          </w:tcPr>
          <w:p w14:paraId="379D396D"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69</w:t>
            </w:r>
          </w:p>
        </w:tc>
        <w:tc>
          <w:tcPr>
            <w:tcW w:w="996" w:type="dxa"/>
            <w:tcBorders>
              <w:top w:val="nil"/>
              <w:left w:val="nil"/>
              <w:bottom w:val="single" w:sz="4" w:space="0" w:color="auto"/>
              <w:right w:val="single" w:sz="4" w:space="0" w:color="auto"/>
            </w:tcBorders>
            <w:vAlign w:val="center"/>
          </w:tcPr>
          <w:p w14:paraId="25B0D4C7"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53</w:t>
            </w:r>
          </w:p>
        </w:tc>
        <w:tc>
          <w:tcPr>
            <w:tcW w:w="1222" w:type="dxa"/>
            <w:tcBorders>
              <w:top w:val="nil"/>
              <w:left w:val="nil"/>
              <w:bottom w:val="single" w:sz="4" w:space="0" w:color="auto"/>
              <w:right w:val="single" w:sz="4" w:space="0" w:color="auto"/>
            </w:tcBorders>
            <w:vAlign w:val="center"/>
          </w:tcPr>
          <w:p w14:paraId="5241FD5C" w14:textId="77777777" w:rsidR="008328CD" w:rsidRPr="00D24BFE" w:rsidRDefault="008328CD" w:rsidP="004C54CF">
            <w:pPr>
              <w:spacing w:after="0" w:line="240" w:lineRule="auto"/>
              <w:jc w:val="right"/>
              <w:rPr>
                <w:rFonts w:ascii="Times New Roman" w:hAnsi="Times New Roman" w:cs="Times New Roman"/>
                <w:lang w:eastAsia="en-GB"/>
              </w:rPr>
            </w:pPr>
          </w:p>
        </w:tc>
      </w:tr>
      <w:tr w:rsidR="008328CD" w:rsidRPr="00203E0A" w14:paraId="6ECAC034" w14:textId="2BDC9FD3" w:rsidTr="002736C9">
        <w:trPr>
          <w:trHeight w:val="300"/>
          <w:jc w:val="center"/>
        </w:trPr>
        <w:tc>
          <w:tcPr>
            <w:tcW w:w="2694" w:type="dxa"/>
            <w:tcBorders>
              <w:top w:val="nil"/>
              <w:left w:val="single" w:sz="4" w:space="0" w:color="auto"/>
              <w:bottom w:val="single" w:sz="4" w:space="0" w:color="auto"/>
              <w:right w:val="single" w:sz="4" w:space="0" w:color="auto"/>
            </w:tcBorders>
            <w:vAlign w:val="center"/>
            <w:hideMark/>
          </w:tcPr>
          <w:p w14:paraId="1E7225AA" w14:textId="77777777" w:rsidR="008328CD" w:rsidRPr="00D24BFE" w:rsidRDefault="008328CD" w:rsidP="00580065">
            <w:pPr>
              <w:spacing w:after="0" w:line="240" w:lineRule="auto"/>
              <w:rPr>
                <w:rFonts w:ascii="Times New Roman" w:hAnsi="Times New Roman" w:cs="Times New Roman"/>
                <w:sz w:val="20"/>
                <w:szCs w:val="20"/>
                <w:lang w:eastAsia="en-GB"/>
              </w:rPr>
            </w:pPr>
            <w:r w:rsidRPr="00D24BFE">
              <w:rPr>
                <w:rFonts w:ascii="Times New Roman" w:hAnsi="Times New Roman" w:cs="Times New Roman"/>
                <w:sz w:val="20"/>
                <w:szCs w:val="20"/>
              </w:rPr>
              <w:t>Против лица за безбедност</w:t>
            </w:r>
          </w:p>
        </w:tc>
        <w:tc>
          <w:tcPr>
            <w:tcW w:w="1134" w:type="dxa"/>
            <w:tcBorders>
              <w:top w:val="nil"/>
              <w:left w:val="nil"/>
              <w:bottom w:val="single" w:sz="4" w:space="0" w:color="auto"/>
              <w:right w:val="single" w:sz="4" w:space="0" w:color="auto"/>
            </w:tcBorders>
            <w:vAlign w:val="center"/>
            <w:hideMark/>
          </w:tcPr>
          <w:p w14:paraId="6E580A03"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86</w:t>
            </w:r>
          </w:p>
        </w:tc>
        <w:tc>
          <w:tcPr>
            <w:tcW w:w="996" w:type="dxa"/>
            <w:tcBorders>
              <w:top w:val="nil"/>
              <w:left w:val="nil"/>
              <w:bottom w:val="single" w:sz="4" w:space="0" w:color="auto"/>
              <w:right w:val="single" w:sz="4" w:space="0" w:color="auto"/>
            </w:tcBorders>
            <w:vAlign w:val="center"/>
            <w:hideMark/>
          </w:tcPr>
          <w:p w14:paraId="4285113F"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104 </w:t>
            </w:r>
          </w:p>
        </w:tc>
        <w:tc>
          <w:tcPr>
            <w:tcW w:w="1056" w:type="dxa"/>
            <w:tcBorders>
              <w:top w:val="nil"/>
              <w:left w:val="nil"/>
              <w:bottom w:val="single" w:sz="4" w:space="0" w:color="auto"/>
              <w:right w:val="single" w:sz="4" w:space="0" w:color="auto"/>
            </w:tcBorders>
            <w:vAlign w:val="center"/>
            <w:hideMark/>
          </w:tcPr>
          <w:p w14:paraId="05F376FB"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47</w:t>
            </w:r>
          </w:p>
        </w:tc>
        <w:tc>
          <w:tcPr>
            <w:tcW w:w="1116" w:type="dxa"/>
            <w:tcBorders>
              <w:top w:val="nil"/>
              <w:left w:val="nil"/>
              <w:bottom w:val="single" w:sz="4" w:space="0" w:color="auto"/>
              <w:right w:val="single" w:sz="4" w:space="0" w:color="auto"/>
            </w:tcBorders>
            <w:vAlign w:val="center"/>
            <w:hideMark/>
          </w:tcPr>
          <w:p w14:paraId="68282D89"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50</w:t>
            </w:r>
          </w:p>
        </w:tc>
        <w:tc>
          <w:tcPr>
            <w:tcW w:w="996" w:type="dxa"/>
            <w:tcBorders>
              <w:top w:val="nil"/>
              <w:left w:val="nil"/>
              <w:bottom w:val="single" w:sz="4" w:space="0" w:color="auto"/>
              <w:right w:val="single" w:sz="4" w:space="0" w:color="auto"/>
            </w:tcBorders>
            <w:vAlign w:val="center"/>
          </w:tcPr>
          <w:p w14:paraId="6867BD01"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35</w:t>
            </w:r>
          </w:p>
        </w:tc>
        <w:tc>
          <w:tcPr>
            <w:tcW w:w="1222" w:type="dxa"/>
            <w:tcBorders>
              <w:top w:val="nil"/>
              <w:left w:val="nil"/>
              <w:bottom w:val="single" w:sz="4" w:space="0" w:color="auto"/>
              <w:right w:val="single" w:sz="4" w:space="0" w:color="auto"/>
            </w:tcBorders>
            <w:vAlign w:val="center"/>
          </w:tcPr>
          <w:p w14:paraId="49EC3233" w14:textId="77777777" w:rsidR="008328CD" w:rsidRPr="00D24BFE" w:rsidRDefault="008328CD" w:rsidP="004C54CF">
            <w:pPr>
              <w:spacing w:after="0" w:line="240" w:lineRule="auto"/>
              <w:jc w:val="right"/>
              <w:rPr>
                <w:rFonts w:ascii="Times New Roman" w:hAnsi="Times New Roman" w:cs="Times New Roman"/>
                <w:lang w:eastAsia="en-GB"/>
              </w:rPr>
            </w:pPr>
          </w:p>
        </w:tc>
      </w:tr>
      <w:tr w:rsidR="008328CD" w:rsidRPr="00203E0A" w14:paraId="3ADA7C7E" w14:textId="2E27FBEB" w:rsidTr="002736C9">
        <w:trPr>
          <w:trHeight w:val="300"/>
          <w:jc w:val="center"/>
        </w:trPr>
        <w:tc>
          <w:tcPr>
            <w:tcW w:w="2694" w:type="dxa"/>
            <w:tcBorders>
              <w:top w:val="nil"/>
              <w:left w:val="single" w:sz="4" w:space="0" w:color="auto"/>
              <w:bottom w:val="single" w:sz="4" w:space="0" w:color="auto"/>
              <w:right w:val="single" w:sz="4" w:space="0" w:color="auto"/>
            </w:tcBorders>
            <w:shd w:val="clear" w:color="000000" w:fill="C0C0C0"/>
            <w:vAlign w:val="center"/>
            <w:hideMark/>
          </w:tcPr>
          <w:p w14:paraId="733C79DB" w14:textId="77777777" w:rsidR="008328CD" w:rsidRPr="00D24BFE" w:rsidRDefault="008328CD" w:rsidP="00580065">
            <w:pPr>
              <w:spacing w:after="0" w:line="240" w:lineRule="auto"/>
              <w:rPr>
                <w:rFonts w:ascii="Times New Roman" w:hAnsi="Times New Roman" w:cs="Times New Roman"/>
                <w:sz w:val="20"/>
                <w:szCs w:val="20"/>
                <w:lang w:eastAsia="en-GB"/>
              </w:rPr>
            </w:pPr>
            <w:r w:rsidRPr="00D24BFE">
              <w:rPr>
                <w:rFonts w:ascii="Times New Roman" w:hAnsi="Times New Roman" w:cs="Times New Roman"/>
                <w:sz w:val="20"/>
                <w:szCs w:val="20"/>
              </w:rPr>
              <w:t>Укупан број поднетих пријава за покретање кривичног поступка</w:t>
            </w:r>
          </w:p>
        </w:tc>
        <w:tc>
          <w:tcPr>
            <w:tcW w:w="1134" w:type="dxa"/>
            <w:tcBorders>
              <w:top w:val="nil"/>
              <w:left w:val="nil"/>
              <w:bottom w:val="single" w:sz="4" w:space="0" w:color="auto"/>
              <w:right w:val="single" w:sz="4" w:space="0" w:color="auto"/>
            </w:tcBorders>
            <w:shd w:val="clear" w:color="000000" w:fill="C0C0C0"/>
            <w:noWrap/>
            <w:vAlign w:val="center"/>
            <w:hideMark/>
          </w:tcPr>
          <w:p w14:paraId="2EB637D0"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40</w:t>
            </w:r>
          </w:p>
        </w:tc>
        <w:tc>
          <w:tcPr>
            <w:tcW w:w="996" w:type="dxa"/>
            <w:tcBorders>
              <w:top w:val="nil"/>
              <w:left w:val="nil"/>
              <w:bottom w:val="single" w:sz="4" w:space="0" w:color="auto"/>
              <w:right w:val="single" w:sz="4" w:space="0" w:color="auto"/>
            </w:tcBorders>
            <w:shd w:val="clear" w:color="000000" w:fill="C0C0C0"/>
            <w:noWrap/>
            <w:vAlign w:val="center"/>
            <w:hideMark/>
          </w:tcPr>
          <w:p w14:paraId="1F87EE45"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32 </w:t>
            </w:r>
          </w:p>
        </w:tc>
        <w:tc>
          <w:tcPr>
            <w:tcW w:w="1056" w:type="dxa"/>
            <w:tcBorders>
              <w:top w:val="nil"/>
              <w:left w:val="nil"/>
              <w:bottom w:val="single" w:sz="4" w:space="0" w:color="auto"/>
              <w:right w:val="single" w:sz="4" w:space="0" w:color="auto"/>
            </w:tcBorders>
            <w:shd w:val="clear" w:color="000000" w:fill="C0C0C0"/>
            <w:noWrap/>
            <w:vAlign w:val="center"/>
            <w:hideMark/>
          </w:tcPr>
          <w:p w14:paraId="3CCCA063"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31</w:t>
            </w:r>
          </w:p>
        </w:tc>
        <w:tc>
          <w:tcPr>
            <w:tcW w:w="1116" w:type="dxa"/>
            <w:tcBorders>
              <w:top w:val="nil"/>
              <w:left w:val="nil"/>
              <w:bottom w:val="single" w:sz="4" w:space="0" w:color="auto"/>
              <w:right w:val="single" w:sz="4" w:space="0" w:color="auto"/>
            </w:tcBorders>
            <w:shd w:val="clear" w:color="000000" w:fill="C0C0C0"/>
            <w:noWrap/>
            <w:vAlign w:val="center"/>
            <w:hideMark/>
          </w:tcPr>
          <w:p w14:paraId="1131CF35"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65</w:t>
            </w:r>
          </w:p>
        </w:tc>
        <w:tc>
          <w:tcPr>
            <w:tcW w:w="996" w:type="dxa"/>
            <w:tcBorders>
              <w:top w:val="nil"/>
              <w:left w:val="nil"/>
              <w:bottom w:val="single" w:sz="4" w:space="0" w:color="auto"/>
              <w:right w:val="single" w:sz="4" w:space="0" w:color="auto"/>
            </w:tcBorders>
            <w:shd w:val="clear" w:color="000000" w:fill="C0C0C0"/>
            <w:vAlign w:val="center"/>
          </w:tcPr>
          <w:p w14:paraId="3EE6E48B" w14:textId="77777777" w:rsidR="008328CD" w:rsidRPr="00D24BFE" w:rsidRDefault="008328CD" w:rsidP="004C54CF">
            <w:pPr>
              <w:spacing w:after="0" w:line="240" w:lineRule="auto"/>
              <w:jc w:val="right"/>
              <w:rPr>
                <w:rFonts w:ascii="Times New Roman" w:hAnsi="Times New Roman" w:cs="Times New Roman"/>
                <w:lang w:eastAsia="en-GB"/>
              </w:rPr>
            </w:pPr>
            <w:r w:rsidRPr="00D24BFE">
              <w:rPr>
                <w:rFonts w:ascii="Times New Roman" w:hAnsi="Times New Roman" w:cs="Times New Roman"/>
              </w:rPr>
              <w:t>42</w:t>
            </w:r>
          </w:p>
        </w:tc>
        <w:tc>
          <w:tcPr>
            <w:tcW w:w="1222" w:type="dxa"/>
            <w:tcBorders>
              <w:top w:val="nil"/>
              <w:left w:val="nil"/>
              <w:bottom w:val="single" w:sz="4" w:space="0" w:color="auto"/>
              <w:right w:val="single" w:sz="4" w:space="0" w:color="auto"/>
            </w:tcBorders>
            <w:shd w:val="clear" w:color="000000" w:fill="C0C0C0"/>
            <w:vAlign w:val="center"/>
          </w:tcPr>
          <w:p w14:paraId="4EF840CF" w14:textId="6AD755BD" w:rsidR="008328CD" w:rsidRPr="00D24BFE" w:rsidRDefault="00F569D3" w:rsidP="004C54CF">
            <w:pPr>
              <w:spacing w:after="0" w:line="240" w:lineRule="auto"/>
              <w:jc w:val="right"/>
              <w:rPr>
                <w:rFonts w:ascii="Times New Roman" w:hAnsi="Times New Roman" w:cs="Times New Roman"/>
                <w:lang w:eastAsia="en-GB"/>
              </w:rPr>
            </w:pPr>
            <w:r w:rsidRPr="00D24BFE">
              <w:rPr>
                <w:rFonts w:ascii="Times New Roman" w:hAnsi="Times New Roman" w:cs="Times New Roman"/>
                <w:lang w:eastAsia="en-GB"/>
              </w:rPr>
              <w:t>47</w:t>
            </w:r>
          </w:p>
        </w:tc>
      </w:tr>
    </w:tbl>
    <w:p w14:paraId="30541CED" w14:textId="77777777" w:rsidR="00EC5D47" w:rsidRPr="00C86C6A" w:rsidRDefault="48A77BA5" w:rsidP="00FB3C63">
      <w:pPr>
        <w:spacing w:after="150"/>
        <w:ind w:firstLine="720"/>
        <w:jc w:val="both"/>
        <w:rPr>
          <w:rFonts w:ascii="Times New Roman" w:hAnsi="Times New Roman" w:cs="Times New Roman"/>
          <w:i/>
          <w:color w:val="000000"/>
          <w:sz w:val="24"/>
          <w:szCs w:val="24"/>
        </w:rPr>
      </w:pPr>
      <w:r w:rsidRPr="00C86C6A">
        <w:rPr>
          <w:rFonts w:ascii="Times New Roman" w:hAnsi="Times New Roman" w:cs="Times New Roman"/>
          <w:i/>
          <w:color w:val="000000" w:themeColor="text1"/>
          <w:sz w:val="24"/>
          <w:szCs w:val="24"/>
        </w:rPr>
        <w:t xml:space="preserve">Извор: Извештаји Инспектората за рад </w:t>
      </w:r>
    </w:p>
    <w:p w14:paraId="25E6878A" w14:textId="6978F703" w:rsidR="00EC5D47" w:rsidRPr="00203E0A" w:rsidRDefault="48A77BA5" w:rsidP="48A77BA5">
      <w:pPr>
        <w:spacing w:after="150"/>
        <w:ind w:firstLine="720"/>
        <w:jc w:val="both"/>
        <w:rPr>
          <w:rFonts w:ascii="Times New Roman" w:hAnsi="Times New Roman" w:cs="Times New Roman"/>
          <w:b/>
          <w:bCs/>
          <w:color w:val="000000"/>
          <w:sz w:val="24"/>
          <w:szCs w:val="24"/>
        </w:rPr>
      </w:pPr>
      <w:bookmarkStart w:id="25" w:name="_Toc126746529"/>
      <w:bookmarkEnd w:id="24"/>
      <w:r w:rsidRPr="00203E0A">
        <w:rPr>
          <w:rFonts w:ascii="Times New Roman" w:hAnsi="Times New Roman" w:cs="Times New Roman"/>
          <w:b/>
          <w:bCs/>
          <w:color w:val="000000" w:themeColor="text1"/>
          <w:sz w:val="24"/>
          <w:szCs w:val="24"/>
        </w:rPr>
        <w:t>3.7. Анализа правних и физичких лица за обављање послова у области безбедности и здравља на раду</w:t>
      </w:r>
      <w:bookmarkEnd w:id="25"/>
    </w:p>
    <w:p w14:paraId="17EA9200" w14:textId="64C8A5DE" w:rsidR="00EC5D47" w:rsidRPr="00203E0A" w:rsidRDefault="48A77BA5" w:rsidP="00125B70">
      <w:pPr>
        <w:ind w:firstLine="720"/>
        <w:jc w:val="both"/>
        <w:rPr>
          <w:rFonts w:ascii="Times New Roman" w:hAnsi="Times New Roman" w:cs="Times New Roman"/>
          <w:sz w:val="24"/>
          <w:szCs w:val="24"/>
        </w:rPr>
      </w:pPr>
      <w:r w:rsidRPr="00203E0A">
        <w:rPr>
          <w:rFonts w:ascii="Times New Roman" w:hAnsi="Times New Roman" w:cs="Times New Roman"/>
          <w:sz w:val="24"/>
          <w:szCs w:val="24"/>
        </w:rPr>
        <w:t>Лице за безбедност и здравље на раду обавља послове у складу са Законом, а нарочито послове којима се спроводи поступак о процени ризика. Лица за безбедност и здравље на раду, координатори за безбедност и здравље на раду у фази израде пројекта, координатори за безбедност и здравље на раду у фази извођења радова, овлашћене организације за обављање послова безбедности и здравља на раду, као и представник запослених за безбедност и здравље на раду један су од основних стубова на којима почива овај систем безбедности и здравља на раду.</w:t>
      </w:r>
    </w:p>
    <w:p w14:paraId="1CEFCDD0" w14:textId="164CFCD5" w:rsidR="00EC5D47" w:rsidRPr="00203E0A" w:rsidRDefault="48A77BA5" w:rsidP="005C64DC">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Испит за обављање послова безбедности и здравља на раду је положило више од половине кандидата (2018-5</w:t>
      </w:r>
      <w:r w:rsidR="009917D3">
        <w:rPr>
          <w:rFonts w:ascii="Times New Roman" w:hAnsi="Times New Roman" w:cs="Times New Roman"/>
          <w:sz w:val="24"/>
          <w:szCs w:val="24"/>
        </w:rPr>
        <w:t>9,87%, 2019-54,22%, 2020-50,37%,</w:t>
      </w:r>
      <w:r w:rsidRPr="00203E0A">
        <w:rPr>
          <w:rFonts w:ascii="Times New Roman" w:hAnsi="Times New Roman" w:cs="Times New Roman"/>
          <w:sz w:val="24"/>
          <w:szCs w:val="24"/>
        </w:rPr>
        <w:t xml:space="preserve"> 2021-53,38% и 2022-52,92%). </w:t>
      </w:r>
    </w:p>
    <w:p w14:paraId="4283D741" w14:textId="1A18E25F" w:rsidR="00D26621" w:rsidRPr="00203E0A" w:rsidRDefault="48A77BA5" w:rsidP="005C64DC">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Новим Законом о безбедности и здрављу на раду се: </w:t>
      </w:r>
    </w:p>
    <w:p w14:paraId="34EF8FD4" w14:textId="74683435" w:rsidR="00EC5D47" w:rsidRPr="00203E0A" w:rsidRDefault="48A77BA5" w:rsidP="48A77BA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прописују врсте лиценци у области безбедности и здравља на раду које решењем издаје, односно обнавља министар надлежан за посло</w:t>
      </w:r>
      <w:r w:rsidR="00C157D6">
        <w:rPr>
          <w:rFonts w:ascii="Times New Roman" w:hAnsi="Times New Roman" w:cs="Times New Roman"/>
          <w:sz w:val="24"/>
          <w:szCs w:val="24"/>
        </w:rPr>
        <w:t>ве безбедности и здравља на раду</w:t>
      </w:r>
      <w:r w:rsidRPr="00203E0A">
        <w:rPr>
          <w:rFonts w:ascii="Times New Roman" w:hAnsi="Times New Roman" w:cs="Times New Roman"/>
          <w:sz w:val="24"/>
          <w:szCs w:val="24"/>
        </w:rPr>
        <w:t>, и то: саветнику за безбедност и здравље на раду; сараднику за безбедност и здравље на раду; координатору за безбедност и здравље на раду у фази израде пројекта; координатору за безбедност и здравље на раду у фази извођења радова; одговорном лицу за обављање послова прегледа и провере опреме за рад и прегледа и испитивања електричних и громобранских инсталација; одговорном лицу за обављање послова испитивања услова радне средине, односно хемијских и физичких штетности (осим јонизујућих зрачења), микроклиме и освељености, одговорном лицу за обављање послова испитивања услова радне средине – биолошких</w:t>
      </w:r>
      <w:r w:rsidR="00C157D6">
        <w:rPr>
          <w:rFonts w:ascii="Times New Roman" w:hAnsi="Times New Roman" w:cs="Times New Roman"/>
          <w:sz w:val="24"/>
          <w:szCs w:val="24"/>
        </w:rPr>
        <w:t xml:space="preserve"> штетности</w:t>
      </w:r>
      <w:r w:rsidRPr="00203E0A">
        <w:rPr>
          <w:rFonts w:ascii="Times New Roman" w:hAnsi="Times New Roman" w:cs="Times New Roman"/>
          <w:sz w:val="24"/>
          <w:szCs w:val="24"/>
        </w:rPr>
        <w:t>; правном лицу или предузетнику за обављање послова безбедности и здравља на раду; правном лицу за обављање послова прегледа и провере опреме за рад и прегледа и испитивања електричних и громобранских инсталација; правном лицу за обављање послова испитивања услова радне средине, односно хемијских и физичких штетности (осим јонизујућих зрачења), микроклиме и освељености и правном лицу за обављање послова испитивања услова радн</w:t>
      </w:r>
      <w:r w:rsidR="009B77A7">
        <w:rPr>
          <w:rFonts w:ascii="Times New Roman" w:hAnsi="Times New Roman" w:cs="Times New Roman"/>
          <w:sz w:val="24"/>
          <w:szCs w:val="24"/>
        </w:rPr>
        <w:t>е средине – биолошких штетности</w:t>
      </w:r>
      <w:r w:rsidR="009B77A7">
        <w:rPr>
          <w:rFonts w:ascii="Times New Roman" w:hAnsi="Times New Roman" w:cs="Times New Roman"/>
          <w:sz w:val="24"/>
          <w:szCs w:val="24"/>
          <w:lang w:val="sr-Latn-RS"/>
        </w:rPr>
        <w:t>;</w:t>
      </w:r>
      <w:r w:rsidRPr="00203E0A">
        <w:rPr>
          <w:rFonts w:ascii="Times New Roman" w:hAnsi="Times New Roman" w:cs="Times New Roman"/>
          <w:sz w:val="24"/>
          <w:szCs w:val="24"/>
        </w:rPr>
        <w:t xml:space="preserve"> </w:t>
      </w:r>
    </w:p>
    <w:p w14:paraId="656D8B2F" w14:textId="1D5CAD05" w:rsidR="00EC5D47" w:rsidRPr="00203E0A" w:rsidRDefault="00C157D6" w:rsidP="48A77BA5">
      <w:pPr>
        <w:spacing w:after="120" w:line="264"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пропису</w:t>
      </w:r>
      <w:r w:rsidR="48A77BA5" w:rsidRPr="00203E0A">
        <w:rPr>
          <w:rFonts w:ascii="Times New Roman" w:hAnsi="Times New Roman" w:cs="Times New Roman"/>
          <w:sz w:val="24"/>
          <w:szCs w:val="24"/>
        </w:rPr>
        <w:t>је обавеза континуираног усавршавања знања у области</w:t>
      </w:r>
      <w:r>
        <w:rPr>
          <w:rFonts w:ascii="Times New Roman" w:hAnsi="Times New Roman" w:cs="Times New Roman"/>
          <w:sz w:val="24"/>
          <w:szCs w:val="24"/>
        </w:rPr>
        <w:t xml:space="preserve"> безбедности и здравља на раду;</w:t>
      </w:r>
      <w:r w:rsidR="48A77BA5" w:rsidRPr="00203E0A">
        <w:rPr>
          <w:rFonts w:ascii="Times New Roman" w:hAnsi="Times New Roman" w:cs="Times New Roman"/>
          <w:sz w:val="24"/>
          <w:szCs w:val="24"/>
        </w:rPr>
        <w:t xml:space="preserve"> </w:t>
      </w:r>
    </w:p>
    <w:p w14:paraId="36817BBE" w14:textId="5F9679F0" w:rsidR="00EC5D47" w:rsidRPr="00203E0A" w:rsidRDefault="48A77BA5" w:rsidP="48A77BA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 </w:t>
      </w:r>
      <w:r w:rsidR="00C157D6">
        <w:rPr>
          <w:rFonts w:ascii="Times New Roman" w:hAnsi="Times New Roman" w:cs="Times New Roman"/>
          <w:sz w:val="24"/>
          <w:szCs w:val="24"/>
        </w:rPr>
        <w:t>пропису</w:t>
      </w:r>
      <w:r w:rsidR="00C157D6" w:rsidRPr="00203E0A">
        <w:rPr>
          <w:rFonts w:ascii="Times New Roman" w:hAnsi="Times New Roman" w:cs="Times New Roman"/>
          <w:sz w:val="24"/>
          <w:szCs w:val="24"/>
        </w:rPr>
        <w:t xml:space="preserve">је обавеза </w:t>
      </w:r>
      <w:r w:rsidRPr="00203E0A">
        <w:rPr>
          <w:rFonts w:ascii="Times New Roman" w:hAnsi="Times New Roman" w:cs="Times New Roman"/>
          <w:sz w:val="24"/>
          <w:szCs w:val="24"/>
        </w:rPr>
        <w:t xml:space="preserve">успостављања регистра о издатим, обновљеним и одузетим лиценцама у области безбедности и здравља на раду. </w:t>
      </w:r>
    </w:p>
    <w:p w14:paraId="2074F08E" w14:textId="489C3FBC" w:rsidR="00EC5D47" w:rsidRPr="00203E0A" w:rsidRDefault="00AE0C64" w:rsidP="48A77BA5">
      <w:pPr>
        <w:spacing w:after="120" w:line="264" w:lineRule="auto"/>
        <w:ind w:firstLine="720"/>
        <w:jc w:val="both"/>
        <w:rPr>
          <w:rFonts w:ascii="Times New Roman" w:hAnsi="Times New Roman" w:cs="Times New Roman"/>
          <w:sz w:val="24"/>
          <w:szCs w:val="24"/>
        </w:rPr>
      </w:pPr>
      <w:r>
        <w:rPr>
          <w:rFonts w:ascii="Times New Roman" w:hAnsi="Times New Roman" w:cs="Times New Roman"/>
          <w:sz w:val="24"/>
          <w:szCs w:val="24"/>
        </w:rPr>
        <w:t>Сагласно напред наведено</w:t>
      </w:r>
      <w:r w:rsidR="48A77BA5" w:rsidRPr="00203E0A">
        <w:rPr>
          <w:rFonts w:ascii="Times New Roman" w:hAnsi="Times New Roman" w:cs="Times New Roman"/>
          <w:sz w:val="24"/>
          <w:szCs w:val="24"/>
        </w:rPr>
        <w:t>м уведено</w:t>
      </w:r>
      <w:r>
        <w:rPr>
          <w:rFonts w:ascii="Times New Roman" w:hAnsi="Times New Roman" w:cs="Times New Roman"/>
          <w:sz w:val="24"/>
          <w:szCs w:val="24"/>
        </w:rPr>
        <w:t xml:space="preserve"> је</w:t>
      </w:r>
      <w:r w:rsidR="48A77BA5" w:rsidRPr="00203E0A">
        <w:rPr>
          <w:rFonts w:ascii="Times New Roman" w:hAnsi="Times New Roman" w:cs="Times New Roman"/>
          <w:sz w:val="24"/>
          <w:szCs w:val="24"/>
        </w:rPr>
        <w:t xml:space="preserve"> законско решење:</w:t>
      </w:r>
    </w:p>
    <w:p w14:paraId="413D4AD5" w14:textId="1FA9A969" w:rsidR="00EC5D47" w:rsidRPr="00203E0A" w:rsidRDefault="48A77BA5" w:rsidP="48A77BA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којим је прописана обавеза за стручњаке који се баве пословима безбедности и здравља на раду да су дужни да имају лиценцу за обављање тих послова. Такође, послове координатора на градилиштима могу обављати само лица којима је издата лиценца за обављање тих послова. Увођење лиценци за обављање свих стручних послова у области безбедности и здравља на раду има за циљ да се у поступку издавања и обнављања лиценце врши додатна контрола испуњености услова за обављање ових послова који су од општег друштвеног значаја</w:t>
      </w:r>
      <w:r w:rsidR="00AE0C64">
        <w:rPr>
          <w:rFonts w:ascii="Times New Roman" w:hAnsi="Times New Roman" w:cs="Times New Roman"/>
          <w:sz w:val="24"/>
          <w:szCs w:val="24"/>
        </w:rPr>
        <w:t>;</w:t>
      </w:r>
    </w:p>
    <w:p w14:paraId="676C9FA6" w14:textId="520B5D41" w:rsidR="00EC5D47" w:rsidRPr="00203E0A" w:rsidRDefault="48A77BA5" w:rsidP="48A77BA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 </w:t>
      </w:r>
      <w:r w:rsidR="00AE0C64">
        <w:rPr>
          <w:rFonts w:ascii="Times New Roman" w:hAnsi="Times New Roman" w:cs="Times New Roman"/>
          <w:sz w:val="24"/>
          <w:szCs w:val="24"/>
        </w:rPr>
        <w:t>којим је прописана</w:t>
      </w:r>
      <w:r w:rsidRPr="00203E0A">
        <w:rPr>
          <w:rFonts w:ascii="Times New Roman" w:hAnsi="Times New Roman" w:cs="Times New Roman"/>
          <w:sz w:val="24"/>
          <w:szCs w:val="24"/>
        </w:rPr>
        <w:t xml:space="preserve"> обавеза послодавца да омогући континуирано усавршавање знања у области безбедности и здравља на раду запосленом кога одреди за обављање тих послова, као и да обезбеди плаћено одсуство за континуирано усавршавање знања, ради обнавља</w:t>
      </w:r>
      <w:r w:rsidR="00AE0C64">
        <w:rPr>
          <w:rFonts w:ascii="Times New Roman" w:hAnsi="Times New Roman" w:cs="Times New Roman"/>
          <w:sz w:val="24"/>
          <w:szCs w:val="24"/>
        </w:rPr>
        <w:t>ња лиценце, у складу са законом;</w:t>
      </w:r>
    </w:p>
    <w:p w14:paraId="4D358E14" w14:textId="6EABA497" w:rsidR="00EC5D47" w:rsidRPr="00203E0A" w:rsidRDefault="48A77BA5" w:rsidP="48A77BA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 </w:t>
      </w:r>
      <w:r w:rsidR="00AE0C64">
        <w:rPr>
          <w:rFonts w:ascii="Times New Roman" w:hAnsi="Times New Roman" w:cs="Times New Roman"/>
          <w:sz w:val="24"/>
          <w:szCs w:val="24"/>
        </w:rPr>
        <w:t xml:space="preserve">којим се, </w:t>
      </w:r>
      <w:r w:rsidRPr="00203E0A">
        <w:rPr>
          <w:rFonts w:ascii="Times New Roman" w:hAnsi="Times New Roman" w:cs="Times New Roman"/>
          <w:sz w:val="24"/>
          <w:szCs w:val="24"/>
        </w:rPr>
        <w:t>ради информисања заинтересованих лица о издатим, обновљеним и одузетим лиценцама</w:t>
      </w:r>
      <w:r w:rsidR="00AE0C64">
        <w:rPr>
          <w:rFonts w:ascii="Times New Roman" w:hAnsi="Times New Roman" w:cs="Times New Roman"/>
          <w:sz w:val="24"/>
          <w:szCs w:val="24"/>
        </w:rPr>
        <w:t>, успоставља</w:t>
      </w:r>
      <w:r w:rsidRPr="00203E0A">
        <w:rPr>
          <w:rFonts w:ascii="Times New Roman" w:hAnsi="Times New Roman" w:cs="Times New Roman"/>
          <w:sz w:val="24"/>
          <w:szCs w:val="24"/>
        </w:rPr>
        <w:t xml:space="preserve"> регистар лиценци. Регистар лиценци јесте јединствена, електронски вођена база података о издатим, обновљеним и одузетим лиценцама у складу са законом.</w:t>
      </w:r>
    </w:p>
    <w:p w14:paraId="1A9868E3" w14:textId="6B0CA614" w:rsidR="00EC5D47" w:rsidRPr="00203E0A" w:rsidRDefault="48A77BA5" w:rsidP="48A77BA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Досадашње искуство је показало да је многим лицима за безбедност и здравље на раду потребна континуирана обука и стално усавршавање, из чега произилази да је неопходно урадити ревизију подзаконских аката који би обавезали лица која се баве пословима безбедности и здравља на раду на присуство обукама, које би се бодовале и чиме би стекли услов за даљи рад на истом пољу. Лице за безбедност и здравље на раду</w:t>
      </w:r>
      <w:r w:rsidR="00AE0C64">
        <w:rPr>
          <w:rFonts w:ascii="Times New Roman" w:hAnsi="Times New Roman" w:cs="Times New Roman"/>
          <w:sz w:val="24"/>
          <w:szCs w:val="24"/>
        </w:rPr>
        <w:t>:</w:t>
      </w:r>
      <w:r w:rsidRPr="00203E0A">
        <w:rPr>
          <w:rFonts w:ascii="Times New Roman" w:hAnsi="Times New Roman" w:cs="Times New Roman"/>
          <w:sz w:val="24"/>
          <w:szCs w:val="24"/>
        </w:rPr>
        <w:t xml:space="preserve"> организује периодичне и превентивне прегледе запослених; учествује у опремању радних места и организује периодична испитивања услова радне околине; контролише примену мера безбедности и здравља на раду код послодавца и прати стање повреда на раду и професионалним обољењима и предлаже мере за смањење ризика; припрема упутства за безбедан рад и контролише примену, а забрањује рад на радном месту и/или употребу средстава за рад када утврди да прети непосредна опасност по живот. </w:t>
      </w:r>
    </w:p>
    <w:p w14:paraId="5606721E" w14:textId="3EAC99B1" w:rsidR="001A6EA6" w:rsidRPr="00203E0A" w:rsidRDefault="48A77BA5" w:rsidP="00D90441">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У европским и националним стратегијама као главни изазови у области безбедности и здравља на раду, истичу се заштита здравља запослених и превенција обољења на раду насталих услед стреса и психофизичког зам</w:t>
      </w:r>
      <w:r w:rsidR="0096040E">
        <w:rPr>
          <w:rFonts w:ascii="Times New Roman" w:hAnsi="Times New Roman" w:cs="Times New Roman"/>
          <w:sz w:val="24"/>
          <w:szCs w:val="24"/>
        </w:rPr>
        <w:t>ора. Додатно, пандемија COVID-19</w:t>
      </w:r>
      <w:r w:rsidRPr="00203E0A">
        <w:rPr>
          <w:rFonts w:ascii="Times New Roman" w:hAnsi="Times New Roman" w:cs="Times New Roman"/>
          <w:sz w:val="24"/>
          <w:szCs w:val="24"/>
        </w:rPr>
        <w:t xml:space="preserve"> је осим физичког, нарушила и психичко здравље запослених, а о постпандемијским последицама по психичко здравље запослених се још увек не зна довољно. </w:t>
      </w:r>
      <w:bookmarkStart w:id="26" w:name="_Toc126746530"/>
    </w:p>
    <w:p w14:paraId="6CDB6325" w14:textId="24F68A74" w:rsidR="00EC5D47" w:rsidRPr="00203E0A" w:rsidRDefault="48A77BA5" w:rsidP="00EA0EA6">
      <w:pPr>
        <w:spacing w:after="120" w:line="264" w:lineRule="auto"/>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3.8. Анализа оспособљености запослених за безбедан и здрав рад</w:t>
      </w:r>
      <w:bookmarkEnd w:id="26"/>
    </w:p>
    <w:p w14:paraId="37777E4C" w14:textId="77777777" w:rsidR="00EC5D47" w:rsidRPr="00203E0A" w:rsidRDefault="48A77BA5" w:rsidP="005C64DC">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Законска обавеза послодавца је да континуирано оспособљава запослене за безбедан и здрав рад од чега зависи безбедност и здравље запослених на раду. У пракси је уочено неколико проблема. Пре свега, део послодаваца не оспособљава запослене за безбедан и здрав рад. </w:t>
      </w:r>
      <w:r w:rsidRPr="00203E0A">
        <w:rPr>
          <w:rFonts w:ascii="Times New Roman" w:hAnsi="Times New Roman" w:cs="Times New Roman"/>
          <w:sz w:val="24"/>
          <w:szCs w:val="24"/>
        </w:rPr>
        <w:t xml:space="preserve">Поред тога, запослени често нису упознати са свим врстама ризика и конкретним ризицима који су наведени у акту о процени ризика нити су консултовани </w:t>
      </w:r>
      <w:r w:rsidRPr="00203E0A">
        <w:rPr>
          <w:rFonts w:ascii="Times New Roman" w:hAnsi="Times New Roman" w:cs="Times New Roman"/>
          <w:sz w:val="24"/>
          <w:szCs w:val="24"/>
        </w:rPr>
        <w:lastRenderedPageBreak/>
        <w:t xml:space="preserve">приликом поступка процене ризика. Такође, у пракси послодавци запосленог упућују да обавља послове на више радних места, а да </w:t>
      </w:r>
      <w:r w:rsidRPr="00203E0A">
        <w:rPr>
          <w:rFonts w:ascii="Times New Roman" w:hAnsi="Times New Roman" w:cs="Times New Roman"/>
          <w:color w:val="000000" w:themeColor="text1"/>
          <w:sz w:val="24"/>
          <w:szCs w:val="24"/>
        </w:rPr>
        <w:t xml:space="preserve">на сваком од тих радних места они нису </w:t>
      </w:r>
      <w:r w:rsidRPr="00203E0A">
        <w:rPr>
          <w:rFonts w:ascii="Times New Roman" w:hAnsi="Times New Roman" w:cs="Times New Roman"/>
          <w:sz w:val="24"/>
          <w:szCs w:val="24"/>
        </w:rPr>
        <w:t>оспособљени за безбедан и здрав рад. У пракси послодавци често не врше додатно оспособљавање запослених путем обавештења, инструкција или упутстава у писменој форми иако то технолошки процеси захтевају. Коначно, послодавци у прописану евиденцију о оспособљавању запослених за безбедан и здрав рад не уносе све прописане податке.</w:t>
      </w:r>
    </w:p>
    <w:p w14:paraId="72E9AB81" w14:textId="08B0D4C8" w:rsidR="00536D23" w:rsidRPr="00C02579" w:rsidRDefault="48A77BA5" w:rsidP="00C02579">
      <w:pPr>
        <w:spacing w:after="120" w:line="264" w:lineRule="auto"/>
        <w:ind w:firstLine="720"/>
        <w:jc w:val="both"/>
        <w:rPr>
          <w:rFonts w:ascii="Times New Roman" w:hAnsi="Times New Roman" w:cs="Times New Roman"/>
          <w:color w:val="000000" w:themeColor="text1"/>
          <w:sz w:val="24"/>
          <w:szCs w:val="24"/>
        </w:rPr>
      </w:pPr>
      <w:r w:rsidRPr="00203E0A">
        <w:rPr>
          <w:rFonts w:ascii="Times New Roman" w:hAnsi="Times New Roman" w:cs="Times New Roman"/>
          <w:sz w:val="24"/>
          <w:szCs w:val="24"/>
        </w:rPr>
        <w:t xml:space="preserve">У периоду спровођења претходне стратегије уочен је незнатан помак, тако да је учешће послодаваца који нису адекватно оспособили запослене за безбедан и здрав рад пао на 18%. То </w:t>
      </w:r>
      <w:r w:rsidR="00AE0C64">
        <w:rPr>
          <w:rFonts w:ascii="Times New Roman" w:hAnsi="Times New Roman" w:cs="Times New Roman"/>
          <w:sz w:val="24"/>
          <w:szCs w:val="24"/>
        </w:rPr>
        <w:t>значи да је за 2%</w:t>
      </w:r>
      <w:r w:rsidRPr="00203E0A">
        <w:rPr>
          <w:rFonts w:ascii="Times New Roman" w:hAnsi="Times New Roman" w:cs="Times New Roman"/>
          <w:sz w:val="24"/>
          <w:szCs w:val="24"/>
        </w:rPr>
        <w:t xml:space="preserve"> увећано учешће послодаваца који су</w:t>
      </w:r>
      <w:r w:rsidRPr="00203E0A">
        <w:rPr>
          <w:rFonts w:ascii="Times New Roman" w:hAnsi="Times New Roman" w:cs="Times New Roman"/>
          <w:color w:val="000000" w:themeColor="text1"/>
          <w:sz w:val="24"/>
          <w:szCs w:val="24"/>
        </w:rPr>
        <w:t xml:space="preserve"> спровели оспособљавање. Може се констатовати да је учешће послодаваца који нису оспособили запослене и даље релативно високо и чини скоро петину свих послодаваца.</w:t>
      </w:r>
    </w:p>
    <w:p w14:paraId="2286217C" w14:textId="77777777" w:rsidR="002D6A3F" w:rsidRPr="00203E0A" w:rsidRDefault="48A77BA5" w:rsidP="48A77BA5">
      <w:pPr>
        <w:spacing w:after="120" w:line="264" w:lineRule="auto"/>
        <w:ind w:firstLine="720"/>
        <w:jc w:val="both"/>
        <w:rPr>
          <w:rFonts w:ascii="Times New Roman" w:hAnsi="Times New Roman" w:cs="Times New Roman"/>
          <w:b/>
          <w:bCs/>
          <w:color w:val="000000"/>
          <w:sz w:val="24"/>
          <w:szCs w:val="24"/>
        </w:rPr>
      </w:pPr>
      <w:bookmarkStart w:id="27" w:name="_Toc126746531"/>
      <w:r w:rsidRPr="00203E0A">
        <w:rPr>
          <w:rFonts w:ascii="Times New Roman" w:hAnsi="Times New Roman" w:cs="Times New Roman"/>
          <w:b/>
          <w:bCs/>
          <w:color w:val="000000" w:themeColor="text1"/>
          <w:sz w:val="24"/>
          <w:szCs w:val="24"/>
        </w:rPr>
        <w:t>4. АНАЛИЗА ОЧЕКИВАНИХ УТИЦАЈА</w:t>
      </w:r>
      <w:bookmarkStart w:id="28" w:name="_Toc126746532"/>
      <w:bookmarkEnd w:id="27"/>
    </w:p>
    <w:p w14:paraId="3A92631A" w14:textId="00AB85EE" w:rsidR="002369CA" w:rsidRPr="00203E0A" w:rsidRDefault="48A77BA5" w:rsidP="48A77BA5">
      <w:pPr>
        <w:spacing w:after="120" w:line="264" w:lineRule="auto"/>
        <w:ind w:firstLine="720"/>
        <w:jc w:val="both"/>
        <w:rPr>
          <w:rFonts w:ascii="Times New Roman" w:hAnsi="Times New Roman" w:cs="Times New Roman"/>
          <w:b/>
          <w:bCs/>
          <w:sz w:val="24"/>
          <w:szCs w:val="24"/>
        </w:rPr>
      </w:pPr>
      <w:r w:rsidRPr="00203E0A">
        <w:rPr>
          <w:rFonts w:ascii="Times New Roman" w:hAnsi="Times New Roman" w:cs="Times New Roman"/>
          <w:b/>
          <w:bCs/>
          <w:color w:val="000000" w:themeColor="text1"/>
          <w:sz w:val="24"/>
          <w:szCs w:val="24"/>
        </w:rPr>
        <w:t>4</w:t>
      </w:r>
      <w:r w:rsidRPr="00203E0A">
        <w:rPr>
          <w:rFonts w:ascii="Times New Roman" w:hAnsi="Times New Roman" w:cs="Times New Roman"/>
          <w:b/>
          <w:bCs/>
          <w:sz w:val="24"/>
          <w:szCs w:val="24"/>
        </w:rPr>
        <w:t>.1. Утицај климатских промена</w:t>
      </w:r>
      <w:bookmarkEnd w:id="28"/>
    </w:p>
    <w:p w14:paraId="1CF0A8F3" w14:textId="484983F0" w:rsidR="002369CA" w:rsidRPr="00203E0A" w:rsidRDefault="002369CA" w:rsidP="00E364A9">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Стратегија треба да препозна и измењене околности и очекиване промене климе. Наиме, поред низа фактора, способност за рад условљена је температуром и влажношћу ваздуха, што је посебно присутно у измењеним климатским условима, посебно код занимања која се одвијају на отвореном и у којима је присутна изложеност климатским условима. Утицаји климатских промена на здравље могу бити релативно тренутни или одложени. Одложени ефекти укључују смањену продуктивност запослених. Четири сектора се посебно издвајају у погледу изложености временским условима, а то су пољопривреда, грађевинарство, индустрија и услуге. Према проценама, 1990. године у ова четири сектора у Републици Србији је изгубљено 5 милиона радних сати као последица изложености високим температурама</w:t>
      </w:r>
      <w:r w:rsidR="00320183">
        <w:rPr>
          <w:rFonts w:ascii="Times New Roman" w:hAnsi="Times New Roman" w:cs="Times New Roman"/>
          <w:sz w:val="24"/>
          <w:szCs w:val="24"/>
          <w:lang w:val="sr-Latn-RS"/>
        </w:rPr>
        <w:t>.</w:t>
      </w:r>
      <w:r w:rsidRPr="00203E0A">
        <w:rPr>
          <w:rFonts w:ascii="Times New Roman" w:hAnsi="Times New Roman" w:cs="Times New Roman"/>
          <w:sz w:val="24"/>
          <w:szCs w:val="24"/>
        </w:rPr>
        <w:t xml:space="preserve"> У 2020. години губитак је процењен на 9 милиона радних сати.</w:t>
      </w:r>
      <w:r w:rsidRPr="00203E0A">
        <w:rPr>
          <w:rStyle w:val="FootnoteReference"/>
          <w:rFonts w:ascii="Times New Roman" w:hAnsi="Times New Roman" w:cs="Times New Roman"/>
          <w:sz w:val="24"/>
          <w:szCs w:val="24"/>
        </w:rPr>
        <w:footnoteReference w:id="21"/>
      </w:r>
      <w:r w:rsidRPr="00203E0A">
        <w:rPr>
          <w:rFonts w:ascii="Times New Roman" w:hAnsi="Times New Roman" w:cs="Times New Roman"/>
          <w:sz w:val="24"/>
          <w:szCs w:val="24"/>
        </w:rPr>
        <w:t xml:space="preserve"> У периоду спровођења Стратегије, потребно је анализирати постојећи систем обавештавања у случају екстремних временских догађаја и</w:t>
      </w:r>
      <w:r w:rsidRPr="00203E0A">
        <w:rPr>
          <w:rFonts w:ascii="Times New Roman" w:hAnsi="Times New Roman" w:cs="Times New Roman"/>
          <w:color w:val="000000"/>
          <w:sz w:val="24"/>
          <w:szCs w:val="24"/>
        </w:rPr>
        <w:t xml:space="preserve"> </w:t>
      </w:r>
      <w:r w:rsidRPr="00203E0A">
        <w:rPr>
          <w:rFonts w:ascii="Times New Roman" w:hAnsi="Times New Roman" w:cs="Times New Roman"/>
          <w:sz w:val="24"/>
          <w:szCs w:val="24"/>
        </w:rPr>
        <w:t>предложити мере како би се он унапредио.</w:t>
      </w:r>
    </w:p>
    <w:p w14:paraId="578E3736" w14:textId="16F9E3FD" w:rsidR="002369CA" w:rsidRPr="00203E0A" w:rsidRDefault="48A77BA5" w:rsidP="48A77BA5">
      <w:pPr>
        <w:spacing w:after="120" w:line="264" w:lineRule="auto"/>
        <w:ind w:firstLine="720"/>
        <w:jc w:val="both"/>
        <w:rPr>
          <w:rFonts w:ascii="Times New Roman" w:hAnsi="Times New Roman" w:cs="Times New Roman"/>
          <w:b/>
          <w:bCs/>
          <w:sz w:val="24"/>
          <w:szCs w:val="24"/>
        </w:rPr>
      </w:pPr>
      <w:bookmarkStart w:id="29" w:name="_Toc126746533"/>
      <w:r w:rsidRPr="00203E0A">
        <w:rPr>
          <w:rFonts w:ascii="Times New Roman" w:hAnsi="Times New Roman" w:cs="Times New Roman"/>
          <w:b/>
          <w:bCs/>
          <w:sz w:val="24"/>
          <w:szCs w:val="24"/>
        </w:rPr>
        <w:t xml:space="preserve">4.2. Утицај </w:t>
      </w:r>
      <w:bookmarkEnd w:id="29"/>
      <w:r w:rsidRPr="00203E0A">
        <w:rPr>
          <w:rFonts w:ascii="Times New Roman" w:hAnsi="Times New Roman" w:cs="Times New Roman"/>
          <w:b/>
          <w:bCs/>
          <w:sz w:val="24"/>
          <w:szCs w:val="24"/>
        </w:rPr>
        <w:t>COVID-19</w:t>
      </w:r>
    </w:p>
    <w:p w14:paraId="05E8F0A8" w14:textId="71137958" w:rsidR="002369CA" w:rsidRPr="00203E0A" w:rsidRDefault="48A77BA5" w:rsidP="00E364A9">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Пандемија</w:t>
      </w:r>
      <w:r w:rsidR="00E77322">
        <w:rPr>
          <w:rFonts w:ascii="Times New Roman" w:hAnsi="Times New Roman" w:cs="Times New Roman"/>
          <w:sz w:val="24"/>
          <w:szCs w:val="24"/>
        </w:rPr>
        <w:t xml:space="preserve"> COVID-19 </w:t>
      </w:r>
      <w:r w:rsidRPr="00203E0A">
        <w:rPr>
          <w:rFonts w:ascii="Times New Roman" w:hAnsi="Times New Roman" w:cs="Times New Roman"/>
          <w:sz w:val="24"/>
          <w:szCs w:val="24"/>
        </w:rPr>
        <w:t>показала је колико је безбедност и здравље на раду пресудна за заштиту здравља запослених, за функционисање нашег друштва и за континуитет критичних економских и социјал</w:t>
      </w:r>
      <w:r w:rsidR="00401C41">
        <w:rPr>
          <w:rFonts w:ascii="Times New Roman" w:hAnsi="Times New Roman" w:cs="Times New Roman"/>
          <w:sz w:val="24"/>
          <w:szCs w:val="24"/>
        </w:rPr>
        <w:t xml:space="preserve">них активности. Пут ка опоравку </w:t>
      </w:r>
      <w:r w:rsidRPr="00203E0A">
        <w:rPr>
          <w:rFonts w:ascii="Times New Roman" w:hAnsi="Times New Roman" w:cs="Times New Roman"/>
          <w:sz w:val="24"/>
          <w:szCs w:val="24"/>
        </w:rPr>
        <w:t>и поновном активирању продуктивности такође мора да укључи обновљену посвећеност одржавању безбедности и здравља на раду у првом плану и побољшању синергије између безбедности и здравља на раду и јавних политика.</w:t>
      </w:r>
    </w:p>
    <w:p w14:paraId="619E5F00" w14:textId="63D3B71B" w:rsidR="00242B9D" w:rsidRPr="00203E0A" w:rsidRDefault="48A77BA5" w:rsidP="005C64DC">
      <w:pPr>
        <w:spacing w:after="120" w:line="264" w:lineRule="auto"/>
        <w:ind w:firstLine="720"/>
        <w:jc w:val="both"/>
        <w:rPr>
          <w:rFonts w:ascii="Times New Roman" w:hAnsi="Times New Roman" w:cs="Times New Roman"/>
          <w:sz w:val="24"/>
          <w:szCs w:val="24"/>
          <w:vertAlign w:val="superscript"/>
        </w:rPr>
      </w:pPr>
      <w:r w:rsidRPr="00203E0A">
        <w:rPr>
          <w:rFonts w:ascii="Times New Roman" w:hAnsi="Times New Roman" w:cs="Times New Roman"/>
          <w:sz w:val="24"/>
          <w:szCs w:val="24"/>
        </w:rPr>
        <w:lastRenderedPageBreak/>
        <w:t>Пандемија COVID-19 је открила важност оквирне обавезе процене ризика и превентивних мера од стране послодавца за адресирање здравствених ризика запослених у случају здравствене кризе. Такође, изражена је потреба да запослени имају користи од радног окружења које смањује ризик од преноса заразних болести. Сходно томе Република Србија је 2020. године донела Правилник о превентивним мерама за безбедан и здрав рад за спречавање појаве и ширења епидемије заразне болести („Службени гласник РС”, број 94/20).</w:t>
      </w:r>
      <w:r w:rsidRPr="00203E0A">
        <w:rPr>
          <w:rFonts w:ascii="Times New Roman" w:hAnsi="Times New Roman" w:cs="Times New Roman"/>
          <w:sz w:val="24"/>
          <w:szCs w:val="24"/>
          <w:vertAlign w:val="superscript"/>
        </w:rPr>
        <w:t>22</w:t>
      </w:r>
    </w:p>
    <w:p w14:paraId="54650EEF" w14:textId="43670101" w:rsidR="002369CA" w:rsidRPr="00203E0A" w:rsidRDefault="48A77BA5" w:rsidP="005C64DC">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Од избијања пандемије, EU-OSHA Агенција за безбедност и здравље на раду ЕУ је у сарадњи са националним властима и социјалним партнерима развила низ докумената и алата, који су послодавцима, омогућили да знају како да се придржавају захтева из безбедности и здравља на раду у различитим фазама пандемија. Те смернице ће бити прилагођене постепеном разумевању ризика од стране науке и одговарајућих мера јавног здравља. </w:t>
      </w:r>
    </w:p>
    <w:p w14:paraId="43FABF9D" w14:textId="77777777" w:rsidR="002369CA" w:rsidRPr="00203E0A" w:rsidRDefault="48A77BA5" w:rsidP="005C64DC">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Поред тога, неопходно је развијати хитне процедуре и смернице ЕУ за безбедност и здравље на раду како би се омогућило брзо примењивање мера у потенцијалним здравственим кризама. То би, између осталог, укључивало одредбе за ажуриране процене ризика, претње по здравље у различитим секторима и на радним местима, као и с тим повезане националне планове за безбедност и здравље на раду. </w:t>
      </w:r>
    </w:p>
    <w:p w14:paraId="0595CD3E" w14:textId="7851A3F4" w:rsidR="002369CA" w:rsidRPr="00203E0A" w:rsidRDefault="48A77BA5" w:rsidP="005C64DC">
      <w:pPr>
        <w:spacing w:after="120" w:line="264" w:lineRule="auto"/>
        <w:ind w:firstLine="720"/>
        <w:jc w:val="both"/>
        <w:rPr>
          <w:rFonts w:ascii="Times New Roman" w:hAnsi="Times New Roman" w:cs="Times New Roman"/>
          <w:sz w:val="24"/>
          <w:szCs w:val="24"/>
          <w:vertAlign w:val="superscript"/>
        </w:rPr>
      </w:pPr>
      <w:r w:rsidRPr="00203E0A">
        <w:rPr>
          <w:rFonts w:ascii="Times New Roman" w:hAnsi="Times New Roman" w:cs="Times New Roman"/>
          <w:sz w:val="24"/>
          <w:szCs w:val="24"/>
        </w:rPr>
        <w:t>Пандемија је такође нагласила да, у неким случајевима, мобилни и прекогранични запослени, укључујући сезонске раднике, могу бити више изложени нездравим или небезбедним условима живота и рада, као што су лош или пренатрпан смештај или недостатак информација о њиховим правима. Европска агенција за рад, уз подршку Европске комисије, такође је покренула у јуну 2021. кампању за подизање св</w:t>
      </w:r>
      <w:r w:rsidR="00320183">
        <w:rPr>
          <w:rFonts w:ascii="Times New Roman" w:hAnsi="Times New Roman" w:cs="Times New Roman"/>
          <w:sz w:val="24"/>
          <w:szCs w:val="24"/>
        </w:rPr>
        <w:t>ести „Права за сва годишња доба”</w:t>
      </w:r>
      <w:r w:rsidRPr="00203E0A">
        <w:rPr>
          <w:rFonts w:ascii="Times New Roman" w:hAnsi="Times New Roman" w:cs="Times New Roman"/>
          <w:sz w:val="24"/>
          <w:szCs w:val="24"/>
        </w:rPr>
        <w:t>, скрећући пажњу на потребу унапређења поштених и сигурних услова рада за сезонске раднике. Поред тога, Агенција за безбедност и здравље на раду ЕУ је спровела, у сарадњи са вишим инспекторима рада, истраживање о ставовима инспектора рада о високо ризичним занимањима</w:t>
      </w:r>
      <w:r w:rsidRPr="00203E0A">
        <w:rPr>
          <w:rFonts w:ascii="Times New Roman" w:hAnsi="Times New Roman" w:cs="Times New Roman"/>
          <w:color w:val="FF0000"/>
          <w:sz w:val="24"/>
          <w:szCs w:val="24"/>
        </w:rPr>
        <w:t xml:space="preserve"> </w:t>
      </w:r>
      <w:r w:rsidRPr="00203E0A">
        <w:rPr>
          <w:rFonts w:ascii="Times New Roman" w:hAnsi="Times New Roman" w:cs="Times New Roman"/>
          <w:sz w:val="24"/>
          <w:szCs w:val="24"/>
        </w:rPr>
        <w:t>(објављено у јулу 2023. године).</w:t>
      </w:r>
      <w:r w:rsidR="00780826">
        <w:rPr>
          <w:rStyle w:val="FootnoteReference"/>
          <w:rFonts w:ascii="Times New Roman" w:hAnsi="Times New Roman" w:cs="Times New Roman"/>
          <w:sz w:val="24"/>
          <w:szCs w:val="24"/>
        </w:rPr>
        <w:footnoteReference w:id="22"/>
      </w:r>
    </w:p>
    <w:p w14:paraId="299AB9CE" w14:textId="771F6AB9" w:rsidR="00020026" w:rsidRPr="00203E0A" w:rsidRDefault="48A77BA5" w:rsidP="00A15E65">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Иако је приступ ЕУ за заштиту на раду усмерен на превенцију, такође је важно подржати заражене раднике и породице које су изгубиле чланове породице због изложености SARS-CоV-2 на послу. У том циљу, већина држава чланица известила је да признају COVID-19 као професионалну болест. </w:t>
      </w:r>
    </w:p>
    <w:p w14:paraId="1B38DE95" w14:textId="77777777" w:rsidR="004E7987" w:rsidRPr="00203E0A" w:rsidRDefault="004E7987" w:rsidP="004E7987">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Национална култура безбедности и здравља на раду је она у којој се право на безбедну и здраву радну средину поштује на свим нивоима, где влада, послодавци и запослени активно учествују кроз систем дефинисаних права, одговорности и обавеза и где се највећи приоритет примењује на принципу превенције.</w:t>
      </w:r>
    </w:p>
    <w:p w14:paraId="34E2F2DE" w14:textId="74EA714C" w:rsidR="00E364A9" w:rsidRPr="00203E0A" w:rsidRDefault="48A77BA5" w:rsidP="00E3008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На националном нивоу, изградња и одржавање културе превенције у области безбедности и здравља на раду захтева коришћење свих расположивих средстава како би се повећали општа свест, знање о опасностима и ризицима и разумевање њихове превенције и контроле. Дијалог на трипартитном нивоу и националне активности, </w:t>
      </w:r>
      <w:r w:rsidRPr="00203E0A">
        <w:rPr>
          <w:rFonts w:ascii="Times New Roman" w:hAnsi="Times New Roman" w:cs="Times New Roman"/>
          <w:sz w:val="24"/>
          <w:szCs w:val="24"/>
        </w:rPr>
        <w:lastRenderedPageBreak/>
        <w:t>кључни су за стварање дугорочних унапређења у области безбедности и здравља на раду. Томе доприноси омогућавање размене искуства и примера добре праксе у области безбедности и здравља на раду.</w:t>
      </w:r>
      <w:bookmarkStart w:id="30" w:name="_Toc126746534"/>
    </w:p>
    <w:p w14:paraId="610976AF" w14:textId="3FE3B7E6" w:rsidR="002369CA" w:rsidRPr="00203E0A" w:rsidRDefault="48A77BA5" w:rsidP="48A77BA5">
      <w:pPr>
        <w:spacing w:after="120" w:line="264" w:lineRule="auto"/>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4.3. Утицај дигитализације и технолошких промена</w:t>
      </w:r>
      <w:bookmarkEnd w:id="30"/>
    </w:p>
    <w:p w14:paraId="7F0C0A47" w14:textId="2A417348" w:rsidR="002369CA" w:rsidRPr="00203E0A" w:rsidRDefault="48A77BA5" w:rsidP="005C64DC">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Поред социо-психолошких компоненти, постоје и физичке. На пример, мањи број запослених има ергономски дизајнирано радно место, док време седења због рада пред екраном постаје све дуже, а посебно од пандемије. Долази до значајног смањења кретања, а дуго и нединамично седење доводи до мишићно-скелетних поремећаја. Такође, долази до оштећења вида и упала тетива услед монотоних и понављајућих покрета. Коначно, стални ментални и физички стрес изазван све учесталијим радом условљен дигитализацијом доводи до типичних распрострањених болести као што су сагоревање, кардиоваскуларне болести (срчани удари, мождани удари) и дегенеративне болести мишићно-скелетног система. Имплементацијом дигиталне трансформације и транзиције очекује се пораст овог тренда. </w:t>
      </w:r>
    </w:p>
    <w:p w14:paraId="0BF33750" w14:textId="0460AC05" w:rsidR="002369CA" w:rsidRPr="00203E0A" w:rsidRDefault="48A77BA5" w:rsidP="48A77BA5">
      <w:pPr>
        <w:spacing w:after="120" w:line="264" w:lineRule="auto"/>
        <w:ind w:firstLine="720"/>
        <w:jc w:val="both"/>
        <w:rPr>
          <w:rFonts w:ascii="Times New Roman" w:hAnsi="Times New Roman" w:cs="Times New Roman"/>
          <w:b/>
          <w:bCs/>
          <w:sz w:val="24"/>
          <w:szCs w:val="24"/>
        </w:rPr>
      </w:pPr>
      <w:bookmarkStart w:id="31" w:name="_Toc126746535"/>
      <w:r w:rsidRPr="00203E0A">
        <w:rPr>
          <w:rFonts w:ascii="Times New Roman" w:hAnsi="Times New Roman" w:cs="Times New Roman"/>
          <w:b/>
          <w:bCs/>
          <w:sz w:val="24"/>
          <w:szCs w:val="24"/>
        </w:rPr>
        <w:t>4.4. Утицај инвестиција на безбедност и здравље на раду</w:t>
      </w:r>
      <w:bookmarkEnd w:id="31"/>
    </w:p>
    <w:p w14:paraId="37BF662E" w14:textId="77777777" w:rsidR="00AC5F6A" w:rsidRPr="00203E0A" w:rsidRDefault="48A77BA5" w:rsidP="008F0E1F">
      <w:pPr>
        <w:spacing w:after="120" w:line="264" w:lineRule="auto"/>
        <w:ind w:firstLine="720"/>
        <w:jc w:val="both"/>
        <w:rPr>
          <w:rFonts w:ascii="Times New Roman" w:hAnsi="Times New Roman" w:cs="Times New Roman"/>
          <w:color w:val="000000"/>
          <w:sz w:val="24"/>
          <w:szCs w:val="24"/>
        </w:rPr>
      </w:pPr>
      <w:r w:rsidRPr="00203E0A">
        <w:rPr>
          <w:rFonts w:ascii="Times New Roman" w:hAnsi="Times New Roman" w:cs="Times New Roman"/>
          <w:sz w:val="24"/>
          <w:szCs w:val="24"/>
        </w:rPr>
        <w:t xml:space="preserve">Инвестиције у безбедност и здравље на раду у основи чине улагање у унапређење безбедности и здравља на раду и услова рада, набавку нове опреме, замену опасних </w:t>
      </w:r>
      <w:r w:rsidRPr="00203E0A">
        <w:rPr>
          <w:rFonts w:ascii="Times New Roman" w:hAnsi="Times New Roman" w:cs="Times New Roman"/>
          <w:color w:val="000000" w:themeColor="text1"/>
          <w:sz w:val="24"/>
          <w:szCs w:val="24"/>
        </w:rPr>
        <w:t xml:space="preserve">хемикалија безопасним или мање опасним, набавку средстава и опреме за личну заштиту на раду, праћење здравственог стања, оспособљавање запослених, организацију послова безбедности и здравља на раду и др. </w:t>
      </w:r>
    </w:p>
    <w:p w14:paraId="0C9DB2BC" w14:textId="7B6C2CA8" w:rsidR="002369CA" w:rsidRPr="00203E0A" w:rsidRDefault="48A77BA5" w:rsidP="008F0E1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Улагање средстава у унапређење безбедности и здравља на раду и подизање културе превенције стална је потреба послодаваца, запослених и друштвене заједнице. Разумевање безбедности и здравља на раду као </w:t>
      </w:r>
      <w:r w:rsidRPr="00203E0A">
        <w:rPr>
          <w:rFonts w:ascii="Times New Roman" w:hAnsi="Times New Roman" w:cs="Times New Roman"/>
          <w:sz w:val="24"/>
          <w:szCs w:val="24"/>
        </w:rPr>
        <w:t>економског, социјалног и техничко-технолошког феномена од стране послодаваца и запослених је предуслов успешне превенције повреда на раду и професионалних болести.</w:t>
      </w:r>
    </w:p>
    <w:p w14:paraId="18DE9264" w14:textId="77777777" w:rsidR="002369CA" w:rsidRPr="00203E0A" w:rsidRDefault="48A77BA5" w:rsidP="008F0E1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Основни економски елементи који имају утицај на безбедност и здравље на раду могу се сврстати у две групе:</w:t>
      </w:r>
    </w:p>
    <w:p w14:paraId="2DA2D3BB" w14:textId="77C8319B" w:rsidR="002369CA" w:rsidRPr="00203E0A" w:rsidRDefault="48A77BA5" w:rsidP="008F0E1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1) инвестиције за обезбеђивање и унапређење услова рада којима се повреде на раду и професионалне болести смањују на најмању могућу меру;</w:t>
      </w:r>
    </w:p>
    <w:p w14:paraId="5AA178C2" w14:textId="3EC92A1A" w:rsidR="002369CA" w:rsidRPr="00203E0A" w:rsidRDefault="48A77BA5" w:rsidP="008F0E1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2) трошкове последица повреда на раду и професионалних болести које, посредно или непосредно, сносе послодавци, повређени, њихове породице и друштвена заједница.</w:t>
      </w:r>
    </w:p>
    <w:p w14:paraId="7FA2A3C8" w14:textId="77777777" w:rsidR="002369CA" w:rsidRPr="00203E0A" w:rsidRDefault="48A77BA5" w:rsidP="008F0E1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Ове две групе су узајамно зависне по функцији и последицама тако да већа улагања у унапређење услова рада смањују трошкове последица повреда на раду и професионалних болести чиме директно утичу на пословање привредних субјеката.</w:t>
      </w:r>
    </w:p>
    <w:p w14:paraId="1D7232C9"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Трошкове последица повреда на раду и професионалних болести у основи чине трошкови накнаде запосленом због претрпљене штете, причињене материјалне штете, застоји у производњи и поремећаји у организацији рада, ангажовања других запослених због замене повређених, замене опреме, трошкови услед покретања прекршајних и/или кривичних поступака и административни трошкови. Ови трошкови утичу на губитак пословног угледа, као и на морал и мотивисаност запослених.</w:t>
      </w:r>
    </w:p>
    <w:p w14:paraId="4112F7B3" w14:textId="50827A3C" w:rsidR="002369CA" w:rsidRPr="00203E0A" w:rsidRDefault="48A77BA5" w:rsidP="00E364A9">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Сви трошкови који настају као последица повреда на раду, професионалних болести и болести у вези са радом могу се поделити на директне и индиректне. На нивоу </w:t>
      </w:r>
      <w:r w:rsidRPr="00203E0A">
        <w:rPr>
          <w:rFonts w:ascii="Times New Roman" w:hAnsi="Times New Roman" w:cs="Times New Roman"/>
          <w:color w:val="000000" w:themeColor="text1"/>
          <w:sz w:val="24"/>
          <w:szCs w:val="24"/>
        </w:rPr>
        <w:lastRenderedPageBreak/>
        <w:t>послодавца трошкови се прате и на основу изгубљених радних сати због повреда на</w:t>
      </w:r>
      <w:r w:rsidR="00884FAE">
        <w:rPr>
          <w:rFonts w:ascii="Times New Roman" w:hAnsi="Times New Roman" w:cs="Times New Roman"/>
          <w:color w:val="000000" w:themeColor="text1"/>
          <w:sz w:val="24"/>
          <w:szCs w:val="24"/>
        </w:rPr>
        <w:t xml:space="preserve"> раду и професионалних болести. </w:t>
      </w:r>
      <w:r w:rsidRPr="00203E0A">
        <w:rPr>
          <w:rFonts w:ascii="Times New Roman" w:hAnsi="Times New Roman" w:cs="Times New Roman"/>
          <w:color w:val="000000" w:themeColor="text1"/>
          <w:sz w:val="24"/>
          <w:szCs w:val="24"/>
        </w:rPr>
        <w:t>На нивоу државе део трошкова повреда на раду и професионалних болести сносе Републички фонд за здравствено осигурање и Републички фонд за пензијско и инвалидско осигурање.</w:t>
      </w:r>
    </w:p>
    <w:p w14:paraId="0FB56E17" w14:textId="306A4284" w:rsidR="002369CA"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4.5. Утицај миграторних кретања</w:t>
      </w:r>
    </w:p>
    <w:p w14:paraId="3E4D1696" w14:textId="5D92D52D" w:rsidR="002369CA" w:rsidRPr="00203E0A" w:rsidRDefault="48A77BA5" w:rsidP="00E364A9">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У 2022. години, у Републици Србији  издато је укупно 35.174 дозвола за рад страним држављанима, у 2021. години 23.662, а у 2020. години 12.932 дозвола за рад. Национална служба за запошљавање је у прва два месеца 2023. године странцима издала више од 8.000 дозвола за рад. Процењује се да од напред наведених издатих дозвола за рад око 30% страних држављана ради у „сивој зони” или „ради на црно”. </w:t>
      </w:r>
    </w:p>
    <w:p w14:paraId="2E68551B" w14:textId="42DB914F" w:rsidR="002369CA" w:rsidRPr="00203E0A" w:rsidRDefault="48A77BA5" w:rsidP="00E364A9">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Највећи број страних радника у претходној години био је ангажован пре свега у области грађевинарства. Ради се о различитим профилима грађевинских радника –  зидарима, армирачима, помоћним грађевинским радницима, гипсарима, тесарима, столарима. Велики број дозвола издат је и вариоцима. Такође, већи број дозвола за рад издат је ИТ стручњацима из различитих области ИТ делатности.</w:t>
      </w:r>
    </w:p>
    <w:p w14:paraId="7395B3C3" w14:textId="77777777" w:rsidR="002369CA" w:rsidRPr="00203E0A" w:rsidRDefault="48A77BA5" w:rsidP="00E364A9">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Осим тога, значајан број странаца ангажовани су као помоћни радници у различитим гранама привреде, попут услужних делатности, у угоститељству и хотелијерству. Процењује се да у угоститељству у Србији тренутно недостаје 20.000 до 25.000 радника. Од оних који су напуштали хотеле, а таквих је годинама уназад детектовано више од 6.000, око половина је одлазила да ради у компаније у другим делатностима.</w:t>
      </w:r>
    </w:p>
    <w:p w14:paraId="4430599D" w14:textId="77777777" w:rsidR="00E364A9" w:rsidRPr="00203E0A" w:rsidRDefault="48A77BA5" w:rsidP="48A77BA5">
      <w:pPr>
        <w:spacing w:after="150"/>
        <w:ind w:firstLine="720"/>
        <w:jc w:val="both"/>
        <w:rPr>
          <w:rFonts w:ascii="Times New Roman" w:hAnsi="Times New Roman" w:cs="Times New Roman"/>
          <w:b/>
          <w:bCs/>
          <w:color w:val="000000"/>
          <w:sz w:val="24"/>
          <w:szCs w:val="24"/>
        </w:rPr>
      </w:pPr>
      <w:bookmarkStart w:id="32" w:name="_Toc126746536"/>
      <w:r w:rsidRPr="00203E0A">
        <w:rPr>
          <w:rFonts w:ascii="Times New Roman" w:hAnsi="Times New Roman" w:cs="Times New Roman"/>
          <w:b/>
          <w:bCs/>
          <w:color w:val="000000" w:themeColor="text1"/>
          <w:sz w:val="24"/>
          <w:szCs w:val="24"/>
        </w:rPr>
        <w:t>4.6. Правци за даље унапређење безбедности и здравља на раду</w:t>
      </w:r>
      <w:bookmarkEnd w:id="32"/>
    </w:p>
    <w:p w14:paraId="5F04997C" w14:textId="152138AE" w:rsidR="002369CA" w:rsidRPr="00203E0A" w:rsidRDefault="48A77BA5" w:rsidP="00E364A9">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Како би се унапредио систем безбедности и здравља на раду потребно је нас</w:t>
      </w:r>
      <w:r w:rsidR="00035C24">
        <w:rPr>
          <w:rFonts w:ascii="Times New Roman" w:hAnsi="Times New Roman" w:cs="Times New Roman"/>
          <w:color w:val="000000" w:themeColor="text1"/>
          <w:sz w:val="24"/>
          <w:szCs w:val="24"/>
        </w:rPr>
        <w:t>тавити активности на унапређењу, односно</w:t>
      </w:r>
      <w:r w:rsidRPr="00203E0A">
        <w:rPr>
          <w:rFonts w:ascii="Times New Roman" w:hAnsi="Times New Roman" w:cs="Times New Roman"/>
          <w:color w:val="000000" w:themeColor="text1"/>
          <w:sz w:val="24"/>
          <w:szCs w:val="24"/>
        </w:rPr>
        <w:t xml:space="preserve"> прилагођавању законодавства и вршењем инспекцијских надзора над применом прописа, увођењу јединственог регистра повреда на раду, увођењу посебног осигурања од повреда на раду и професионалних болести,</w:t>
      </w:r>
      <w:r w:rsidR="00035C24">
        <w:rPr>
          <w:rFonts w:ascii="Times New Roman" w:hAnsi="Times New Roman" w:cs="Times New Roman"/>
          <w:color w:val="000000" w:themeColor="text1"/>
          <w:sz w:val="24"/>
          <w:szCs w:val="24"/>
        </w:rPr>
        <w:t xml:space="preserve"> унапређењу социјалног дијалога,</w:t>
      </w:r>
      <w:r w:rsidRPr="00203E0A">
        <w:rPr>
          <w:rFonts w:ascii="Times New Roman" w:hAnsi="Times New Roman" w:cs="Times New Roman"/>
          <w:color w:val="000000" w:themeColor="text1"/>
          <w:sz w:val="24"/>
          <w:szCs w:val="24"/>
        </w:rPr>
        <w:t xml:space="preserve"> здравља на раду, образовања и обука професионалног развоја, као и превазилажењу препознатих проблема у примени прописа.</w:t>
      </w:r>
    </w:p>
    <w:p w14:paraId="4E811904" w14:textId="1DEF7A48"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Увођење јединственог регистра повреда на раду јесте основ за праћење стања, анализу и успостављање ефикасније националне политике у овој области. Имајући у виду приоритете</w:t>
      </w:r>
      <w:r w:rsidR="00035C24">
        <w:rPr>
          <w:rFonts w:ascii="Times New Roman" w:hAnsi="Times New Roman" w:cs="Times New Roman"/>
          <w:color w:val="000000" w:themeColor="text1"/>
          <w:sz w:val="24"/>
          <w:szCs w:val="24"/>
        </w:rPr>
        <w:t xml:space="preserve"> Владе</w:t>
      </w:r>
      <w:r w:rsidRPr="00203E0A">
        <w:rPr>
          <w:rFonts w:ascii="Times New Roman" w:hAnsi="Times New Roman" w:cs="Times New Roman"/>
          <w:color w:val="000000" w:themeColor="text1"/>
          <w:sz w:val="24"/>
          <w:szCs w:val="24"/>
        </w:rPr>
        <w:t xml:space="preserve"> успостављање дигитализације на свим нивоима у државној управи, намеће се обавеза успостављања електронског регистра </w:t>
      </w:r>
      <w:r w:rsidRPr="00203E0A">
        <w:rPr>
          <w:rFonts w:ascii="Times New Roman" w:hAnsi="Times New Roman" w:cs="Times New Roman"/>
          <w:sz w:val="24"/>
          <w:szCs w:val="24"/>
        </w:rPr>
        <w:t>повреда на раду. Увођење јединственог регистра повреда на раду према Европској методологији повреда на раду (ESAW) је обавеза која је проистекла из Преговарачког поглавља 18 – Статистика.</w:t>
      </w:r>
    </w:p>
    <w:p w14:paraId="49A988AB" w14:textId="11EB5302" w:rsidR="002369CA" w:rsidRPr="00203E0A" w:rsidRDefault="002369CA" w:rsidP="00E364A9">
      <w:pPr>
        <w:ind w:firstLine="720"/>
        <w:jc w:val="both"/>
        <w:rPr>
          <w:rFonts w:ascii="Times New Roman" w:hAnsi="Times New Roman" w:cs="Times New Roman"/>
          <w:sz w:val="24"/>
          <w:szCs w:val="24"/>
        </w:rPr>
      </w:pPr>
      <w:r w:rsidRPr="00203E0A">
        <w:rPr>
          <w:rFonts w:ascii="Times New Roman" w:hAnsi="Times New Roman" w:cs="Times New Roman"/>
          <w:sz w:val="24"/>
          <w:szCs w:val="24"/>
        </w:rPr>
        <w:t>Управа за безбедност и здравље на раду припремила је софтвер – Регистар повреда на раду који треба да обезбеди да се евиденција о повредама на раду води у електронској форми. Како би овај софтвер постао потпуно функционалан неопходно је обезбедити његову комуникацију, путем е-портала, са Интегрисаним здравственим информационим системом Републике Србије</w:t>
      </w:r>
      <w:r w:rsidR="00682B41" w:rsidRPr="00203E0A">
        <w:rPr>
          <w:rStyle w:val="FootnoteReference"/>
          <w:rFonts w:ascii="Times New Roman" w:hAnsi="Times New Roman" w:cs="Times New Roman"/>
          <w:sz w:val="24"/>
          <w:szCs w:val="24"/>
        </w:rPr>
        <w:footnoteReference w:id="23"/>
      </w:r>
      <w:r w:rsidRPr="00203E0A">
        <w:rPr>
          <w:rFonts w:ascii="Times New Roman" w:hAnsi="Times New Roman" w:cs="Times New Roman"/>
          <w:sz w:val="24"/>
          <w:szCs w:val="24"/>
        </w:rPr>
        <w:t xml:space="preserve"> који води Министарство здравља и </w:t>
      </w:r>
      <w:r w:rsidRPr="00203E0A">
        <w:rPr>
          <w:rFonts w:ascii="Times New Roman" w:hAnsi="Times New Roman" w:cs="Times New Roman"/>
          <w:sz w:val="24"/>
          <w:szCs w:val="24"/>
        </w:rPr>
        <w:lastRenderedPageBreak/>
        <w:t>софтвером Републичког фонда за здравствено осигурање, а по потреби и са другим софтверима који воде надлежни органи.</w:t>
      </w:r>
    </w:p>
    <w:p w14:paraId="07ECD646"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Јединствени регистар повреда на раду може обезбедити бројне позитивне ефекте: електронску пријаву повреда на раду, смањење трошкова, уштеду времена за послодавце, убрзавање процеса остваривања права, доступности података о извору и узроку повреда на раду, систематску обраду и анализирање података. Такође, свим учесницима у систему безбедности и здравља на раду и заинтересованим странама (Управа за безбедност и здравље на раду, Инспекторат за рад, Републички фонд за здравствено осигурање, Републички фонд за пензијско и инвалидско осигурање, институти за медицину рада, образовне установе, послодавци, запослени, медији) могу бити доступни релевантни подаци о броју повреда на раду.</w:t>
      </w:r>
    </w:p>
    <w:p w14:paraId="23E50037"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Важан инструмент за бољу примену прописа из области безбедности и здравља на раду су инспекцијски надзори. Тек након спроведеног инспекцијског надзора многи послодавци и запослени постану свесни својих обавеза из ове области. Инспектори рада имају кључну улогу у борби против фактичког рада и у примени мера безбедности и здравља на раду. Ефективност Инспектората за рад у многоме зависи од стручности инспектора рада. Због тога је потребно обезбедити посебне обуке за инспекторе рада да препознају постојеће, нове и ризике у настајању, као и обуке у вези нових технологија.</w:t>
      </w:r>
    </w:p>
    <w:p w14:paraId="23460E15"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Социјални дијалог на нивоу Републике Србије представља трипартитни процес између представника репрезентативних синдиката и удружења послодаваца, са једне стране и Владе, аутономне покрајине и јединице локалне самоуправе са друге стране, а његови најважнији облици су колективно преговарање и социјално-економски савети. Када је реч о колективном преговарању може се оценити да је исти систем у значајној мери развијен у областима јавних служби, државних органа и јавних предузећа. Поред успостављених законских процедура, потребно је иницирати и друге активности које ће допринети унапређењу социјалног дијалога у Републици Србији.</w:t>
      </w:r>
    </w:p>
    <w:p w14:paraId="5196F5C6"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Посебну пажњу потребно је посветити даљем унапређењу здравља на раду чији је главни носилац здравствена установа која обавља делатност медицине рада. Термин „здравље на раду” традиционално подразумева не само превенцију професионалних болести и повреда на раду већ и очување и унапређење здравља и радне способности запослених, као и унапређење радне средине и стварање безбедних и здравих радних места. Здравље на раду представља важну политику како за обезбеђивање здравих услова за рад, тако и позитиван допринос националној економији кроз повећану продуктивност, побољшан квалитет производа, већу радну мотивацију, изражено задовољство послом и допринос кроз свеукупни квалитет живота запослених и друштва у целини. Здравствена установа која обавља делатност медицине рада има за циљ унапређење и обезбеђивање највећег степена физичког, менталног и социјалног благостања запослених у свим професијама, са посебним фокусом на превенцију, заштиту здравља запослених и њихову радну способност и капацитет.</w:t>
      </w:r>
    </w:p>
    <w:p w14:paraId="275F84F9" w14:textId="2972F321"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У систему безбедности и здравља на раду, концепт целоживотног учења и образовања сматра се стратешким концептом као одговор на промене у новом свету рада донесеним зеленим, дигиталним и демографским транзицијама, професионалне ризике </w:t>
      </w:r>
      <w:r w:rsidRPr="00203E0A">
        <w:rPr>
          <w:rFonts w:ascii="Times New Roman" w:hAnsi="Times New Roman" w:cs="Times New Roman"/>
          <w:sz w:val="24"/>
          <w:szCs w:val="24"/>
        </w:rPr>
        <w:lastRenderedPageBreak/>
        <w:t>и друге захтеве за унапређење знања и вештина. Полазећи од чињенице да су основне одреднице целоживотног учења и образовања континуитет и интеграција, намеће се потреба развоја свести од најранијег узраста о важности сопственог здравља и безбедности преко свих нивоа формалног образовања до различитих облика неформалног образовања. Поред образовно-васпитне делатности, потребно је подстицати развој научно-истраживачког рада, сарадњу и умрежавање високошколских установа (у националним, регионалним и међународним оквирима) кроз покретање пројеката, трансфер научних знања и пракси и других научних активности у овој области. Да би се ишло у корак са временом, технолошким и другим променама и одговорило, односно управљало ризицима у радној средини, неопходно је учење током целог живота. Зато се поред стеченог формалног образовања, знања из области безбедности и здравља на раду стичу неформалним образовањем и учењем. Када је реч о неформалном образовању, од посебног је значаја оспособљавање запослених, послодаваца, инспектора рада, саветника/сарадника за безбедност и здравље на раду и координатора кроз обуке континуалног професионалног развоја и друге облике неформалног образовања из области безбедности и здравља на раду. Стицање знања о безбедности и здрављу на раду у раном узрасту ствара добру основу за спречавање повреда на раду и професионалних болести касније током професионалног ангажовања.</w:t>
      </w:r>
    </w:p>
    <w:p w14:paraId="167D0858"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Потребно је олакшати успостављање система безбедности и здравља на раду за микро и мала предузећа у циљу примене мера за спречавање ризика. Посебна пажња фокусирана је на увођење Е-алата као помоћ микро и малим предузећима у спровођењу захтева из прописа безбедности и здравља на раду.</w:t>
      </w:r>
    </w:p>
    <w:p w14:paraId="55B5E12C" w14:textId="77777777" w:rsidR="002369CA" w:rsidRPr="00203E0A" w:rsidRDefault="48A77BA5" w:rsidP="00E364A9">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Поред претходно наведених активности потребно је радити на променама навика и подизању свести према области безбедности и здравља на раду што се може остварити организацијом различитих манифестација.</w:t>
      </w:r>
    </w:p>
    <w:p w14:paraId="3EDA194B" w14:textId="4E8BEA5F" w:rsidR="001A6EA6" w:rsidRDefault="48A77BA5" w:rsidP="0004486D">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Ризици који погађају одређене старосне групе, запослене са инвалидитетом и жене захтевају посебну пажњу и активности усмерене искључиво ка овим групама. Потребно је наставити рад на унапређењу заштите посебно осетљивих група запослених (труднице, млади, старији запослени, особе са </w:t>
      </w:r>
      <w:r w:rsidRPr="00203E0A">
        <w:rPr>
          <w:rFonts w:ascii="Times New Roman" w:hAnsi="Times New Roman" w:cs="Times New Roman"/>
          <w:sz w:val="24"/>
          <w:szCs w:val="24"/>
        </w:rPr>
        <w:t>инвалидитетом и др.).</w:t>
      </w:r>
      <w:bookmarkStart w:id="33" w:name="_Toc126746537"/>
    </w:p>
    <w:p w14:paraId="68AB102E" w14:textId="77777777" w:rsidR="00675F45" w:rsidRPr="0004486D" w:rsidRDefault="00675F45" w:rsidP="0004486D">
      <w:pPr>
        <w:spacing w:after="150"/>
        <w:ind w:firstLine="720"/>
        <w:jc w:val="both"/>
        <w:rPr>
          <w:rFonts w:ascii="Times New Roman" w:hAnsi="Times New Roman" w:cs="Times New Roman"/>
          <w:sz w:val="24"/>
          <w:szCs w:val="24"/>
        </w:rPr>
      </w:pPr>
    </w:p>
    <w:p w14:paraId="6B299057" w14:textId="24BBC655" w:rsidR="00C565C0"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5. ВИЗИЈА СТРАТЕГИЈЕ</w:t>
      </w:r>
      <w:bookmarkEnd w:id="33"/>
    </w:p>
    <w:p w14:paraId="34709B5C" w14:textId="2DC58B50" w:rsidR="00C565C0" w:rsidRDefault="48A77BA5" w:rsidP="0004486D">
      <w:pPr>
        <w:spacing w:after="150"/>
        <w:ind w:firstLine="720"/>
        <w:jc w:val="both"/>
        <w:rPr>
          <w:rFonts w:ascii="Times New Roman" w:hAnsi="Times New Roman" w:cs="Times New Roman"/>
          <w:color w:val="000000" w:themeColor="text1"/>
          <w:sz w:val="24"/>
          <w:szCs w:val="24"/>
        </w:rPr>
      </w:pPr>
      <w:bookmarkStart w:id="34" w:name="_Toc126746538"/>
      <w:r w:rsidRPr="00203E0A">
        <w:rPr>
          <w:rFonts w:ascii="Times New Roman" w:hAnsi="Times New Roman" w:cs="Times New Roman"/>
          <w:color w:val="000000" w:themeColor="text1"/>
          <w:sz w:val="24"/>
          <w:szCs w:val="24"/>
        </w:rPr>
        <w:t>Визија Стратегије је унапређење система којим се остварују безбедни и здрави радни услови, а који у највећој могућој мери обезбеђују смањење повреда на раду, професионалних болести и болести у вези са радом. Жељена промена се односи на све привредне субјекте и радно активно становништво и подразумева стварање претпоставки ка бољој примени и поштовању прописа, а посебно у високоризичним делатностима (грађевинарство, пољопривреда, шумарство и рибарство, рударство, прерађивачка индустрија, снабдевање електричном енергијом, гасом, паром и климатизација, снабдевање водом, управљање отпадним водама, контролисање процеса уклањања отпада и сличне активности и здравствена и социјална заштитa), као и према посебно осетљивим групама запослених (труднице, млади, старији запослени, особе са инвалидитетом и др) и сарадњу свих заинтересованих страна у систему безбедности и здравља на раду.</w:t>
      </w:r>
    </w:p>
    <w:p w14:paraId="0E7E40ED" w14:textId="77777777" w:rsidR="00675F45" w:rsidRPr="00203E0A" w:rsidRDefault="00675F45" w:rsidP="0004486D">
      <w:pPr>
        <w:spacing w:after="150"/>
        <w:ind w:firstLine="720"/>
        <w:jc w:val="both"/>
        <w:rPr>
          <w:rFonts w:ascii="Times New Roman" w:hAnsi="Times New Roman" w:cs="Times New Roman"/>
          <w:color w:val="000000"/>
          <w:sz w:val="24"/>
          <w:szCs w:val="24"/>
        </w:rPr>
      </w:pPr>
    </w:p>
    <w:p w14:paraId="13262F73" w14:textId="19825F47" w:rsidR="00C565C0"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lastRenderedPageBreak/>
        <w:t>6. ЦИЉЕВИ СТРАТЕГИЈЕ</w:t>
      </w:r>
      <w:bookmarkEnd w:id="34"/>
    </w:p>
    <w:p w14:paraId="3AF71C54" w14:textId="77777777"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Приликом утврђивања циљева Стратегије и активности за њено спровођење полази се од следећих принципа:</w:t>
      </w:r>
    </w:p>
    <w:p w14:paraId="35069C48" w14:textId="01FAC68D"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1) промоција – промена свести код целокупне јавности о важности примене мера безбедности и здравља на раду кроз организацију различитих промотивних активности и кампања;</w:t>
      </w:r>
    </w:p>
    <w:p w14:paraId="59A640DC" w14:textId="5B09E325"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2) превенција – континуиране активности у вези са безбедношћу и здрављем на радном месту треба да се усредсреде на превенцију повреда на раду, професионалних болести и болести у вези са радом;</w:t>
      </w:r>
    </w:p>
    <w:p w14:paraId="5A13156E" w14:textId="21591CE2"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3) укључивање свих заинтересованих – побољшања у области безбедности и здравља на радном месту и у радној околини, могу се на најбољи начин остварити ако се укључе сви учесници у систему безбедности и здравља на раду. На радном месту, то обухвата запослене који обављају рад и њихове представнике за питања безбедности и здравља на раду. На нивоу привреде и целе земље, то укључује послодавце, синдикате, државне органе, невладине организације, образовне установе, научне институције, и др.;</w:t>
      </w:r>
    </w:p>
    <w:p w14:paraId="292A112D" w14:textId="6D6802F6"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4) одговорност – послодавци имају највећу одговорност за безбедност и здравље на раду. Најважнија обавеза послодаваца је да запосленима омогуће безбедно и здраво радно место и да их укључе у разматрање свих питања везаних за безбедност и здравље на раду. Запослени имају одговорност за сопствену безбедност, што се огледа у начину на који поступају на својим радним местима;</w:t>
      </w:r>
    </w:p>
    <w:p w14:paraId="67C14658" w14:textId="79D8BA94"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5) примена – активности у вези са безбедношћу и здрављем на раду заснивају се на примени мера безбедности и здравља на раду и унапређењу знања и вештина учесника у систему и издвајању неопходних финансијских средстава за спровођење тих мера ради остваривања безбедних и здравих радних услова.</w:t>
      </w:r>
    </w:p>
    <w:p w14:paraId="7CB47CF9" w14:textId="713C541C" w:rsidR="00C565C0" w:rsidRPr="00203E0A" w:rsidRDefault="48A77BA5" w:rsidP="48A77BA5">
      <w:pPr>
        <w:spacing w:after="150"/>
        <w:ind w:firstLine="720"/>
        <w:jc w:val="both"/>
        <w:rPr>
          <w:rFonts w:ascii="Times New Roman" w:hAnsi="Times New Roman" w:cs="Times New Roman"/>
          <w:b/>
          <w:bCs/>
          <w:color w:val="000000"/>
          <w:sz w:val="24"/>
          <w:szCs w:val="24"/>
        </w:rPr>
      </w:pPr>
      <w:bookmarkStart w:id="35" w:name="_Toc126746539"/>
      <w:r w:rsidRPr="00203E0A">
        <w:rPr>
          <w:rFonts w:ascii="Times New Roman" w:hAnsi="Times New Roman" w:cs="Times New Roman"/>
          <w:b/>
          <w:bCs/>
          <w:color w:val="000000" w:themeColor="text1"/>
          <w:sz w:val="24"/>
          <w:szCs w:val="24"/>
        </w:rPr>
        <w:t>6.1. Општи циљ</w:t>
      </w:r>
      <w:bookmarkEnd w:id="35"/>
    </w:p>
    <w:p w14:paraId="36EBA516" w14:textId="51877E84" w:rsidR="001579D6" w:rsidRPr="00EE40EA" w:rsidRDefault="48A77BA5" w:rsidP="00EE40EA">
      <w:pPr>
        <w:spacing w:after="150"/>
        <w:ind w:firstLine="720"/>
        <w:jc w:val="both"/>
        <w:rPr>
          <w:rFonts w:ascii="Times New Roman" w:hAnsi="Times New Roman" w:cs="Times New Roman"/>
          <w:color w:val="000000"/>
          <w:sz w:val="24"/>
          <w:szCs w:val="24"/>
        </w:rPr>
      </w:pPr>
      <w:bookmarkStart w:id="36" w:name="_Hlk126671666"/>
      <w:r w:rsidRPr="00203E0A">
        <w:rPr>
          <w:rFonts w:ascii="Times New Roman" w:hAnsi="Times New Roman" w:cs="Times New Roman"/>
          <w:color w:val="000000" w:themeColor="text1"/>
          <w:sz w:val="24"/>
          <w:szCs w:val="24"/>
        </w:rPr>
        <w:t xml:space="preserve">Општи циљ Стратегије </w:t>
      </w:r>
      <w:r w:rsidR="00DB75FB" w:rsidRPr="00203E0A">
        <w:rPr>
          <w:rFonts w:ascii="Times New Roman" w:hAnsi="Times New Roman" w:cs="Times New Roman"/>
          <w:color w:val="000000" w:themeColor="text1"/>
          <w:sz w:val="24"/>
          <w:szCs w:val="24"/>
        </w:rPr>
        <w:t xml:space="preserve">је </w:t>
      </w:r>
      <w:r w:rsidRPr="00203E0A">
        <w:rPr>
          <w:rFonts w:ascii="Times New Roman" w:hAnsi="Times New Roman" w:cs="Times New Roman"/>
          <w:color w:val="000000" w:themeColor="text1"/>
          <w:sz w:val="24"/>
          <w:szCs w:val="24"/>
        </w:rPr>
        <w:t>унапређење безбедности на раду и очување здравља радно активног становништва. Стратегија тежи да се у периоду њеног спровођења број повреда на раду у Републици Србији смањи за 5%, у односу на укупан број повреда на раду за претходни петогодишњи период спровођења Стратегије, према евиденцији коју води Инспекторат за рад.</w:t>
      </w:r>
      <w:bookmarkStart w:id="37" w:name="_Toc126746540"/>
      <w:bookmarkEnd w:id="36"/>
    </w:p>
    <w:p w14:paraId="64B675D0" w14:textId="677D8B3F" w:rsidR="00C565C0" w:rsidRPr="003C6E11" w:rsidRDefault="48A77BA5" w:rsidP="48A77BA5">
      <w:pPr>
        <w:spacing w:after="150"/>
        <w:ind w:firstLine="720"/>
        <w:jc w:val="both"/>
        <w:rPr>
          <w:rFonts w:ascii="Times New Roman" w:hAnsi="Times New Roman" w:cs="Times New Roman"/>
          <w:b/>
          <w:bCs/>
          <w:sz w:val="24"/>
          <w:szCs w:val="24"/>
        </w:rPr>
      </w:pPr>
      <w:r w:rsidRPr="003C6E11">
        <w:rPr>
          <w:rFonts w:ascii="Times New Roman" w:hAnsi="Times New Roman" w:cs="Times New Roman"/>
          <w:b/>
          <w:bCs/>
          <w:sz w:val="24"/>
          <w:szCs w:val="24"/>
        </w:rPr>
        <w:t>6.2. Посебни циљеви</w:t>
      </w:r>
      <w:bookmarkEnd w:id="37"/>
    </w:p>
    <w:p w14:paraId="46D2867A" w14:textId="338B8552" w:rsidR="00C565C0" w:rsidRPr="003C6E11" w:rsidRDefault="48A77BA5" w:rsidP="00C565C0">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Посебни циљеви у спровођењу Стратегије безбедности и здравља на раду у Републици Србији за период од 202</w:t>
      </w:r>
      <w:r w:rsidR="00164D3C" w:rsidRPr="003C6E11">
        <w:rPr>
          <w:rFonts w:ascii="Times New Roman" w:hAnsi="Times New Roman" w:cs="Times New Roman"/>
          <w:sz w:val="24"/>
          <w:szCs w:val="24"/>
        </w:rPr>
        <w:t>4</w:t>
      </w:r>
      <w:r w:rsidRPr="003C6E11">
        <w:rPr>
          <w:rFonts w:ascii="Times New Roman" w:hAnsi="Times New Roman" w:cs="Times New Roman"/>
          <w:sz w:val="24"/>
          <w:szCs w:val="24"/>
        </w:rPr>
        <w:t>. до 2027. године јесу:</w:t>
      </w:r>
    </w:p>
    <w:p w14:paraId="157DCEF7" w14:textId="2814CF40" w:rsidR="00C565C0" w:rsidRPr="003C6E11" w:rsidRDefault="48A77BA5" w:rsidP="00C565C0">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1) </w:t>
      </w:r>
      <w:r w:rsidR="00654667" w:rsidRPr="003C6E11">
        <w:rPr>
          <w:rFonts w:ascii="Times New Roman" w:hAnsi="Times New Roman" w:cs="Times New Roman"/>
          <w:sz w:val="24"/>
          <w:szCs w:val="24"/>
        </w:rPr>
        <w:t xml:space="preserve">унапређење </w:t>
      </w:r>
      <w:r w:rsidR="007244FD" w:rsidRPr="003C6E11">
        <w:rPr>
          <w:rFonts w:ascii="Times New Roman" w:hAnsi="Times New Roman" w:cs="Times New Roman"/>
          <w:sz w:val="24"/>
          <w:szCs w:val="24"/>
        </w:rPr>
        <w:t>регулаторног</w:t>
      </w:r>
      <w:r w:rsidR="00654667" w:rsidRPr="003C6E11">
        <w:rPr>
          <w:rFonts w:ascii="Times New Roman" w:hAnsi="Times New Roman" w:cs="Times New Roman"/>
          <w:sz w:val="24"/>
          <w:szCs w:val="24"/>
        </w:rPr>
        <w:t xml:space="preserve"> оквира </w:t>
      </w:r>
      <w:r w:rsidR="00901242" w:rsidRPr="003C6E11">
        <w:rPr>
          <w:rFonts w:ascii="Times New Roman" w:hAnsi="Times New Roman" w:cs="Times New Roman"/>
          <w:sz w:val="24"/>
          <w:szCs w:val="24"/>
        </w:rPr>
        <w:t>у области безбедности и здравља на раду</w:t>
      </w:r>
      <w:r w:rsidRPr="003C6E11">
        <w:rPr>
          <w:rFonts w:ascii="Times New Roman" w:hAnsi="Times New Roman" w:cs="Times New Roman"/>
          <w:sz w:val="24"/>
          <w:szCs w:val="24"/>
        </w:rPr>
        <w:t xml:space="preserve">; </w:t>
      </w:r>
    </w:p>
    <w:p w14:paraId="167988A3" w14:textId="1646D67B" w:rsidR="00C565C0" w:rsidRPr="003C6E11" w:rsidRDefault="48A77BA5" w:rsidP="00C565C0">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2) промоција значаја (културе) превенције у области безбедности и здравља на раду (подизање свести и информисање јавности);</w:t>
      </w:r>
    </w:p>
    <w:p w14:paraId="4F7BA3D0" w14:textId="3B4C8EB0" w:rsidR="00C565C0" w:rsidRPr="003C6E11" w:rsidRDefault="48A77BA5" w:rsidP="00C419C8">
      <w:pPr>
        <w:spacing w:after="0"/>
        <w:ind w:firstLine="720"/>
        <w:jc w:val="both"/>
        <w:rPr>
          <w:rFonts w:ascii="Times New Roman" w:hAnsi="Times New Roman" w:cs="Times New Roman"/>
          <w:sz w:val="24"/>
          <w:szCs w:val="24"/>
        </w:rPr>
      </w:pPr>
      <w:r w:rsidRPr="00C419C8">
        <w:rPr>
          <w:rFonts w:ascii="Times New Roman" w:hAnsi="Times New Roman" w:cs="Times New Roman"/>
          <w:sz w:val="24"/>
          <w:szCs w:val="24"/>
        </w:rPr>
        <w:t xml:space="preserve">3) </w:t>
      </w:r>
      <w:r w:rsidR="00C419C8">
        <w:rPr>
          <w:rFonts w:ascii="Times New Roman" w:eastAsia="Times New Roman" w:hAnsi="Times New Roman" w:cs="Times New Roman"/>
          <w:bCs/>
          <w:color w:val="000000"/>
          <w:sz w:val="24"/>
          <w:szCs w:val="24"/>
          <w:lang w:val="sr-Latn-RS" w:eastAsia="sr-Latn-RS"/>
        </w:rPr>
        <w:t>у</w:t>
      </w:r>
      <w:r w:rsidR="00C419C8" w:rsidRPr="00C419C8">
        <w:rPr>
          <w:rFonts w:ascii="Times New Roman" w:eastAsia="Times New Roman" w:hAnsi="Times New Roman" w:cs="Times New Roman"/>
          <w:bCs/>
          <w:color w:val="000000"/>
          <w:sz w:val="24"/>
          <w:szCs w:val="24"/>
          <w:lang w:val="sr-Latn-RS" w:eastAsia="sr-Latn-RS"/>
        </w:rPr>
        <w:t xml:space="preserve">напређење </w:t>
      </w:r>
      <w:r w:rsidR="00C419C8" w:rsidRPr="00C419C8">
        <w:rPr>
          <w:rFonts w:ascii="Times New Roman" w:eastAsia="Times New Roman" w:hAnsi="Times New Roman" w:cs="Times New Roman"/>
          <w:bCs/>
          <w:color w:val="000000"/>
          <w:sz w:val="24"/>
          <w:szCs w:val="24"/>
          <w:lang w:eastAsia="sr-Latn-RS"/>
        </w:rPr>
        <w:t>услова рада ради спречавања повреда на раду, професионалних болести и болести у вези са радом</w:t>
      </w:r>
      <w:r w:rsidRPr="003C6E11">
        <w:rPr>
          <w:rFonts w:ascii="Times New Roman" w:hAnsi="Times New Roman" w:cs="Times New Roman"/>
          <w:sz w:val="24"/>
          <w:szCs w:val="24"/>
        </w:rPr>
        <w:t>;</w:t>
      </w:r>
    </w:p>
    <w:p w14:paraId="55485128" w14:textId="179D2304" w:rsidR="00C565C0" w:rsidRPr="00203E0A" w:rsidRDefault="48A77BA5" w:rsidP="00C565C0">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4) </w:t>
      </w:r>
      <w:r w:rsidR="00C419C8">
        <w:rPr>
          <w:rFonts w:ascii="Times New Roman" w:eastAsia="Times New Roman" w:hAnsi="Times New Roman" w:cs="Times New Roman"/>
          <w:bCs/>
          <w:color w:val="000000"/>
          <w:sz w:val="24"/>
          <w:szCs w:val="24"/>
          <w:lang w:val="sr-Latn-RS" w:eastAsia="sr-Latn-RS"/>
        </w:rPr>
        <w:t>у</w:t>
      </w:r>
      <w:r w:rsidR="00C419C8" w:rsidRPr="00C419C8">
        <w:rPr>
          <w:rFonts w:ascii="Times New Roman" w:eastAsia="Times New Roman" w:hAnsi="Times New Roman" w:cs="Times New Roman"/>
          <w:bCs/>
          <w:color w:val="000000"/>
          <w:sz w:val="24"/>
          <w:szCs w:val="24"/>
          <w:lang w:val="sr-Latn-RS" w:eastAsia="sr-Latn-RS"/>
        </w:rPr>
        <w:t>напређење евиденцијa о повредама на раду и лиценцама</w:t>
      </w:r>
      <w:r w:rsidRPr="00203E0A">
        <w:rPr>
          <w:rFonts w:ascii="Times New Roman" w:hAnsi="Times New Roman" w:cs="Times New Roman"/>
          <w:color w:val="000000" w:themeColor="text1"/>
          <w:sz w:val="24"/>
          <w:szCs w:val="24"/>
        </w:rPr>
        <w:t>.</w:t>
      </w:r>
    </w:p>
    <w:p w14:paraId="567A5D09" w14:textId="3A57816C" w:rsidR="00971B24" w:rsidRPr="003C6E11" w:rsidRDefault="48A77BA5" w:rsidP="00930597">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lastRenderedPageBreak/>
        <w:t xml:space="preserve">Кључни показатељи учинака општег и посебних циљева приказани су у Акционом плану </w:t>
      </w:r>
      <w:r w:rsidRPr="003C6E11">
        <w:rPr>
          <w:rFonts w:ascii="Times New Roman" w:hAnsi="Times New Roman" w:cs="Times New Roman"/>
          <w:sz w:val="24"/>
          <w:szCs w:val="24"/>
        </w:rPr>
        <w:t>за спровођење Стратегије безбедности и здравља на раду у Републици Србији за период од 202</w:t>
      </w:r>
      <w:r w:rsidR="00164D3C" w:rsidRPr="003C6E11">
        <w:rPr>
          <w:rFonts w:ascii="Times New Roman" w:hAnsi="Times New Roman" w:cs="Times New Roman"/>
          <w:sz w:val="24"/>
          <w:szCs w:val="24"/>
        </w:rPr>
        <w:t>4</w:t>
      </w:r>
      <w:r w:rsidRPr="003C6E11">
        <w:rPr>
          <w:rFonts w:ascii="Times New Roman" w:hAnsi="Times New Roman" w:cs="Times New Roman"/>
          <w:sz w:val="24"/>
          <w:szCs w:val="24"/>
        </w:rPr>
        <w:t>. до 2027. године (у даљем тексту: Акциони план).</w:t>
      </w:r>
    </w:p>
    <w:p w14:paraId="31171F17" w14:textId="77777777" w:rsidR="00C419C8" w:rsidRDefault="00C419C8" w:rsidP="48A77BA5">
      <w:pPr>
        <w:spacing w:after="150"/>
        <w:ind w:firstLine="720"/>
        <w:jc w:val="both"/>
        <w:rPr>
          <w:rFonts w:ascii="Times New Roman" w:hAnsi="Times New Roman" w:cs="Times New Roman"/>
          <w:b/>
          <w:bCs/>
          <w:color w:val="000000" w:themeColor="text1"/>
          <w:sz w:val="24"/>
          <w:szCs w:val="24"/>
        </w:rPr>
      </w:pPr>
      <w:bookmarkStart w:id="38" w:name="_Toc126746541"/>
    </w:p>
    <w:p w14:paraId="062D9876" w14:textId="0BCF770F" w:rsidR="00C565C0"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7. МЕРЕ ЗА ПОСТИЗАЊЕ ЦИЉЕВА</w:t>
      </w:r>
      <w:bookmarkEnd w:id="38"/>
    </w:p>
    <w:p w14:paraId="359F6E0E" w14:textId="599B3263" w:rsidR="00C52D6B" w:rsidRPr="003C6E11" w:rsidRDefault="48A77BA5" w:rsidP="00C52D6B">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Поред анализе примене претходне стратегије, и претходно спроведене анализе области, разматрене су мере које су примењене у чланицама ЕУ. Начелно мере које предузимају чланице ЕУ одговарају класификацији коју је установио Закон о планском систему, при чему се оне могу и додатно рашчлањивати. Поред регулат</w:t>
      </w:r>
      <w:r w:rsidR="00051C93">
        <w:rPr>
          <w:rFonts w:ascii="Times New Roman" w:hAnsi="Times New Roman" w:cs="Times New Roman"/>
          <w:color w:val="000000" w:themeColor="text1"/>
          <w:sz w:val="24"/>
          <w:szCs w:val="24"/>
        </w:rPr>
        <w:t>о</w:t>
      </w:r>
      <w:r w:rsidRPr="00203E0A">
        <w:rPr>
          <w:rFonts w:ascii="Times New Roman" w:hAnsi="Times New Roman" w:cs="Times New Roman"/>
          <w:color w:val="000000" w:themeColor="text1"/>
          <w:sz w:val="24"/>
          <w:szCs w:val="24"/>
        </w:rPr>
        <w:t>рних мера, велики број земаља у својим документима јавн</w:t>
      </w:r>
      <w:r w:rsidR="00051C93">
        <w:rPr>
          <w:rFonts w:ascii="Times New Roman" w:hAnsi="Times New Roman" w:cs="Times New Roman"/>
          <w:color w:val="000000" w:themeColor="text1"/>
          <w:sz w:val="24"/>
          <w:szCs w:val="24"/>
        </w:rPr>
        <w:t>и</w:t>
      </w:r>
      <w:r w:rsidRPr="00203E0A">
        <w:rPr>
          <w:rFonts w:ascii="Times New Roman" w:hAnsi="Times New Roman" w:cs="Times New Roman"/>
          <w:color w:val="000000" w:themeColor="text1"/>
          <w:sz w:val="24"/>
          <w:szCs w:val="24"/>
        </w:rPr>
        <w:t xml:space="preserve">х политика формулише информативно </w:t>
      </w:r>
      <w:r w:rsidRPr="003C6E11">
        <w:rPr>
          <w:rFonts w:ascii="Times New Roman" w:hAnsi="Times New Roman" w:cs="Times New Roman"/>
          <w:sz w:val="24"/>
          <w:szCs w:val="24"/>
        </w:rPr>
        <w:t>едукативне мере.</w:t>
      </w:r>
    </w:p>
    <w:p w14:paraId="077AA2F2" w14:textId="0EEE7E97" w:rsidR="00C52D6B" w:rsidRPr="003C6E11" w:rsidRDefault="48A77BA5" w:rsidP="48A77BA5">
      <w:pPr>
        <w:spacing w:after="150"/>
        <w:ind w:firstLine="720"/>
        <w:jc w:val="both"/>
        <w:rPr>
          <w:rFonts w:ascii="Times New Roman" w:hAnsi="Times New Roman" w:cs="Times New Roman"/>
          <w:b/>
          <w:bCs/>
          <w:sz w:val="24"/>
          <w:szCs w:val="24"/>
        </w:rPr>
      </w:pPr>
      <w:r w:rsidRPr="003C6E11">
        <w:rPr>
          <w:rFonts w:ascii="Times New Roman" w:hAnsi="Times New Roman" w:cs="Times New Roman"/>
          <w:b/>
          <w:bCs/>
          <w:sz w:val="24"/>
          <w:szCs w:val="24"/>
        </w:rPr>
        <w:t xml:space="preserve">Посебан циљ 1. </w:t>
      </w:r>
      <w:r w:rsidR="00E27739" w:rsidRPr="003C6E11">
        <w:rPr>
          <w:rFonts w:ascii="Times New Roman" w:hAnsi="Times New Roman" w:cs="Times New Roman"/>
          <w:b/>
          <w:bCs/>
          <w:sz w:val="24"/>
          <w:szCs w:val="24"/>
        </w:rPr>
        <w:t xml:space="preserve">Унапређење </w:t>
      </w:r>
      <w:r w:rsidR="007244FD" w:rsidRPr="003C6E11">
        <w:rPr>
          <w:rFonts w:ascii="Times New Roman" w:hAnsi="Times New Roman" w:cs="Times New Roman"/>
          <w:b/>
          <w:bCs/>
          <w:sz w:val="24"/>
          <w:szCs w:val="24"/>
        </w:rPr>
        <w:t>регулаторног оквира у области</w:t>
      </w:r>
      <w:r w:rsidR="004059CB" w:rsidRPr="003C6E11">
        <w:rPr>
          <w:rFonts w:ascii="Times New Roman" w:hAnsi="Times New Roman" w:cs="Times New Roman"/>
          <w:b/>
          <w:bCs/>
          <w:sz w:val="24"/>
          <w:szCs w:val="24"/>
        </w:rPr>
        <w:t xml:space="preserve"> </w:t>
      </w:r>
      <w:r w:rsidR="00654667" w:rsidRPr="003C6E11">
        <w:rPr>
          <w:rFonts w:ascii="Times New Roman" w:hAnsi="Times New Roman" w:cs="Times New Roman"/>
          <w:b/>
          <w:bCs/>
          <w:sz w:val="24"/>
          <w:szCs w:val="24"/>
        </w:rPr>
        <w:t>безбедности и здравља на раду</w:t>
      </w:r>
      <w:r w:rsidRPr="003C6E11">
        <w:rPr>
          <w:rFonts w:ascii="Times New Roman" w:hAnsi="Times New Roman" w:cs="Times New Roman"/>
          <w:b/>
          <w:bCs/>
          <w:sz w:val="24"/>
          <w:szCs w:val="24"/>
        </w:rPr>
        <w:t xml:space="preserve">. </w:t>
      </w:r>
    </w:p>
    <w:p w14:paraId="6D71547A" w14:textId="77777777" w:rsidR="0063729E" w:rsidRPr="00203E0A" w:rsidRDefault="48A77BA5" w:rsidP="48A77BA5">
      <w:pPr>
        <w:spacing w:after="150"/>
        <w:ind w:firstLine="720"/>
        <w:jc w:val="both"/>
        <w:rPr>
          <w:rFonts w:ascii="Times New Roman" w:hAnsi="Times New Roman" w:cs="Times New Roman"/>
          <w:b/>
          <w:bCs/>
          <w:color w:val="000000" w:themeColor="text1"/>
          <w:sz w:val="24"/>
          <w:szCs w:val="24"/>
        </w:rPr>
      </w:pPr>
      <w:r w:rsidRPr="00203E0A">
        <w:rPr>
          <w:rFonts w:ascii="Times New Roman" w:hAnsi="Times New Roman" w:cs="Times New Roman"/>
          <w:b/>
          <w:bCs/>
          <w:color w:val="000000" w:themeColor="text1"/>
          <w:sz w:val="24"/>
          <w:szCs w:val="24"/>
        </w:rPr>
        <w:t>Мера 1.1. Израда смерница за спровођење мера безбедности и здравља на раду</w:t>
      </w:r>
      <w:r w:rsidR="009A61D1" w:rsidRPr="00203E0A">
        <w:rPr>
          <w:rFonts w:ascii="Times New Roman" w:hAnsi="Times New Roman" w:cs="Times New Roman"/>
          <w:b/>
          <w:bCs/>
          <w:color w:val="000000" w:themeColor="text1"/>
          <w:sz w:val="24"/>
          <w:szCs w:val="24"/>
        </w:rPr>
        <w:t xml:space="preserve"> за ММСП</w:t>
      </w:r>
      <w:r w:rsidRPr="00203E0A">
        <w:rPr>
          <w:rFonts w:ascii="Times New Roman" w:hAnsi="Times New Roman" w:cs="Times New Roman"/>
          <w:b/>
          <w:bCs/>
          <w:color w:val="000000" w:themeColor="text1"/>
          <w:sz w:val="24"/>
          <w:szCs w:val="24"/>
        </w:rPr>
        <w:t xml:space="preserve"> (регулаторна).</w:t>
      </w:r>
    </w:p>
    <w:p w14:paraId="6A7EEBA6" w14:textId="3EB7A566" w:rsidR="00102471" w:rsidRPr="00203E0A" w:rsidRDefault="00102471" w:rsidP="48A77BA5">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У већини случајева ефикасност управљања безбедношћу и здрављем на раду јесте изазов за микро и мала предузећа. Изазови су многобројни и разликују се у зависности од потешкоћа при спровођењу прописа како због недостатка стручности, тако и због недостатка свести о важности ове области, незаинтересованости руководства, као и трошкова усклађивања са захтевима из области безбедности и здравља на раду. Потребно је радити на увођењу ефикаснијих решења како би се узела у обзир ситуација микро и малих предузећа и тиме обезбедило ефикасно спровођење мера безбедности и здравља на раду без обзира на величину предузећа. То подразумева доношење смерница за микро и мала предузећа како би им се олакшало спровођење мера безбедности и </w:t>
      </w:r>
      <w:r w:rsidRPr="00203E0A">
        <w:rPr>
          <w:rFonts w:ascii="Times New Roman" w:hAnsi="Times New Roman" w:cs="Times New Roman"/>
          <w:sz w:val="24"/>
          <w:szCs w:val="24"/>
        </w:rPr>
        <w:t>здравља на раду.</w:t>
      </w:r>
    </w:p>
    <w:p w14:paraId="06C9DC55" w14:textId="3A07AA41" w:rsidR="00C52D6B" w:rsidRPr="00203E0A" w:rsidRDefault="48A77BA5" w:rsidP="48A77BA5">
      <w:pPr>
        <w:spacing w:after="150"/>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Мера 1.2. Унапредити контролне листе у области безбедности и здравља на раду (регулаторна).</w:t>
      </w:r>
    </w:p>
    <w:p w14:paraId="6197A467" w14:textId="23CD62DB" w:rsidR="004E66EF" w:rsidRPr="00C442F7" w:rsidRDefault="002C4B2C" w:rsidP="00C442F7">
      <w:pPr>
        <w:spacing w:after="150"/>
        <w:ind w:firstLine="720"/>
        <w:jc w:val="both"/>
        <w:rPr>
          <w:rFonts w:ascii="Times New Roman" w:hAnsi="Times New Roman" w:cs="Times New Roman"/>
          <w:sz w:val="24"/>
          <w:szCs w:val="24"/>
        </w:rPr>
      </w:pPr>
      <w:r w:rsidRPr="00203E0A">
        <w:rPr>
          <w:rFonts w:ascii="Times New Roman" w:hAnsi="Times New Roman" w:cs="Times New Roman"/>
          <w:bCs/>
          <w:sz w:val="24"/>
          <w:szCs w:val="24"/>
        </w:rPr>
        <w:t>Како би се додатно смањио ризик</w:t>
      </w:r>
      <w:r w:rsidR="00DE6AFB">
        <w:rPr>
          <w:rFonts w:ascii="Times New Roman" w:hAnsi="Times New Roman" w:cs="Times New Roman"/>
          <w:bCs/>
          <w:sz w:val="24"/>
          <w:szCs w:val="24"/>
        </w:rPr>
        <w:t xml:space="preserve"> везан</w:t>
      </w:r>
      <w:r w:rsidRPr="00203E0A">
        <w:rPr>
          <w:rFonts w:ascii="Times New Roman" w:hAnsi="Times New Roman" w:cs="Times New Roman"/>
          <w:bCs/>
          <w:sz w:val="24"/>
          <w:szCs w:val="24"/>
        </w:rPr>
        <w:t xml:space="preserve"> за радна места и радну средину, Инспекторат</w:t>
      </w:r>
      <w:r w:rsidR="00E41E14" w:rsidRPr="00203E0A">
        <w:rPr>
          <w:rFonts w:ascii="Times New Roman" w:hAnsi="Times New Roman" w:cs="Times New Roman"/>
          <w:bCs/>
          <w:sz w:val="24"/>
          <w:szCs w:val="24"/>
        </w:rPr>
        <w:t xml:space="preserve"> за рад</w:t>
      </w:r>
      <w:r w:rsidRPr="00203E0A">
        <w:rPr>
          <w:rFonts w:ascii="Times New Roman" w:hAnsi="Times New Roman" w:cs="Times New Roman"/>
          <w:bCs/>
          <w:sz w:val="24"/>
          <w:szCs w:val="24"/>
        </w:rPr>
        <w:t xml:space="preserve"> ће</w:t>
      </w:r>
      <w:r w:rsidR="00E22F9E" w:rsidRPr="00203E0A">
        <w:rPr>
          <w:rFonts w:ascii="Times New Roman" w:hAnsi="Times New Roman" w:cs="Times New Roman"/>
          <w:bCs/>
          <w:sz w:val="24"/>
          <w:szCs w:val="24"/>
        </w:rPr>
        <w:t xml:space="preserve"> по потреби ревидитрати постојеће и израдити посебне </w:t>
      </w:r>
      <w:r w:rsidR="00C3536C" w:rsidRPr="00203E0A">
        <w:rPr>
          <w:rFonts w:ascii="Times New Roman" w:hAnsi="Times New Roman" w:cs="Times New Roman"/>
          <w:sz w:val="24"/>
          <w:szCs w:val="24"/>
        </w:rPr>
        <w:t xml:space="preserve">контролне листе у области безбедности и здравља на раду </w:t>
      </w:r>
      <w:r w:rsidR="001F3D3F">
        <w:rPr>
          <w:rFonts w:ascii="Times New Roman" w:hAnsi="Times New Roman" w:cs="Times New Roman"/>
          <w:sz w:val="24"/>
          <w:szCs w:val="24"/>
        </w:rPr>
        <w:t xml:space="preserve">у </w:t>
      </w:r>
      <w:r w:rsidR="00C3536C" w:rsidRPr="00203E0A">
        <w:rPr>
          <w:rFonts w:ascii="Times New Roman" w:hAnsi="Times New Roman" w:cs="Times New Roman"/>
          <w:sz w:val="24"/>
          <w:szCs w:val="24"/>
        </w:rPr>
        <w:t>осетљивим секторима.</w:t>
      </w:r>
      <w:r w:rsidR="003C476A">
        <w:rPr>
          <w:rFonts w:ascii="Times New Roman" w:hAnsi="Times New Roman" w:cs="Times New Roman"/>
          <w:sz w:val="24"/>
          <w:szCs w:val="24"/>
        </w:rPr>
        <w:t xml:space="preserve"> Тренутно су израђене контролне листе за сектор грађевинарства и шумарства.</w:t>
      </w:r>
      <w:r w:rsidR="003C476A">
        <w:rPr>
          <w:rStyle w:val="FootnoteReference"/>
          <w:rFonts w:ascii="Times New Roman" w:hAnsi="Times New Roman" w:cs="Times New Roman"/>
          <w:sz w:val="24"/>
          <w:szCs w:val="24"/>
        </w:rPr>
        <w:footnoteReference w:id="24"/>
      </w:r>
      <w:r w:rsidR="004344B1">
        <w:rPr>
          <w:rFonts w:ascii="Times New Roman" w:hAnsi="Times New Roman" w:cs="Times New Roman"/>
          <w:sz w:val="24"/>
          <w:szCs w:val="24"/>
        </w:rPr>
        <w:t xml:space="preserve"> Унапређењем контролних листа очекује се </w:t>
      </w:r>
      <w:r w:rsidR="004F6075" w:rsidRPr="004F6075">
        <w:rPr>
          <w:rFonts w:ascii="Times New Roman" w:hAnsi="Times New Roman" w:cs="Times New Roman"/>
          <w:sz w:val="24"/>
          <w:szCs w:val="24"/>
        </w:rPr>
        <w:t xml:space="preserve">смањење броја повреда и професионалних болести на радном месту, што директно утиче на здравље и </w:t>
      </w:r>
      <w:r w:rsidR="004F6075" w:rsidRPr="003C6E11">
        <w:rPr>
          <w:rFonts w:ascii="Times New Roman" w:hAnsi="Times New Roman" w:cs="Times New Roman"/>
          <w:sz w:val="24"/>
          <w:szCs w:val="24"/>
        </w:rPr>
        <w:t>благостање</w:t>
      </w:r>
      <w:r w:rsidR="00845262" w:rsidRPr="003C6E11">
        <w:rPr>
          <w:rFonts w:ascii="Times New Roman" w:hAnsi="Times New Roman" w:cs="Times New Roman"/>
          <w:sz w:val="24"/>
          <w:szCs w:val="24"/>
        </w:rPr>
        <w:t xml:space="preserve"> запослених</w:t>
      </w:r>
      <w:r w:rsidR="004F6075" w:rsidRPr="003C6E11">
        <w:rPr>
          <w:rFonts w:ascii="Times New Roman" w:hAnsi="Times New Roman" w:cs="Times New Roman"/>
          <w:sz w:val="24"/>
          <w:szCs w:val="24"/>
        </w:rPr>
        <w:t>.</w:t>
      </w:r>
      <w:r w:rsidR="004344B1" w:rsidRPr="003C6E11">
        <w:rPr>
          <w:rFonts w:ascii="Times New Roman" w:hAnsi="Times New Roman" w:cs="Times New Roman"/>
          <w:sz w:val="24"/>
          <w:szCs w:val="24"/>
        </w:rPr>
        <w:t xml:space="preserve"> Такође</w:t>
      </w:r>
      <w:r w:rsidR="004344B1">
        <w:rPr>
          <w:rFonts w:ascii="Times New Roman" w:hAnsi="Times New Roman" w:cs="Times New Roman"/>
          <w:sz w:val="24"/>
          <w:szCs w:val="24"/>
        </w:rPr>
        <w:t xml:space="preserve">, субјекти надзора </w:t>
      </w:r>
      <w:r w:rsidR="004F6075" w:rsidRPr="004F6075">
        <w:rPr>
          <w:rFonts w:ascii="Times New Roman" w:hAnsi="Times New Roman" w:cs="Times New Roman"/>
          <w:sz w:val="24"/>
          <w:szCs w:val="24"/>
        </w:rPr>
        <w:t>ће лакше испуњавати законске обавезе и стандарде безбедности и здравља на раду, што ће смањити ризик од казни и правних последица.</w:t>
      </w:r>
      <w:r w:rsidR="004344B1">
        <w:rPr>
          <w:rFonts w:ascii="Times New Roman" w:hAnsi="Times New Roman" w:cs="Times New Roman"/>
          <w:sz w:val="24"/>
          <w:szCs w:val="24"/>
        </w:rPr>
        <w:t xml:space="preserve"> Коначно, с</w:t>
      </w:r>
      <w:r w:rsidR="004F6075" w:rsidRPr="004F6075">
        <w:rPr>
          <w:rFonts w:ascii="Times New Roman" w:hAnsi="Times New Roman" w:cs="Times New Roman"/>
          <w:sz w:val="24"/>
          <w:szCs w:val="24"/>
        </w:rPr>
        <w:t>а сигурнијим радним условима</w:t>
      </w:r>
      <w:r w:rsidR="004F6075" w:rsidRPr="003C6E11">
        <w:rPr>
          <w:rFonts w:ascii="Times New Roman" w:hAnsi="Times New Roman" w:cs="Times New Roman"/>
          <w:sz w:val="24"/>
          <w:szCs w:val="24"/>
        </w:rPr>
        <w:t xml:space="preserve">, </w:t>
      </w:r>
      <w:r w:rsidR="00845262" w:rsidRPr="003C6E11">
        <w:rPr>
          <w:rFonts w:ascii="Times New Roman" w:hAnsi="Times New Roman" w:cs="Times New Roman"/>
          <w:sz w:val="24"/>
          <w:szCs w:val="24"/>
        </w:rPr>
        <w:t xml:space="preserve">запослени </w:t>
      </w:r>
      <w:r w:rsidR="004F6075" w:rsidRPr="003C6E11">
        <w:rPr>
          <w:rFonts w:ascii="Times New Roman" w:hAnsi="Times New Roman" w:cs="Times New Roman"/>
          <w:sz w:val="24"/>
          <w:szCs w:val="24"/>
        </w:rPr>
        <w:t xml:space="preserve">ће </w:t>
      </w:r>
      <w:r w:rsidR="004F6075" w:rsidRPr="004F6075">
        <w:rPr>
          <w:rFonts w:ascii="Times New Roman" w:hAnsi="Times New Roman" w:cs="Times New Roman"/>
          <w:sz w:val="24"/>
          <w:szCs w:val="24"/>
        </w:rPr>
        <w:t>бити мање одсутни због болести или повреда, што ће довести до повећања продуктивности и ефективности.</w:t>
      </w:r>
    </w:p>
    <w:p w14:paraId="78C1F997" w14:textId="105DDD4C" w:rsidR="001F7B68" w:rsidRPr="00203E0A" w:rsidRDefault="48A77BA5" w:rsidP="48A77BA5">
      <w:pPr>
        <w:spacing w:after="150"/>
        <w:ind w:firstLine="720"/>
        <w:jc w:val="both"/>
        <w:rPr>
          <w:rFonts w:ascii="Times New Roman" w:hAnsi="Times New Roman" w:cs="Times New Roman"/>
          <w:b/>
          <w:bCs/>
          <w:color w:val="000000" w:themeColor="text1"/>
          <w:sz w:val="24"/>
          <w:szCs w:val="24"/>
        </w:rPr>
      </w:pPr>
      <w:r w:rsidRPr="00203E0A">
        <w:rPr>
          <w:rFonts w:ascii="Times New Roman" w:hAnsi="Times New Roman" w:cs="Times New Roman"/>
          <w:b/>
          <w:bCs/>
          <w:color w:val="000000" w:themeColor="text1"/>
          <w:sz w:val="24"/>
          <w:szCs w:val="24"/>
        </w:rPr>
        <w:t xml:space="preserve">Мера 1.3. Анализа </w:t>
      </w:r>
      <w:r w:rsidR="00E05D30" w:rsidRPr="00203E0A">
        <w:rPr>
          <w:rFonts w:ascii="Times New Roman" w:hAnsi="Times New Roman" w:cs="Times New Roman"/>
          <w:b/>
          <w:bCs/>
          <w:color w:val="000000" w:themeColor="text1"/>
          <w:sz w:val="24"/>
          <w:szCs w:val="24"/>
        </w:rPr>
        <w:t xml:space="preserve">овлашћених </w:t>
      </w:r>
      <w:r w:rsidR="00B35B11" w:rsidRPr="00203E0A">
        <w:rPr>
          <w:rFonts w:ascii="Times New Roman" w:hAnsi="Times New Roman" w:cs="Times New Roman"/>
          <w:b/>
          <w:bCs/>
          <w:color w:val="000000" w:themeColor="text1"/>
          <w:sz w:val="24"/>
          <w:szCs w:val="24"/>
        </w:rPr>
        <w:t xml:space="preserve">правних лица </w:t>
      </w:r>
      <w:r w:rsidR="00E05D30" w:rsidRPr="00203E0A">
        <w:rPr>
          <w:rFonts w:ascii="Times New Roman" w:hAnsi="Times New Roman" w:cs="Times New Roman"/>
          <w:b/>
          <w:bCs/>
          <w:color w:val="000000" w:themeColor="text1"/>
          <w:sz w:val="24"/>
          <w:szCs w:val="24"/>
        </w:rPr>
        <w:t xml:space="preserve">и предузетника </w:t>
      </w:r>
      <w:r w:rsidR="00B35B11" w:rsidRPr="00203E0A">
        <w:rPr>
          <w:rFonts w:ascii="Times New Roman" w:hAnsi="Times New Roman" w:cs="Times New Roman"/>
          <w:b/>
          <w:bCs/>
          <w:color w:val="000000" w:themeColor="text1"/>
          <w:sz w:val="24"/>
          <w:szCs w:val="24"/>
        </w:rPr>
        <w:t>са лиц</w:t>
      </w:r>
      <w:r w:rsidR="000C38FD" w:rsidRPr="00203E0A">
        <w:rPr>
          <w:rFonts w:ascii="Times New Roman" w:hAnsi="Times New Roman" w:cs="Times New Roman"/>
          <w:b/>
          <w:bCs/>
          <w:color w:val="000000" w:themeColor="text1"/>
          <w:sz w:val="24"/>
          <w:szCs w:val="24"/>
        </w:rPr>
        <w:t>е</w:t>
      </w:r>
      <w:r w:rsidR="00B35B11" w:rsidRPr="00203E0A">
        <w:rPr>
          <w:rFonts w:ascii="Times New Roman" w:hAnsi="Times New Roman" w:cs="Times New Roman"/>
          <w:b/>
          <w:bCs/>
          <w:color w:val="000000" w:themeColor="text1"/>
          <w:sz w:val="24"/>
          <w:szCs w:val="24"/>
        </w:rPr>
        <w:t>нцом</w:t>
      </w:r>
      <w:r w:rsidRPr="00203E0A">
        <w:rPr>
          <w:rFonts w:ascii="Times New Roman" w:hAnsi="Times New Roman" w:cs="Times New Roman"/>
          <w:b/>
          <w:bCs/>
          <w:color w:val="000000" w:themeColor="text1"/>
          <w:sz w:val="24"/>
          <w:szCs w:val="24"/>
        </w:rPr>
        <w:t xml:space="preserve"> кој</w:t>
      </w:r>
      <w:r w:rsidR="00E05D30" w:rsidRPr="00203E0A">
        <w:rPr>
          <w:rFonts w:ascii="Times New Roman" w:hAnsi="Times New Roman" w:cs="Times New Roman"/>
          <w:b/>
          <w:bCs/>
          <w:color w:val="000000" w:themeColor="text1"/>
          <w:sz w:val="24"/>
          <w:szCs w:val="24"/>
        </w:rPr>
        <w:t>и</w:t>
      </w:r>
      <w:r w:rsidRPr="00203E0A">
        <w:rPr>
          <w:rFonts w:ascii="Times New Roman" w:hAnsi="Times New Roman" w:cs="Times New Roman"/>
          <w:b/>
          <w:bCs/>
          <w:color w:val="000000" w:themeColor="text1"/>
          <w:sz w:val="24"/>
          <w:szCs w:val="24"/>
        </w:rPr>
        <w:t xml:space="preserve"> се баве пословима у области безбедности и здравља на раду и унапређење надзора (институционално управљачко организациона).</w:t>
      </w:r>
    </w:p>
    <w:p w14:paraId="683C75AA" w14:textId="71163FBB" w:rsidR="00123F0E" w:rsidRPr="003C6E11" w:rsidRDefault="00123F0E" w:rsidP="0068298B">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sz w:val="24"/>
          <w:szCs w:val="24"/>
        </w:rPr>
        <w:lastRenderedPageBreak/>
        <w:t>Ова мера има за циљ да обезбеди свеобухватан и систематски приступ унапређењу безбедности и здравља на раду, кроз боље разумевање сектора, ефикаснији надзор и јачање институционалних капацитета</w:t>
      </w:r>
      <w:r w:rsidR="00E02483">
        <w:rPr>
          <w:rFonts w:ascii="Times New Roman" w:hAnsi="Times New Roman" w:cs="Times New Roman"/>
          <w:color w:val="000000"/>
          <w:sz w:val="24"/>
          <w:szCs w:val="24"/>
        </w:rPr>
        <w:t xml:space="preserve"> </w:t>
      </w:r>
      <w:r w:rsidR="00E02483" w:rsidRPr="00DE0B26">
        <w:rPr>
          <w:rFonts w:ascii="Times New Roman" w:hAnsi="Times New Roman" w:cs="Times New Roman"/>
          <w:color w:val="000000" w:themeColor="text1"/>
          <w:sz w:val="24"/>
          <w:szCs w:val="24"/>
        </w:rPr>
        <w:t>оспособљених за обезбеђивање правилне примене прописа</w:t>
      </w:r>
      <w:r w:rsidRPr="00DE0B26">
        <w:rPr>
          <w:rFonts w:ascii="Times New Roman" w:hAnsi="Times New Roman" w:cs="Times New Roman"/>
          <w:color w:val="000000" w:themeColor="text1"/>
          <w:sz w:val="24"/>
          <w:szCs w:val="24"/>
        </w:rPr>
        <w:t>.</w:t>
      </w:r>
      <w:r w:rsidR="005444C0" w:rsidRPr="00203E0A">
        <w:rPr>
          <w:rFonts w:ascii="Times New Roman" w:hAnsi="Times New Roman" w:cs="Times New Roman"/>
          <w:color w:val="000000"/>
          <w:sz w:val="24"/>
          <w:szCs w:val="24"/>
        </w:rPr>
        <w:t xml:space="preserve"> Мера порадзумева израду детаљне анализа сектора, испитивање тренутног стања</w:t>
      </w:r>
      <w:r w:rsidR="00BF020A" w:rsidRPr="00203E0A">
        <w:rPr>
          <w:rFonts w:ascii="Times New Roman" w:hAnsi="Times New Roman" w:cs="Times New Roman"/>
          <w:color w:val="000000"/>
          <w:sz w:val="24"/>
          <w:szCs w:val="24"/>
        </w:rPr>
        <w:t xml:space="preserve">, пре </w:t>
      </w:r>
      <w:r w:rsidR="00BF020A" w:rsidRPr="003C6E11">
        <w:rPr>
          <w:rFonts w:ascii="Times New Roman" w:hAnsi="Times New Roman" w:cs="Times New Roman"/>
          <w:sz w:val="24"/>
          <w:szCs w:val="24"/>
        </w:rPr>
        <w:t xml:space="preserve">свега </w:t>
      </w:r>
      <w:r w:rsidR="005444C0" w:rsidRPr="003C6E11">
        <w:rPr>
          <w:rFonts w:ascii="Times New Roman" w:hAnsi="Times New Roman" w:cs="Times New Roman"/>
          <w:sz w:val="24"/>
          <w:szCs w:val="24"/>
        </w:rPr>
        <w:t>капацитет</w:t>
      </w:r>
      <w:r w:rsidR="00BF020A" w:rsidRPr="003C6E11">
        <w:rPr>
          <w:rFonts w:ascii="Times New Roman" w:hAnsi="Times New Roman" w:cs="Times New Roman"/>
          <w:sz w:val="24"/>
          <w:szCs w:val="24"/>
        </w:rPr>
        <w:t>а</w:t>
      </w:r>
      <w:r w:rsidR="007E730F" w:rsidRPr="003C6E11">
        <w:rPr>
          <w:rFonts w:ascii="Times New Roman" w:hAnsi="Times New Roman" w:cs="Times New Roman"/>
          <w:sz w:val="24"/>
          <w:szCs w:val="24"/>
        </w:rPr>
        <w:t xml:space="preserve"> и </w:t>
      </w:r>
      <w:r w:rsidR="005444C0" w:rsidRPr="003C6E11">
        <w:rPr>
          <w:rFonts w:ascii="Times New Roman" w:hAnsi="Times New Roman" w:cs="Times New Roman"/>
          <w:sz w:val="24"/>
          <w:szCs w:val="24"/>
        </w:rPr>
        <w:t>ресурс</w:t>
      </w:r>
      <w:r w:rsidR="00BF020A" w:rsidRPr="003C6E11">
        <w:rPr>
          <w:rFonts w:ascii="Times New Roman" w:hAnsi="Times New Roman" w:cs="Times New Roman"/>
          <w:sz w:val="24"/>
          <w:szCs w:val="24"/>
        </w:rPr>
        <w:t xml:space="preserve">а </w:t>
      </w:r>
      <w:r w:rsidR="007E730F" w:rsidRPr="003C6E11">
        <w:rPr>
          <w:rFonts w:ascii="Times New Roman" w:hAnsi="Times New Roman" w:cs="Times New Roman"/>
          <w:sz w:val="24"/>
          <w:szCs w:val="24"/>
        </w:rPr>
        <w:t>лиценцираних лица</w:t>
      </w:r>
      <w:r w:rsidR="00845262" w:rsidRPr="003C6E11">
        <w:rPr>
          <w:rFonts w:ascii="Times New Roman" w:hAnsi="Times New Roman" w:cs="Times New Roman"/>
          <w:sz w:val="24"/>
          <w:szCs w:val="24"/>
        </w:rPr>
        <w:t>.</w:t>
      </w:r>
      <w:r w:rsidR="007E730F" w:rsidRPr="003C6E11">
        <w:rPr>
          <w:rFonts w:ascii="Times New Roman" w:hAnsi="Times New Roman" w:cs="Times New Roman"/>
          <w:sz w:val="24"/>
          <w:szCs w:val="24"/>
        </w:rPr>
        <w:t xml:space="preserve"> </w:t>
      </w:r>
    </w:p>
    <w:p w14:paraId="6A552142" w14:textId="6FCE752C" w:rsidR="00FF66F3" w:rsidRPr="00DF5DC8" w:rsidRDefault="002E2391" w:rsidP="0068298B">
      <w:pPr>
        <w:spacing w:after="150"/>
        <w:ind w:firstLine="720"/>
        <w:jc w:val="both"/>
        <w:rPr>
          <w:rFonts w:ascii="Times New Roman" w:hAnsi="Times New Roman" w:cs="Times New Roman"/>
          <w:color w:val="000000"/>
          <w:sz w:val="24"/>
          <w:szCs w:val="24"/>
        </w:rPr>
      </w:pPr>
      <w:r>
        <w:rPr>
          <w:rFonts w:ascii="Times New Roman" w:hAnsi="Times New Roman" w:cs="Times New Roman"/>
          <w:sz w:val="24"/>
          <w:szCs w:val="24"/>
        </w:rPr>
        <w:t>Ц</w:t>
      </w:r>
      <w:r w:rsidR="007E730F" w:rsidRPr="00DF5DC8">
        <w:rPr>
          <w:rFonts w:ascii="Times New Roman" w:hAnsi="Times New Roman" w:cs="Times New Roman"/>
          <w:sz w:val="24"/>
          <w:szCs w:val="24"/>
        </w:rPr>
        <w:t>иљ анализе је да се прикупе подаци о лиценцираним</w:t>
      </w:r>
      <w:r>
        <w:rPr>
          <w:rFonts w:ascii="Times New Roman" w:hAnsi="Times New Roman" w:cs="Times New Roman"/>
          <w:sz w:val="24"/>
          <w:szCs w:val="24"/>
        </w:rPr>
        <w:t xml:space="preserve"> правним</w:t>
      </w:r>
      <w:r w:rsidR="007E730F" w:rsidRPr="00DF5DC8">
        <w:rPr>
          <w:rFonts w:ascii="Times New Roman" w:hAnsi="Times New Roman" w:cs="Times New Roman"/>
          <w:sz w:val="24"/>
          <w:szCs w:val="24"/>
        </w:rPr>
        <w:t xml:space="preserve"> лицима</w:t>
      </w:r>
      <w:r>
        <w:rPr>
          <w:rFonts w:ascii="Times New Roman" w:hAnsi="Times New Roman" w:cs="Times New Roman"/>
          <w:sz w:val="24"/>
          <w:szCs w:val="24"/>
        </w:rPr>
        <w:t xml:space="preserve"> и предузетницима</w:t>
      </w:r>
      <w:r w:rsidR="007E730F" w:rsidRPr="00DF5DC8">
        <w:rPr>
          <w:rFonts w:ascii="Times New Roman" w:hAnsi="Times New Roman" w:cs="Times New Roman"/>
          <w:sz w:val="24"/>
          <w:szCs w:val="24"/>
        </w:rPr>
        <w:t xml:space="preserve"> к</w:t>
      </w:r>
      <w:r>
        <w:rPr>
          <w:rFonts w:ascii="Times New Roman" w:hAnsi="Times New Roman" w:cs="Times New Roman"/>
          <w:sz w:val="24"/>
          <w:szCs w:val="24"/>
        </w:rPr>
        <w:t>оји</w:t>
      </w:r>
      <w:r w:rsidR="00397EC7" w:rsidRPr="00DF5DC8">
        <w:rPr>
          <w:rFonts w:ascii="Times New Roman" w:hAnsi="Times New Roman" w:cs="Times New Roman"/>
          <w:sz w:val="24"/>
          <w:szCs w:val="24"/>
        </w:rPr>
        <w:t xml:space="preserve"> су од значаја за надзор, а које Управа за безбедност и здравље на раду не поседује (обим </w:t>
      </w:r>
      <w:r w:rsidR="007E730F" w:rsidRPr="00DF5DC8">
        <w:rPr>
          <w:rFonts w:ascii="Times New Roman" w:hAnsi="Times New Roman" w:cs="Times New Roman"/>
          <w:sz w:val="24"/>
          <w:szCs w:val="24"/>
        </w:rPr>
        <w:t>активности</w:t>
      </w:r>
      <w:r w:rsidR="00397EC7" w:rsidRPr="00DF5DC8">
        <w:rPr>
          <w:rFonts w:ascii="Times New Roman" w:hAnsi="Times New Roman" w:cs="Times New Roman"/>
          <w:sz w:val="24"/>
          <w:szCs w:val="24"/>
        </w:rPr>
        <w:t>, број лица којима се пружају услуге, детаљни подаци о људским ресурсима и капацитетима, финансијски показатељи  и др.)</w:t>
      </w:r>
      <w:r w:rsidR="007E730F" w:rsidRPr="00DF5DC8">
        <w:rPr>
          <w:rFonts w:ascii="Times New Roman" w:hAnsi="Times New Roman" w:cs="Times New Roman"/>
          <w:sz w:val="24"/>
          <w:szCs w:val="24"/>
        </w:rPr>
        <w:t xml:space="preserve">. Након тога, врши се процена </w:t>
      </w:r>
      <w:r>
        <w:rPr>
          <w:rFonts w:ascii="Times New Roman" w:hAnsi="Times New Roman" w:cs="Times New Roman"/>
          <w:sz w:val="24"/>
          <w:szCs w:val="24"/>
        </w:rPr>
        <w:t>обима</w:t>
      </w:r>
      <w:r w:rsidR="00397EC7" w:rsidRPr="00DF5DC8">
        <w:rPr>
          <w:rFonts w:ascii="Times New Roman" w:hAnsi="Times New Roman" w:cs="Times New Roman"/>
          <w:sz w:val="24"/>
          <w:szCs w:val="24"/>
        </w:rPr>
        <w:t xml:space="preserve"> и </w:t>
      </w:r>
      <w:r w:rsidR="007E730F" w:rsidRPr="00DF5DC8">
        <w:rPr>
          <w:rFonts w:ascii="Times New Roman" w:hAnsi="Times New Roman" w:cs="Times New Roman"/>
          <w:sz w:val="24"/>
          <w:szCs w:val="24"/>
        </w:rPr>
        <w:t xml:space="preserve">квалитета услуга које пружају </w:t>
      </w:r>
      <w:r w:rsidR="00DC5710" w:rsidRPr="00DF5DC8">
        <w:rPr>
          <w:rFonts w:ascii="Times New Roman" w:hAnsi="Times New Roman" w:cs="Times New Roman"/>
          <w:sz w:val="24"/>
          <w:szCs w:val="24"/>
        </w:rPr>
        <w:t>лиценцирана</w:t>
      </w:r>
      <w:r w:rsidR="007E730F" w:rsidRPr="00DF5DC8">
        <w:rPr>
          <w:rFonts w:ascii="Times New Roman" w:hAnsi="Times New Roman" w:cs="Times New Roman"/>
          <w:sz w:val="24"/>
          <w:szCs w:val="24"/>
        </w:rPr>
        <w:t xml:space="preserve"> правна лица и предузе</w:t>
      </w:r>
      <w:r w:rsidR="00E02483">
        <w:rPr>
          <w:rFonts w:ascii="Times New Roman" w:hAnsi="Times New Roman" w:cs="Times New Roman"/>
          <w:sz w:val="24"/>
          <w:szCs w:val="24"/>
        </w:rPr>
        <w:t>тници на основу унапред утврђе</w:t>
      </w:r>
      <w:r w:rsidR="007E730F" w:rsidRPr="00DF5DC8">
        <w:rPr>
          <w:rFonts w:ascii="Times New Roman" w:hAnsi="Times New Roman" w:cs="Times New Roman"/>
          <w:sz w:val="24"/>
          <w:szCs w:val="24"/>
        </w:rPr>
        <w:t>них критеријума и стандарда.</w:t>
      </w:r>
      <w:r w:rsidR="00DC5710" w:rsidRPr="00DF5DC8">
        <w:rPr>
          <w:rFonts w:ascii="Times New Roman" w:hAnsi="Times New Roman" w:cs="Times New Roman"/>
          <w:sz w:val="24"/>
          <w:szCs w:val="24"/>
        </w:rPr>
        <w:t xml:space="preserve"> </w:t>
      </w:r>
      <w:r w:rsidR="008045F3" w:rsidRPr="00DF5DC8">
        <w:rPr>
          <w:rFonts w:ascii="Times New Roman" w:hAnsi="Times New Roman" w:cs="Times New Roman"/>
          <w:sz w:val="24"/>
          <w:szCs w:val="24"/>
        </w:rPr>
        <w:t xml:space="preserve">Очекивани утицај ове </w:t>
      </w:r>
      <w:r>
        <w:rPr>
          <w:rFonts w:ascii="Times New Roman" w:hAnsi="Times New Roman" w:cs="Times New Roman"/>
          <w:sz w:val="24"/>
          <w:szCs w:val="24"/>
        </w:rPr>
        <w:t>анализе</w:t>
      </w:r>
      <w:r w:rsidR="008045F3" w:rsidRPr="00DF5DC8">
        <w:rPr>
          <w:rFonts w:ascii="Times New Roman" w:hAnsi="Times New Roman" w:cs="Times New Roman"/>
          <w:sz w:val="24"/>
          <w:szCs w:val="24"/>
        </w:rPr>
        <w:t xml:space="preserve"> је вишеструк. Пре свега, </w:t>
      </w:r>
      <w:r w:rsidR="00980415" w:rsidRPr="00DF5DC8">
        <w:rPr>
          <w:rFonts w:ascii="Times New Roman" w:hAnsi="Times New Roman" w:cs="Times New Roman"/>
          <w:sz w:val="24"/>
          <w:szCs w:val="24"/>
        </w:rPr>
        <w:t>омогућава се доношење мера како би се унапредио</w:t>
      </w:r>
      <w:r w:rsidR="008045F3" w:rsidRPr="00DF5DC8">
        <w:rPr>
          <w:rFonts w:ascii="Times New Roman" w:hAnsi="Times New Roman" w:cs="Times New Roman"/>
          <w:sz w:val="24"/>
          <w:szCs w:val="24"/>
        </w:rPr>
        <w:t xml:space="preserve"> квалитет</w:t>
      </w:r>
      <w:r>
        <w:rPr>
          <w:rFonts w:ascii="Times New Roman" w:hAnsi="Times New Roman" w:cs="Times New Roman"/>
          <w:sz w:val="24"/>
          <w:szCs w:val="24"/>
        </w:rPr>
        <w:t xml:space="preserve"> пружених</w:t>
      </w:r>
      <w:r w:rsidR="008045F3" w:rsidRPr="00DF5DC8">
        <w:rPr>
          <w:rFonts w:ascii="Times New Roman" w:hAnsi="Times New Roman" w:cs="Times New Roman"/>
          <w:sz w:val="24"/>
          <w:szCs w:val="24"/>
        </w:rPr>
        <w:t xml:space="preserve"> услуга, што директно утиче на побољшање безбедности </w:t>
      </w:r>
      <w:r>
        <w:rPr>
          <w:rFonts w:ascii="Times New Roman" w:hAnsi="Times New Roman" w:cs="Times New Roman"/>
          <w:sz w:val="24"/>
          <w:szCs w:val="24"/>
        </w:rPr>
        <w:t xml:space="preserve">и здравља </w:t>
      </w:r>
      <w:r w:rsidR="008045F3" w:rsidRPr="00DF5DC8">
        <w:rPr>
          <w:rFonts w:ascii="Times New Roman" w:hAnsi="Times New Roman" w:cs="Times New Roman"/>
          <w:sz w:val="24"/>
          <w:szCs w:val="24"/>
        </w:rPr>
        <w:t xml:space="preserve">на радним местима. </w:t>
      </w:r>
      <w:r w:rsidR="00980415" w:rsidRPr="00DF5DC8">
        <w:rPr>
          <w:rFonts w:ascii="Times New Roman" w:hAnsi="Times New Roman" w:cs="Times New Roman"/>
          <w:sz w:val="24"/>
          <w:szCs w:val="24"/>
        </w:rPr>
        <w:t>Такође, анализа ће пружити основ за е</w:t>
      </w:r>
      <w:r w:rsidR="008045F3" w:rsidRPr="00DF5DC8">
        <w:rPr>
          <w:rFonts w:ascii="Times New Roman" w:hAnsi="Times New Roman" w:cs="Times New Roman"/>
          <w:sz w:val="24"/>
          <w:szCs w:val="24"/>
        </w:rPr>
        <w:t xml:space="preserve">фикаснији надзор </w:t>
      </w:r>
      <w:r w:rsidR="00980415" w:rsidRPr="00DF5DC8">
        <w:rPr>
          <w:rFonts w:ascii="Times New Roman" w:hAnsi="Times New Roman" w:cs="Times New Roman"/>
          <w:sz w:val="24"/>
          <w:szCs w:val="24"/>
        </w:rPr>
        <w:t>што ће довести</w:t>
      </w:r>
      <w:r w:rsidR="00FF66F3" w:rsidRPr="00DF5DC8">
        <w:rPr>
          <w:rFonts w:ascii="Times New Roman" w:hAnsi="Times New Roman" w:cs="Times New Roman"/>
          <w:sz w:val="24"/>
          <w:szCs w:val="24"/>
        </w:rPr>
        <w:t xml:space="preserve"> </w:t>
      </w:r>
      <w:r w:rsidR="008045F3" w:rsidRPr="00DF5DC8">
        <w:rPr>
          <w:rFonts w:ascii="Times New Roman" w:hAnsi="Times New Roman" w:cs="Times New Roman"/>
          <w:sz w:val="24"/>
          <w:szCs w:val="24"/>
        </w:rPr>
        <w:t xml:space="preserve"> до боље усклађености правних лица и предузетника са </w:t>
      </w:r>
      <w:r w:rsidR="00E02483">
        <w:rPr>
          <w:rFonts w:ascii="Times New Roman" w:hAnsi="Times New Roman" w:cs="Times New Roman"/>
          <w:sz w:val="24"/>
          <w:szCs w:val="24"/>
        </w:rPr>
        <w:t>законским обавезама и прописи</w:t>
      </w:r>
      <w:r w:rsidR="008045F3" w:rsidRPr="00DF5DC8">
        <w:rPr>
          <w:rFonts w:ascii="Times New Roman" w:hAnsi="Times New Roman" w:cs="Times New Roman"/>
          <w:sz w:val="24"/>
          <w:szCs w:val="24"/>
        </w:rPr>
        <w:t>ма. Такође, побољшање квалитета услуга и ефикаснији надзор доприносе смањењу броја повреда</w:t>
      </w:r>
      <w:r>
        <w:rPr>
          <w:rFonts w:ascii="Times New Roman" w:hAnsi="Times New Roman" w:cs="Times New Roman"/>
          <w:sz w:val="24"/>
          <w:szCs w:val="24"/>
        </w:rPr>
        <w:t xml:space="preserve"> на раду</w:t>
      </w:r>
      <w:r w:rsidR="008045F3" w:rsidRPr="00DF5DC8">
        <w:rPr>
          <w:rFonts w:ascii="Times New Roman" w:hAnsi="Times New Roman" w:cs="Times New Roman"/>
          <w:sz w:val="24"/>
          <w:szCs w:val="24"/>
        </w:rPr>
        <w:t xml:space="preserve"> и професионалних болести на радном месту. На крају, унапређење надзорних механизама и повећање транспарентности у раду овлашћених правних лица и предузетника повећава поверење </w:t>
      </w:r>
      <w:r>
        <w:rPr>
          <w:rFonts w:ascii="Times New Roman" w:hAnsi="Times New Roman" w:cs="Times New Roman"/>
          <w:sz w:val="24"/>
          <w:szCs w:val="24"/>
        </w:rPr>
        <w:t>запослених</w:t>
      </w:r>
      <w:r w:rsidR="008045F3" w:rsidRPr="00DF5DC8">
        <w:rPr>
          <w:rFonts w:ascii="Times New Roman" w:hAnsi="Times New Roman" w:cs="Times New Roman"/>
          <w:sz w:val="24"/>
          <w:szCs w:val="24"/>
        </w:rPr>
        <w:t xml:space="preserve"> и послодаваца у </w:t>
      </w:r>
      <w:r w:rsidR="00DE0B26">
        <w:rPr>
          <w:rFonts w:ascii="Times New Roman" w:hAnsi="Times New Roman" w:cs="Times New Roman"/>
          <w:sz w:val="24"/>
          <w:szCs w:val="24"/>
        </w:rPr>
        <w:t xml:space="preserve">правилну примену прописа и </w:t>
      </w:r>
      <w:r w:rsidR="008045F3" w:rsidRPr="00DF5DC8">
        <w:rPr>
          <w:rFonts w:ascii="Times New Roman" w:hAnsi="Times New Roman" w:cs="Times New Roman"/>
          <w:sz w:val="24"/>
          <w:szCs w:val="24"/>
        </w:rPr>
        <w:t>систем безбедности и здравља на раду</w:t>
      </w:r>
      <w:r w:rsidR="00DE0B26">
        <w:rPr>
          <w:rFonts w:ascii="Times New Roman" w:hAnsi="Times New Roman" w:cs="Times New Roman"/>
          <w:sz w:val="24"/>
          <w:szCs w:val="24"/>
        </w:rPr>
        <w:t xml:space="preserve"> заснован на њима</w:t>
      </w:r>
      <w:r w:rsidR="008045F3" w:rsidRPr="00DF5DC8">
        <w:rPr>
          <w:rFonts w:ascii="Times New Roman" w:hAnsi="Times New Roman" w:cs="Times New Roman"/>
          <w:sz w:val="24"/>
          <w:szCs w:val="24"/>
        </w:rPr>
        <w:t>.</w:t>
      </w:r>
      <w:r w:rsidR="00DC5710" w:rsidRPr="00DF5DC8">
        <w:rPr>
          <w:rFonts w:ascii="Times New Roman" w:hAnsi="Times New Roman" w:cs="Times New Roman"/>
          <w:sz w:val="24"/>
          <w:szCs w:val="24"/>
        </w:rPr>
        <w:t xml:space="preserve"> </w:t>
      </w:r>
      <w:r w:rsidR="00FF66F3" w:rsidRPr="00DF5DC8">
        <w:rPr>
          <w:rFonts w:ascii="Times New Roman" w:hAnsi="Times New Roman" w:cs="Times New Roman"/>
          <w:sz w:val="24"/>
          <w:szCs w:val="24"/>
        </w:rPr>
        <w:t>Предвиђено је да се на основу резултата анализе имплементирају ефикаснији механизми надзора који ће осигурати да сва правна лица и предузетници раде у складу са законом и стандардима. Поред тога, анализа може указати на потребу да</w:t>
      </w:r>
      <w:r>
        <w:rPr>
          <w:rFonts w:ascii="Times New Roman" w:hAnsi="Times New Roman" w:cs="Times New Roman"/>
          <w:sz w:val="24"/>
          <w:szCs w:val="24"/>
        </w:rPr>
        <w:t xml:space="preserve"> се</w:t>
      </w:r>
      <w:r w:rsidR="00FF66F3" w:rsidRPr="00DF5DC8">
        <w:rPr>
          <w:rFonts w:ascii="Times New Roman" w:hAnsi="Times New Roman" w:cs="Times New Roman"/>
          <w:sz w:val="24"/>
          <w:szCs w:val="24"/>
        </w:rPr>
        <w:t xml:space="preserve"> организују обуке за правна лица и предузетнике како би били упознати са најбољим праксама и новим регулативама у области безбедности и здравља на раду.</w:t>
      </w:r>
    </w:p>
    <w:p w14:paraId="4E6DE6FD" w14:textId="1EFE3446" w:rsidR="001F7B68" w:rsidRPr="00C419C8"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sz w:val="24"/>
          <w:szCs w:val="24"/>
        </w:rPr>
        <w:t xml:space="preserve">Посебан циљ 2. Промоција значаја (културе) превенције у области безбедности и здравља на раду </w:t>
      </w:r>
      <w:r w:rsidR="00C419C8" w:rsidRPr="00C419C8">
        <w:rPr>
          <w:rFonts w:ascii="Times New Roman" w:hAnsi="Times New Roman" w:cs="Times New Roman"/>
          <w:b/>
          <w:sz w:val="24"/>
          <w:szCs w:val="24"/>
        </w:rPr>
        <w:t>(подизање свести и информисање јавности)</w:t>
      </w:r>
    </w:p>
    <w:p w14:paraId="5C4266EC" w14:textId="78F3CB5C"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Мера 2.1. Подизање свести јавности и заинтересованих страна</w:t>
      </w:r>
      <w:r w:rsidR="00125211">
        <w:rPr>
          <w:rFonts w:ascii="Times New Roman" w:hAnsi="Times New Roman" w:cs="Times New Roman"/>
          <w:b/>
          <w:bCs/>
          <w:color w:val="000000" w:themeColor="text1"/>
          <w:sz w:val="24"/>
          <w:szCs w:val="24"/>
        </w:rPr>
        <w:t xml:space="preserve"> о безбеднијим и здравијим условима на радном месту</w:t>
      </w:r>
      <w:r w:rsidRPr="00203E0A">
        <w:rPr>
          <w:rFonts w:ascii="Times New Roman" w:hAnsi="Times New Roman" w:cs="Times New Roman"/>
          <w:b/>
          <w:bCs/>
          <w:color w:val="000000" w:themeColor="text1"/>
          <w:sz w:val="24"/>
          <w:szCs w:val="24"/>
        </w:rPr>
        <w:t xml:space="preserve"> (информативно-едукативн</w:t>
      </w:r>
      <w:r w:rsidR="004A0AF7">
        <w:rPr>
          <w:rFonts w:ascii="Times New Roman" w:hAnsi="Times New Roman" w:cs="Times New Roman"/>
          <w:b/>
          <w:bCs/>
          <w:color w:val="000000" w:themeColor="text1"/>
          <w:sz w:val="24"/>
          <w:szCs w:val="24"/>
        </w:rPr>
        <w:t>а</w:t>
      </w:r>
      <w:r w:rsidRPr="00203E0A">
        <w:rPr>
          <w:rFonts w:ascii="Times New Roman" w:hAnsi="Times New Roman" w:cs="Times New Roman"/>
          <w:b/>
          <w:bCs/>
          <w:color w:val="000000" w:themeColor="text1"/>
          <w:sz w:val="24"/>
          <w:szCs w:val="24"/>
        </w:rPr>
        <w:t>)</w:t>
      </w:r>
    </w:p>
    <w:p w14:paraId="7A73518F"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Превенција ризика и промовисање безбеднијих и здравијих услова на радном месту су важни, не само за побољшање квалитета посла и услова за рад, већ и за промовисање конкурентности. Здравље запослених има директан и мерљив позитиван утицај на продуктивност и доприноси унапређењу одрживости система социјалне заштите. Спречавање обољевања запослених од професионалних болести, као и спречавање повреда на раду и промовисање здравља, од првих радних дана на даље, је кључ одрживог радног века.</w:t>
      </w:r>
    </w:p>
    <w:p w14:paraId="350CD562"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Професионалне болести, укључујући болести у вези са радом, представљају велико оптерећење за запослене, привредне субјекте и системе социјалног осигурања. Иако су многе нове технологије и иновације у организацији рада значајно унапредиле благостање на раду, као и услове за рад, ефикасна превенција професионалних болести захтева предвиђање потенцијалних негативних утицаја нових технологија на безбедност и здравље на раду. Примена нових технологија у индустрији води до нових производа и процеса, који морају да се тестирају у довољној мери, као и да се провере како би се уверили да су безбедни и да не представљају опасност за запослене. Промене у </w:t>
      </w:r>
      <w:r w:rsidRPr="00203E0A">
        <w:rPr>
          <w:rFonts w:ascii="Times New Roman" w:hAnsi="Times New Roman" w:cs="Times New Roman"/>
          <w:color w:val="000000" w:themeColor="text1"/>
          <w:sz w:val="24"/>
          <w:szCs w:val="24"/>
        </w:rPr>
        <w:lastRenderedPageBreak/>
        <w:t>организацији рада које су резултат развоја информационих технологија отварају многе могућности за флексибилне и интерактивне процесе рада.</w:t>
      </w:r>
    </w:p>
    <w:p w14:paraId="4862E2F3"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Због технолошких и економских разлога најчешће није могуће уклонити све здравствене ризике са радног места. Из ових разлога, праћење здравственог стања запослених има велики значај и обухвата медицинске процене ефеката на здравље који се развијају као резултат излагања запослених ризицима на радном месту. Главна сврха праћења здравственог стања је очување здравља и процена радне способности за обављање одређених послова, како би се проценило било које здравствено оштећење које може бити повезано са излагањем ризицима који су карактеристични за одређен процес рада и како би се препознале професионалне болести у складу са националним законодавством.</w:t>
      </w:r>
    </w:p>
    <w:p w14:paraId="14A94FA8"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Ефикасан систем безбедности и здравља на раду је неопходан, на првом месту због одрживог радног века и активног и здравог старења, што захтева стварање здравог окружења. Како би се то достигло, неопходно је успоставити и унапредити културу превенције.</w:t>
      </w:r>
    </w:p>
    <w:p w14:paraId="3E61AF88"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Успешност одрживог радног века у многоме зависи од правилног прилагођавања радних места и организације рада, укључујући и радно време, приступачност радном месту и осталим активностима намењеним старијим запосленима.</w:t>
      </w:r>
    </w:p>
    <w:p w14:paraId="4497C388"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Мере рехабилитације које омогућавају рано враћање на посао након повреде на раду или професионалне болести су неопходне како би се избегло трајно искључивање запослених са тржишта рада.</w:t>
      </w:r>
    </w:p>
    <w:p w14:paraId="0D350B0E" w14:textId="7848CDD2"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 xml:space="preserve">Мера 2.2. </w:t>
      </w:r>
      <w:r w:rsidR="00125211">
        <w:rPr>
          <w:rFonts w:ascii="Times New Roman" w:hAnsi="Times New Roman" w:cs="Times New Roman"/>
          <w:b/>
          <w:bCs/>
          <w:color w:val="000000" w:themeColor="text1"/>
          <w:sz w:val="24"/>
          <w:szCs w:val="24"/>
        </w:rPr>
        <w:t xml:space="preserve">Унапређење система образовања у области безбедности и здравља на </w:t>
      </w:r>
      <w:r w:rsidR="00845262">
        <w:rPr>
          <w:rFonts w:ascii="Times New Roman" w:hAnsi="Times New Roman" w:cs="Times New Roman"/>
          <w:b/>
          <w:bCs/>
          <w:color w:val="000000" w:themeColor="text1"/>
          <w:sz w:val="24"/>
          <w:szCs w:val="24"/>
        </w:rPr>
        <w:t>раду</w:t>
      </w:r>
    </w:p>
    <w:p w14:paraId="46F5D8F9" w14:textId="0EF9DB6F"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Укључивање безбедности и здравља на раду у систем образовања на свим нивоима је важно за унапређење културе превенције. Поред других ме</w:t>
      </w:r>
      <w:r w:rsidR="00DE0B26">
        <w:rPr>
          <w:rFonts w:ascii="Times New Roman" w:hAnsi="Times New Roman" w:cs="Times New Roman"/>
          <w:color w:val="000000" w:themeColor="text1"/>
          <w:sz w:val="24"/>
          <w:szCs w:val="24"/>
        </w:rPr>
        <w:t>ра, кроз образовање и континуиран</w:t>
      </w:r>
      <w:r w:rsidRPr="00203E0A">
        <w:rPr>
          <w:rFonts w:ascii="Times New Roman" w:hAnsi="Times New Roman" w:cs="Times New Roman"/>
          <w:color w:val="000000" w:themeColor="text1"/>
          <w:sz w:val="24"/>
          <w:szCs w:val="24"/>
        </w:rPr>
        <w:t>е обуке професионалног развоја могуће је подићи свест и изградити дугорочно знање о безбедности и здрављу на раду. Основно знање о безбедности и здрављу на раду потребно је интегрисати у школски програм на одговарајући начин како би будући запослени били свесни своје безбедности и здравља. Добро образовање о безбедности и здрављу на раду омогућава студентима и ученицима да усвоје позитиван однос и понашање, како би стекли знање, развили вештине и способности да идентификују опасности и ризике и нађу решења.</w:t>
      </w:r>
    </w:p>
    <w:p w14:paraId="6091ADD5"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Међутим, потребно је радити на промоцији области безбедности и здравља на раду у систему основног, средњег и високог образовања како би се развила свест о важности сопственог здравља и безбедности. Програм безбедности и здравља на раду обухвата заједничке активности школе, родитеља и локалне самоуправе.</w:t>
      </w:r>
    </w:p>
    <w:p w14:paraId="4FC6BB5D" w14:textId="707C10E8"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Младима често недостају знање и искуство о ризицима повезаним са њиховим радним задацима. Као резултат интеграције безбедности и здравља на раду у образовање, Република Србија је кроз модел дуалног образовања почела да укључује образовање о превенцији ризика у програме средњих стручних школа. Наиме, Законом о основном </w:t>
      </w:r>
      <w:r w:rsidR="00632AF3">
        <w:rPr>
          <w:rFonts w:ascii="Times New Roman" w:hAnsi="Times New Roman" w:cs="Times New Roman"/>
          <w:color w:val="000000" w:themeColor="text1"/>
          <w:sz w:val="24"/>
          <w:szCs w:val="24"/>
        </w:rPr>
        <w:t>образовању и васпитању (члан 27</w:t>
      </w:r>
      <w:r w:rsidRPr="00203E0A">
        <w:rPr>
          <w:rFonts w:ascii="Times New Roman" w:hAnsi="Times New Roman" w:cs="Times New Roman"/>
          <w:color w:val="000000" w:themeColor="text1"/>
          <w:sz w:val="24"/>
          <w:szCs w:val="24"/>
        </w:rPr>
        <w:t xml:space="preserve">) у школски програм уведена је област безбедности и заштите на раду, док је Законом о средњем образовању и васпитању, ова област у школски програм уведена чланом 11. став 1. тачка 18. Даље, потребно је развити </w:t>
      </w:r>
      <w:r w:rsidRPr="00203E0A">
        <w:rPr>
          <w:rFonts w:ascii="Times New Roman" w:hAnsi="Times New Roman" w:cs="Times New Roman"/>
          <w:color w:val="000000" w:themeColor="text1"/>
          <w:sz w:val="24"/>
          <w:szCs w:val="24"/>
        </w:rPr>
        <w:lastRenderedPageBreak/>
        <w:t xml:space="preserve">приступ који се фокусира не само на садржај учења, већ на простор у којима се спроводи практично учење. Зато ученици имају активну улогу у безбедности и здрављу на раду кроз школске активности. Подизање свести о важности здравља и безбедности на раду код ученика у основном и средњем образовању и васпитању – обавезно у систему дуалног образовања обавезан предмет – програма, а кроз грађанско васпитање обавезни часови посвећени безбедности и здрављу на раду. </w:t>
      </w:r>
    </w:p>
    <w:p w14:paraId="160EC9B6" w14:textId="16BF46A5"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У систе</w:t>
      </w:r>
      <w:r w:rsidR="00DE0B26">
        <w:rPr>
          <w:rFonts w:ascii="Times New Roman" w:hAnsi="Times New Roman" w:cs="Times New Roman"/>
          <w:color w:val="000000" w:themeColor="text1"/>
          <w:sz w:val="24"/>
          <w:szCs w:val="24"/>
        </w:rPr>
        <w:t>му високог образовања, уређен</w:t>
      </w:r>
      <w:r w:rsidRPr="00203E0A">
        <w:rPr>
          <w:rFonts w:ascii="Times New Roman" w:hAnsi="Times New Roman" w:cs="Times New Roman"/>
          <w:color w:val="000000" w:themeColor="text1"/>
          <w:sz w:val="24"/>
          <w:szCs w:val="24"/>
        </w:rPr>
        <w:t xml:space="preserve">ог Законом о високом образовању, у Републици Србији постоје акредитоване високошколске установе које образују стручњаке на студијским програмима у оквиру научне и стручне области инжењерства заштите животне средине и заштите на раду. У складу са принципима Болоњске декларације, потребно је унапређивање постојећих и имплементација нових академских и струковних студијских програма са циљем побољшања мобилности и афирмације социјалног дијалога у овој области. </w:t>
      </w:r>
    </w:p>
    <w:p w14:paraId="505D064F"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Савремени научни и стручни трендови имплицирају интердисциплинарност и мултидисциплинарност у области безбедности и здравља на раду као основе за развој техничко-технолошког и менаџерског приступа, интеграцију знања и послова и тимски рад с циљем побољшања перформанси безбедности и здравља на раду и економске ефикасности. Поред наставно-образовне делатности, потребно је подстицати развој научно-истраживачког рада, сарадњу и умрежавање високошколских установа (у националним, регионалним и међународним оквирима) кроз покретање научно-истраживачких пројеката, трансфер научних знања и других научних активности у овој области.</w:t>
      </w:r>
    </w:p>
    <w:p w14:paraId="5BFDB2B0" w14:textId="7FEBCCD3" w:rsidR="001579D6" w:rsidRPr="003C6E11" w:rsidRDefault="48A77BA5" w:rsidP="003C6E11">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Општи принцип образовања и васпитања за безбедност и здравље на раду је целоживотно учење које укључује све облике учења и подразумева учествовање у различитим облицима образовних активности током живота, који доприноси превенцији повреда на раду и професионалних болести. Према Закону о образовању одраслих, оно представља део јединственог система образовања у Републици Србији који обезбеђује одраслима стицање компетенција и квалификација потребних за лични и професионални развој, рад и запошљавање током целог живота. У циљу континуираног унапређења и развоја стручних компетенција за обављање послова из области безбедности и здравља на раду, треба подстицати професионално усавршавање и целоживотно учење лица која се баве овим пословима кроз учешће на научним и стручним скуповима, објављивање научних и стручних радова, студијске посете и др.</w:t>
      </w:r>
    </w:p>
    <w:p w14:paraId="59E13974" w14:textId="2D12F837"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 xml:space="preserve">Мера 2.3. </w:t>
      </w:r>
      <w:r w:rsidR="00125211">
        <w:rPr>
          <w:rFonts w:ascii="Times New Roman" w:hAnsi="Times New Roman" w:cs="Times New Roman"/>
          <w:b/>
          <w:bCs/>
          <w:color w:val="000000" w:themeColor="text1"/>
          <w:sz w:val="24"/>
          <w:szCs w:val="24"/>
        </w:rPr>
        <w:t>Јачање социјалног дијалога у области безбедности и здравља на раду</w:t>
      </w:r>
    </w:p>
    <w:p w14:paraId="3065F7CD"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Социјални партнери (репрезентативне организације запослених и послодаваца) имају значајну улогу у креирању, увођењу и спровођењу политика безбедности и здравља на раду, као и у промовисању безбедних и здравих услова на раду.</w:t>
      </w:r>
    </w:p>
    <w:p w14:paraId="52E03316"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Потребно је наставити подршку рада социјалних партнера и истицати важност закључивања колективних уговора како би се заузели ставови који задовољавају интересе запослених и послодаваца. </w:t>
      </w:r>
    </w:p>
    <w:p w14:paraId="7E14B4FF" w14:textId="08AD4D4D"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Имајући у виду значај социјалног дијалога, утврђена је потреба оснивања Стручне комисије за безбедност и здравље на раду на трипартитном нивоу која има саветодавну улогу и даје инцијативе за унапређење ове области Управи за безбедност и </w:t>
      </w:r>
      <w:r w:rsidRPr="00203E0A">
        <w:rPr>
          <w:rFonts w:ascii="Times New Roman" w:hAnsi="Times New Roman" w:cs="Times New Roman"/>
          <w:color w:val="000000" w:themeColor="text1"/>
          <w:sz w:val="24"/>
          <w:szCs w:val="24"/>
        </w:rPr>
        <w:lastRenderedPageBreak/>
        <w:t>здравље на раду кроз анализу актуелног система безбедности и здравља на раду. Стручна комисија за безбедност и здравље на раду броји седам чланова (два члана из Министарства за рад, запошљавање, борачка и социјална питања, два члана из репрезентативних синдиката, два члана из репрезентативног удружења послодаваца и једног члана академске заједнице – стручњака за одређену област).</w:t>
      </w:r>
    </w:p>
    <w:p w14:paraId="7B708AF3"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Циљеви и задаци Стручне комисије за безбедност и здравље на раду јесу:</w:t>
      </w:r>
    </w:p>
    <w:p w14:paraId="278F9745"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1) рад на „Превенцији изнад свега” у области безбедности и здрављу на раду;</w:t>
      </w:r>
    </w:p>
    <w:p w14:paraId="4AAB09CF"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2) анализа закона и подзаконских прописа;</w:t>
      </w:r>
    </w:p>
    <w:p w14:paraId="1EA41894" w14:textId="1B4AF72D" w:rsidR="00C52D6B" w:rsidRPr="00203E0A" w:rsidRDefault="00842943" w:rsidP="00C52D6B">
      <w:pPr>
        <w:spacing w:after="150"/>
        <w:ind w:firstLine="72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3) </w:t>
      </w:r>
      <w:r w:rsidR="48A77BA5" w:rsidRPr="00203E0A">
        <w:rPr>
          <w:rFonts w:ascii="Times New Roman" w:hAnsi="Times New Roman" w:cs="Times New Roman"/>
          <w:color w:val="000000" w:themeColor="text1"/>
          <w:sz w:val="24"/>
          <w:szCs w:val="24"/>
        </w:rPr>
        <w:t>анализа стања макро система, лоших појава, као и давање предлога за превазилажење истих;</w:t>
      </w:r>
    </w:p>
    <w:p w14:paraId="184F9918"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4) идентификовање примера добре праксе и њихово промовисање на нивоу Републике Србије;</w:t>
      </w:r>
    </w:p>
    <w:p w14:paraId="40B0F174"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5) учешће у изради водича и брошура;</w:t>
      </w:r>
    </w:p>
    <w:p w14:paraId="5F2BD0C5"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6) подршка образовању из области безбедности и здравља на раду у оквиру формалног и неформалног образовања;</w:t>
      </w:r>
    </w:p>
    <w:p w14:paraId="2EF50968"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7) учешће у организовању и обележавању 28. априла – Дана безбедности и здравља на раду у Републици Србији и додели националних признања из области безбедности и здравља на раду;</w:t>
      </w:r>
    </w:p>
    <w:p w14:paraId="0976AD95"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8) учешће у организовању и обележавању Европске недеље безбедности и здравља на раду;</w:t>
      </w:r>
    </w:p>
    <w:p w14:paraId="28EDD598"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9) учешће у раду информативне мреже безбедности и здравља на раду;</w:t>
      </w:r>
    </w:p>
    <w:p w14:paraId="4727DEFE"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10) учешће у медијским кампањама.</w:t>
      </w:r>
    </w:p>
    <w:p w14:paraId="5FA287A5" w14:textId="0491BFE7" w:rsidR="00C52D6B" w:rsidRPr="003C6E11" w:rsidRDefault="48A77BA5" w:rsidP="00C52D6B">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Стручну комисију за безбедност и здравље на раду образује министар надлежан за рад </w:t>
      </w:r>
      <w:r w:rsidRPr="003C6E11">
        <w:rPr>
          <w:rFonts w:ascii="Times New Roman" w:hAnsi="Times New Roman" w:cs="Times New Roman"/>
          <w:sz w:val="24"/>
          <w:szCs w:val="24"/>
        </w:rPr>
        <w:t>на предлог Управе за безбедност и здравље на раду.</w:t>
      </w:r>
    </w:p>
    <w:p w14:paraId="763912F2" w14:textId="12CE3958" w:rsidR="00624B7B" w:rsidRDefault="00624B7B" w:rsidP="48A77BA5">
      <w:pPr>
        <w:spacing w:after="150"/>
        <w:ind w:firstLine="720"/>
        <w:jc w:val="both"/>
        <w:rPr>
          <w:rFonts w:ascii="Times New Roman" w:hAnsi="Times New Roman" w:cs="Times New Roman"/>
          <w:b/>
          <w:bCs/>
          <w:sz w:val="24"/>
          <w:szCs w:val="24"/>
        </w:rPr>
      </w:pPr>
      <w:r w:rsidRPr="00624B7B">
        <w:rPr>
          <w:rFonts w:ascii="Times New Roman" w:hAnsi="Times New Roman" w:cs="Times New Roman"/>
          <w:b/>
          <w:bCs/>
          <w:sz w:val="24"/>
          <w:szCs w:val="24"/>
        </w:rPr>
        <w:t>Посебан циљ 3. Унапређење услова рада ради спречавања повреда на раду, професионалних болести и болести у вези са радом</w:t>
      </w:r>
    </w:p>
    <w:p w14:paraId="2443236D" w14:textId="7C30C66C"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Мера 3.1. Унапређење правног оквира за безбедност и здравље на раду (регулаторна мера)</w:t>
      </w:r>
    </w:p>
    <w:p w14:paraId="3EB2D9B3" w14:textId="0E3CFDC3"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Систем безбедности и здравља на раду у Републици Србији уређен је Законом о безбедности и здрављу на раду који је усклађен са</w:t>
      </w:r>
      <w:r w:rsidR="00AC5CC8">
        <w:rPr>
          <w:rFonts w:ascii="Times New Roman" w:hAnsi="Times New Roman" w:cs="Times New Roman"/>
          <w:color w:val="000000" w:themeColor="text1"/>
          <w:sz w:val="24"/>
          <w:szCs w:val="24"/>
        </w:rPr>
        <w:t xml:space="preserve"> (транутно утврђеним)</w:t>
      </w:r>
      <w:r w:rsidRPr="00203E0A">
        <w:rPr>
          <w:rFonts w:ascii="Times New Roman" w:hAnsi="Times New Roman" w:cs="Times New Roman"/>
          <w:color w:val="000000" w:themeColor="text1"/>
          <w:sz w:val="24"/>
          <w:szCs w:val="24"/>
        </w:rPr>
        <w:t xml:space="preserve"> захтевима из Директиве 89/391/ЕЕЗ о увођењу мера за подстицање побољшања безбедности и здравља на раду, као и подзаконским прописима којима су у национално законодавство транспоноване појединачне директиве ЕУ. Поред обавезе потпуног усаглашавања са директивама ЕУ потребно је наставити процес унапређења прописа како би се превазишли препознати проблеми из праксе.</w:t>
      </w:r>
    </w:p>
    <w:p w14:paraId="57FD7BDE" w14:textId="77777777" w:rsidR="00D77961"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Процес даљег усаглашавања са директивама ЕУ планиран је Националним програмом за усвајање правних тековина Европске уније који представља детаљан, вишегодишњи план усклађивања националних прописа са прописима ЕУ. </w:t>
      </w:r>
    </w:p>
    <w:p w14:paraId="6E567E58" w14:textId="76D653E0" w:rsidR="00C52D6B" w:rsidRPr="00203E0A" w:rsidRDefault="48A77BA5" w:rsidP="00C52D6B">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lastRenderedPageBreak/>
        <w:t>У циљу спровођења Закона о безбедности и здрављу потребно је донети подзаконске прописе прописане Законом у року од 18 ме</w:t>
      </w:r>
      <w:r w:rsidR="00AC5CC8">
        <w:rPr>
          <w:rFonts w:ascii="Times New Roman" w:hAnsi="Times New Roman" w:cs="Times New Roman"/>
          <w:sz w:val="24"/>
          <w:szCs w:val="24"/>
        </w:rPr>
        <w:t>сеци од дана ступања на снагу т</w:t>
      </w:r>
      <w:r w:rsidRPr="00203E0A">
        <w:rPr>
          <w:rFonts w:ascii="Times New Roman" w:hAnsi="Times New Roman" w:cs="Times New Roman"/>
          <w:sz w:val="24"/>
          <w:szCs w:val="24"/>
        </w:rPr>
        <w:t>ог закона.</w:t>
      </w:r>
    </w:p>
    <w:p w14:paraId="5155F964" w14:textId="6B28F135" w:rsidR="00C52D6B" w:rsidRPr="00203E0A" w:rsidRDefault="48A77BA5" w:rsidP="00B83C78">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У оквиру ове мере сви учесници посебно и таксативно набројани морају активно учествовати у праћењу, али и развијању и иницирању закона како из области</w:t>
      </w:r>
      <w:r w:rsidR="00566C2B">
        <w:rPr>
          <w:rFonts w:ascii="Times New Roman" w:hAnsi="Times New Roman" w:cs="Times New Roman"/>
          <w:color w:val="000000" w:themeColor="text1"/>
          <w:sz w:val="24"/>
          <w:szCs w:val="24"/>
        </w:rPr>
        <w:t xml:space="preserve"> безбедности и здравља на раду, </w:t>
      </w:r>
      <w:r w:rsidRPr="00203E0A">
        <w:rPr>
          <w:rFonts w:ascii="Times New Roman" w:hAnsi="Times New Roman" w:cs="Times New Roman"/>
          <w:color w:val="000000" w:themeColor="text1"/>
          <w:sz w:val="24"/>
          <w:szCs w:val="24"/>
        </w:rPr>
        <w:t xml:space="preserve">свакако укључујући радно законодавство, као и из области социјалне и здравствене политике како би се успоставио систем безбедних и здравих услова на раду. Такође, у оквиру ове регулаторне мере подстицати и промовисати систем колективног преговарања. </w:t>
      </w:r>
    </w:p>
    <w:p w14:paraId="34B3867D" w14:textId="7E30D4DB"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Мера 3.2. Уређење института осигурања од повреда на раду и професионалних болести (регулаторна мера)</w:t>
      </w:r>
    </w:p>
    <w:p w14:paraId="663B3F20" w14:textId="7777777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Потребно је наставити даље активности на доношењу Закона о осигурању од повреда на раду и професионалних болести којим ће се уредити ова питања.</w:t>
      </w:r>
    </w:p>
    <w:p w14:paraId="16A1DA24" w14:textId="2BFC8E7B" w:rsidR="00C52D6B" w:rsidRPr="00203E0A" w:rsidRDefault="48A77BA5" w:rsidP="00B83C78">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Прописи из области безбедности и здравља на раду показали су своју вредност обезбеђујући концепт превенције као основ за смањење повреда на раду и професионалних болести. Законодавни оквир од кључног је значаја како би се обезбедио висок ниво заштите запослених и како би се створили једнаки услови за све привредне субјекте без обзира на њихову величину, локацију или сектор пословања. Доказано је да испуњавање законских обавеза и принудних мера које налажу инспектори за рад, остају кључни стимулатори за управљање безбедношћу и здрављем на раду у већини привредних субјеката.</w:t>
      </w:r>
    </w:p>
    <w:p w14:paraId="5A3A50B2" w14:textId="77777777"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Мера 3.3. Анализа података Инспектората за рад према типовима субјекта ради вршења надзора заснованог на анализи ризика - risk based assessment</w:t>
      </w:r>
    </w:p>
    <w:p w14:paraId="6F23D766" w14:textId="0C46CD5A" w:rsidR="00C52D6B" w:rsidRPr="003C6E11" w:rsidRDefault="48A77BA5" w:rsidP="00B83C78">
      <w:pPr>
        <w:spacing w:after="150"/>
        <w:ind w:firstLine="720"/>
        <w:jc w:val="both"/>
        <w:rPr>
          <w:rFonts w:ascii="Times New Roman" w:hAnsi="Times New Roman" w:cs="Times New Roman"/>
          <w:sz w:val="24"/>
          <w:szCs w:val="24"/>
        </w:rPr>
      </w:pPr>
      <w:r w:rsidRPr="00203E0A">
        <w:rPr>
          <w:rFonts w:ascii="Times New Roman" w:hAnsi="Times New Roman" w:cs="Times New Roman"/>
          <w:color w:val="000000" w:themeColor="text1"/>
          <w:sz w:val="24"/>
          <w:szCs w:val="24"/>
        </w:rPr>
        <w:t xml:space="preserve">На основу вишегодишњих података Инспектората за рад могуће је унапредити категоризацију послодаваца према процењеном степену ризика што ће омогућити боље таргетирање и већи учинак инспекцијског надзора. На основу анализе могуће је унапредити планирање рада Инспектората за рад, односно ревидирати процене о потреби учесталости инспекцијског надзора и потребном времену спровођења </w:t>
      </w:r>
      <w:r w:rsidRPr="003C6E11">
        <w:rPr>
          <w:rFonts w:ascii="Times New Roman" w:hAnsi="Times New Roman" w:cs="Times New Roman"/>
          <w:sz w:val="24"/>
          <w:szCs w:val="24"/>
        </w:rPr>
        <w:t>инспекцијског надзора.</w:t>
      </w:r>
    </w:p>
    <w:p w14:paraId="4ED5139E" w14:textId="621474C7" w:rsidR="009E3DC6" w:rsidRPr="003C6E11" w:rsidRDefault="009E3DC6" w:rsidP="009E3DC6">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Анализа података Инспектората за рад према типовима субјеката ради вршења надзора заснованог на анализи ризика (risk based assessment) је од кључне важности за ефикасно и делотворно управљање безбедношћу и здрављем на раду. </w:t>
      </w:r>
      <w:r w:rsidR="0050486D" w:rsidRPr="003C6E11">
        <w:rPr>
          <w:rFonts w:ascii="Times New Roman" w:hAnsi="Times New Roman" w:cs="Times New Roman"/>
          <w:sz w:val="24"/>
          <w:szCs w:val="24"/>
        </w:rPr>
        <w:t xml:space="preserve">Коришћењем напредних статистичких метода и алата </w:t>
      </w:r>
      <w:r w:rsidRPr="003C6E11">
        <w:rPr>
          <w:rFonts w:ascii="Times New Roman" w:hAnsi="Times New Roman" w:cs="Times New Roman"/>
          <w:sz w:val="24"/>
          <w:szCs w:val="24"/>
        </w:rPr>
        <w:t>омогућава</w:t>
      </w:r>
      <w:r w:rsidR="0050486D" w:rsidRPr="003C6E11">
        <w:rPr>
          <w:rFonts w:ascii="Times New Roman" w:hAnsi="Times New Roman" w:cs="Times New Roman"/>
          <w:sz w:val="24"/>
          <w:szCs w:val="24"/>
        </w:rPr>
        <w:t xml:space="preserve"> се</w:t>
      </w:r>
      <w:r w:rsidRPr="003C6E11">
        <w:rPr>
          <w:rFonts w:ascii="Times New Roman" w:hAnsi="Times New Roman" w:cs="Times New Roman"/>
          <w:sz w:val="24"/>
          <w:szCs w:val="24"/>
        </w:rPr>
        <w:t xml:space="preserve"> усмеравање инспекцијских ресурса на најкритичније </w:t>
      </w:r>
      <w:r w:rsidR="00FA261D" w:rsidRPr="003C6E11">
        <w:rPr>
          <w:rFonts w:ascii="Times New Roman" w:hAnsi="Times New Roman" w:cs="Times New Roman"/>
          <w:sz w:val="24"/>
          <w:szCs w:val="24"/>
        </w:rPr>
        <w:t>области и субјекте</w:t>
      </w:r>
      <w:r w:rsidRPr="003C6E11">
        <w:rPr>
          <w:rFonts w:ascii="Times New Roman" w:hAnsi="Times New Roman" w:cs="Times New Roman"/>
          <w:sz w:val="24"/>
          <w:szCs w:val="24"/>
        </w:rPr>
        <w:t xml:space="preserve">, чиме се повећава ефективност и делотворност надзора, а самим тим и унапређује безбедност </w:t>
      </w:r>
      <w:r w:rsidR="00FB6638" w:rsidRPr="003C6E11">
        <w:rPr>
          <w:rFonts w:ascii="Times New Roman" w:hAnsi="Times New Roman" w:cs="Times New Roman"/>
          <w:sz w:val="24"/>
          <w:szCs w:val="24"/>
        </w:rPr>
        <w:t>запослених</w:t>
      </w:r>
      <w:r w:rsidRPr="003C6E11">
        <w:rPr>
          <w:rFonts w:ascii="Times New Roman" w:hAnsi="Times New Roman" w:cs="Times New Roman"/>
          <w:sz w:val="24"/>
          <w:szCs w:val="24"/>
        </w:rPr>
        <w:t>.</w:t>
      </w:r>
      <w:r w:rsidR="00FA261D" w:rsidRPr="003C6E11">
        <w:rPr>
          <w:rFonts w:ascii="Times New Roman" w:hAnsi="Times New Roman" w:cs="Times New Roman"/>
          <w:sz w:val="24"/>
          <w:szCs w:val="24"/>
        </w:rPr>
        <w:t xml:space="preserve"> </w:t>
      </w:r>
    </w:p>
    <w:p w14:paraId="211C1F3E" w14:textId="2F9D2409" w:rsidR="009E3DC6" w:rsidRDefault="009E3DC6" w:rsidP="00171AFB">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Очекивани утицај ове мере је значајан. </w:t>
      </w:r>
      <w:r w:rsidR="00A14189" w:rsidRPr="003C6E11">
        <w:rPr>
          <w:rFonts w:ascii="Times New Roman" w:hAnsi="Times New Roman" w:cs="Times New Roman"/>
          <w:sz w:val="24"/>
          <w:szCs w:val="24"/>
        </w:rPr>
        <w:t xml:space="preserve">Детаљна и свеобухватна анализа података ће </w:t>
      </w:r>
      <w:r w:rsidR="009B7177" w:rsidRPr="003C6E11">
        <w:rPr>
          <w:rFonts w:ascii="Times New Roman" w:hAnsi="Times New Roman" w:cs="Times New Roman"/>
          <w:sz w:val="24"/>
          <w:szCs w:val="24"/>
        </w:rPr>
        <w:t>омогућити ефикасније распоређивање</w:t>
      </w:r>
      <w:r w:rsidR="00A14189" w:rsidRPr="003C6E11">
        <w:rPr>
          <w:rFonts w:ascii="Times New Roman" w:hAnsi="Times New Roman" w:cs="Times New Roman"/>
          <w:sz w:val="24"/>
          <w:szCs w:val="24"/>
        </w:rPr>
        <w:t xml:space="preserve"> оскудних инспекцијских ресурса и унапређени прист</w:t>
      </w:r>
      <w:r w:rsidR="009B7177" w:rsidRPr="003C6E11">
        <w:rPr>
          <w:rFonts w:ascii="Times New Roman" w:hAnsi="Times New Roman" w:cs="Times New Roman"/>
          <w:sz w:val="24"/>
          <w:szCs w:val="24"/>
        </w:rPr>
        <w:t>уп</w:t>
      </w:r>
      <w:r w:rsidR="00A14189" w:rsidRPr="003C6E11">
        <w:rPr>
          <w:rFonts w:ascii="Times New Roman" w:hAnsi="Times New Roman" w:cs="Times New Roman"/>
          <w:sz w:val="24"/>
          <w:szCs w:val="24"/>
        </w:rPr>
        <w:t xml:space="preserve"> надзору кроз унапређење постојеће анализе ризика засноване на подацима.</w:t>
      </w:r>
      <w:r w:rsidR="009B7177" w:rsidRPr="003C6E11">
        <w:rPr>
          <w:rFonts w:ascii="Times New Roman" w:hAnsi="Times New Roman" w:cs="Times New Roman"/>
          <w:sz w:val="24"/>
          <w:szCs w:val="24"/>
        </w:rPr>
        <w:t xml:space="preserve"> </w:t>
      </w:r>
      <w:r w:rsidRPr="003C6E11">
        <w:rPr>
          <w:rFonts w:ascii="Times New Roman" w:hAnsi="Times New Roman" w:cs="Times New Roman"/>
          <w:sz w:val="24"/>
          <w:szCs w:val="24"/>
        </w:rPr>
        <w:t>Побољшање квалитета надзора и увођење савремених метода доприноси смањењу броја повреда и професионалних болести на радном месту. Осим тога, повећава се транспарентност и поверење у рад Инспектората за рад, што позитивно утиче на целокупни систем безбедности и здравља на раду.</w:t>
      </w:r>
    </w:p>
    <w:p w14:paraId="3A7C3AF9" w14:textId="77777777" w:rsidR="005B1EA5" w:rsidRPr="003C6E11" w:rsidRDefault="005B1EA5" w:rsidP="00171AFB">
      <w:pPr>
        <w:spacing w:after="150"/>
        <w:ind w:firstLine="720"/>
        <w:jc w:val="both"/>
        <w:rPr>
          <w:rFonts w:ascii="Times New Roman" w:hAnsi="Times New Roman" w:cs="Times New Roman"/>
          <w:sz w:val="24"/>
          <w:szCs w:val="24"/>
        </w:rPr>
      </w:pPr>
    </w:p>
    <w:p w14:paraId="4D0B5100" w14:textId="77777777"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lastRenderedPageBreak/>
        <w:t>Мера 3.4. Унапређење капацитета Инспектората за рад</w:t>
      </w:r>
    </w:p>
    <w:p w14:paraId="462F4B09" w14:textId="748875AF"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На иницијативу Координационе комисије за инспекцијски надзор, 2019. године je израђена Функционална анализа републичких инспекција са анализом капацитета, у том моменту, за укупно 41 републичку инспекцију. </w:t>
      </w:r>
    </w:p>
    <w:p w14:paraId="1F5E708A" w14:textId="36D2E667"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Функционална анализа је, узимајући у обзир број надзора и број субјеката надзора према степену ризичности, трајање инспекцијског надзора, број  расположивих радних дана за обављање послова инспекцијског надзора и саветодавних посета на годишњем нивоу, као и организацију и опремљеност инспекције, утврдила број инспектора који је потребан свакој инспекцији за вршење послова.</w:t>
      </w:r>
    </w:p>
    <w:p w14:paraId="05101090" w14:textId="282EA8C6"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На седници која је одржана дана 8. августа 2019.</w:t>
      </w:r>
      <w:r w:rsidR="002F52F6">
        <w:rPr>
          <w:rFonts w:ascii="Times New Roman" w:hAnsi="Times New Roman" w:cs="Times New Roman"/>
          <w:color w:val="000000" w:themeColor="text1"/>
          <w:sz w:val="24"/>
          <w:szCs w:val="24"/>
          <w:lang w:val="en-US"/>
        </w:rPr>
        <w:t xml:space="preserve"> </w:t>
      </w:r>
      <w:r w:rsidRPr="00203E0A">
        <w:rPr>
          <w:rFonts w:ascii="Times New Roman" w:hAnsi="Times New Roman" w:cs="Times New Roman"/>
          <w:color w:val="000000" w:themeColor="text1"/>
          <w:sz w:val="24"/>
          <w:szCs w:val="24"/>
        </w:rPr>
        <w:t>године, Влада Републике Србије je усвојила Трогодишњи акциони план за запошљавање државних службеника који обављају послове инспекцијског надзора у надлежности републичких инспекција.</w:t>
      </w:r>
    </w:p>
    <w:p w14:paraId="54582127" w14:textId="1343048F"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Усвојеним планом, поред осталог, било је предвиђено до краја 2021. годинe додатно запошљавање још 40 инспектора рада, односно да је оптималан број инспектора рада 307. Додатно запошљавање је претходно захтевало промену Правилника о унутрашњем уређењу и систематизацији радних места, тако да у Инспекторату за рад укупно буде систематизовано 318 радних места, од којих 307 радних места инспектора рада.</w:t>
      </w:r>
    </w:p>
    <w:p w14:paraId="53FCC1E3" w14:textId="4C66DA66"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 xml:space="preserve">С обзиром на велики број упражњених радних места, која су углавном настала смањењем броја инспектора рада због одласка у старосну пензију, који је у једном тренутку износио и 60 упражњених радних места, Инспекторат за рад није могао да добије сагласност  за повећање броја систематизованих радних места инспектора рада. </w:t>
      </w:r>
    </w:p>
    <w:p w14:paraId="4E0B9E10" w14:textId="785C6B7C" w:rsidR="00B83C78" w:rsidRPr="00203E0A" w:rsidRDefault="48A77BA5" w:rsidP="000B0908">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Инспекторат за рад континуирано спроводи активности у циљу попуњавања упражњених, систематизованих радних места инспектора рада, а потом и додатног запошљавања инспектора рада, као и у циљу адекватне техничке опремљености инспекције рада.</w:t>
      </w:r>
    </w:p>
    <w:p w14:paraId="55329CD9" w14:textId="2DFD4441" w:rsidR="001F7B68" w:rsidRPr="00203E0A" w:rsidRDefault="48A77BA5" w:rsidP="000B0908">
      <w:pPr>
        <w:spacing w:after="150"/>
        <w:ind w:firstLine="720"/>
        <w:jc w:val="both"/>
        <w:rPr>
          <w:rFonts w:ascii="Times New Roman" w:hAnsi="Times New Roman" w:cs="Times New Roman"/>
          <w:sz w:val="24"/>
          <w:szCs w:val="24"/>
        </w:rPr>
      </w:pPr>
      <w:r w:rsidRPr="00203E0A">
        <w:rPr>
          <w:rFonts w:ascii="Times New Roman" w:hAnsi="Times New Roman" w:cs="Times New Roman"/>
          <w:b/>
          <w:bCs/>
          <w:sz w:val="24"/>
          <w:szCs w:val="24"/>
        </w:rPr>
        <w:t>Посебан циљ 4. Унапређење евиденциј</w:t>
      </w:r>
      <w:r w:rsidR="00C419C8">
        <w:rPr>
          <w:rFonts w:ascii="Times New Roman" w:hAnsi="Times New Roman" w:cs="Times New Roman"/>
          <w:b/>
          <w:bCs/>
          <w:sz w:val="24"/>
          <w:szCs w:val="24"/>
        </w:rPr>
        <w:t>а</w:t>
      </w:r>
      <w:r w:rsidRPr="00203E0A">
        <w:rPr>
          <w:rFonts w:ascii="Times New Roman" w:hAnsi="Times New Roman" w:cs="Times New Roman"/>
          <w:b/>
          <w:bCs/>
          <w:sz w:val="24"/>
          <w:szCs w:val="24"/>
        </w:rPr>
        <w:t xml:space="preserve"> о повредама на раду</w:t>
      </w:r>
      <w:r w:rsidRPr="00203E0A">
        <w:rPr>
          <w:rFonts w:ascii="Times New Roman" w:hAnsi="Times New Roman" w:cs="Times New Roman"/>
          <w:b/>
          <w:bCs/>
          <w:color w:val="FF0000"/>
          <w:sz w:val="24"/>
          <w:szCs w:val="24"/>
        </w:rPr>
        <w:t xml:space="preserve"> </w:t>
      </w:r>
      <w:r w:rsidRPr="00203E0A">
        <w:rPr>
          <w:rFonts w:ascii="Times New Roman" w:hAnsi="Times New Roman" w:cs="Times New Roman"/>
          <w:b/>
          <w:bCs/>
          <w:sz w:val="24"/>
          <w:szCs w:val="24"/>
        </w:rPr>
        <w:t>и лиценцама</w:t>
      </w:r>
      <w:r w:rsidR="00C419C8" w:rsidRPr="00C419C8">
        <w:rPr>
          <w:rFonts w:ascii="Times New Roman" w:eastAsia="Times New Roman" w:hAnsi="Times New Roman" w:cs="Times New Roman"/>
          <w:bCs/>
          <w:color w:val="000000"/>
          <w:sz w:val="24"/>
          <w:szCs w:val="24"/>
          <w:lang w:val="sr-Latn-RS" w:eastAsia="sr-Latn-RS"/>
        </w:rPr>
        <w:t xml:space="preserve"> </w:t>
      </w:r>
    </w:p>
    <w:p w14:paraId="739CFE51" w14:textId="77777777" w:rsidR="00C52D6B" w:rsidRPr="00203E0A" w:rsidRDefault="48A77BA5" w:rsidP="48A77BA5">
      <w:pPr>
        <w:spacing w:after="150"/>
        <w:ind w:firstLine="720"/>
        <w:jc w:val="both"/>
        <w:rPr>
          <w:rFonts w:ascii="Times New Roman" w:hAnsi="Times New Roman" w:cs="Times New Roman"/>
          <w:b/>
          <w:bCs/>
          <w:color w:val="000000"/>
          <w:sz w:val="24"/>
          <w:szCs w:val="24"/>
        </w:rPr>
      </w:pPr>
      <w:r w:rsidRPr="00203E0A">
        <w:rPr>
          <w:rFonts w:ascii="Times New Roman" w:hAnsi="Times New Roman" w:cs="Times New Roman"/>
          <w:b/>
          <w:bCs/>
          <w:color w:val="000000" w:themeColor="text1"/>
          <w:sz w:val="24"/>
          <w:szCs w:val="24"/>
        </w:rPr>
        <w:t>Мера 4.1. Увођење јединственог Регистра повреда на раду</w:t>
      </w:r>
    </w:p>
    <w:p w14:paraId="68D54E5A" w14:textId="4DA22410" w:rsidR="00C52D6B" w:rsidRPr="00203E0A" w:rsidRDefault="48A77BA5" w:rsidP="00C52D6B">
      <w:pPr>
        <w:spacing w:after="150"/>
        <w:ind w:firstLine="720"/>
        <w:jc w:val="both"/>
        <w:rPr>
          <w:rFonts w:ascii="Times New Roman" w:hAnsi="Times New Roman" w:cs="Times New Roman"/>
          <w:color w:val="000000"/>
          <w:sz w:val="24"/>
          <w:szCs w:val="24"/>
        </w:rPr>
      </w:pPr>
      <w:r w:rsidRPr="00203E0A">
        <w:rPr>
          <w:rFonts w:ascii="Times New Roman" w:hAnsi="Times New Roman" w:cs="Times New Roman"/>
          <w:color w:val="000000" w:themeColor="text1"/>
          <w:sz w:val="24"/>
          <w:szCs w:val="24"/>
        </w:rPr>
        <w:t>Како би се унапредиле евиденције о повредама на раду увешће се јединствени Регистар повреда на раду чији ће оквир бити утврђен на основу сагледаних надлежности и потреба заинтересованих страна.</w:t>
      </w:r>
    </w:p>
    <w:p w14:paraId="604E45DD" w14:textId="696F96E6" w:rsidR="002419CE" w:rsidRPr="00203E0A" w:rsidRDefault="48A77BA5" w:rsidP="48A77BA5">
      <w:pPr>
        <w:spacing w:after="150"/>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Мера 4.2. Увођење јединственог Регистра о издатим, обновљеним и одузетим лиценцама</w:t>
      </w:r>
    </w:p>
    <w:p w14:paraId="47D49EF9" w14:textId="77777777" w:rsidR="006A1D56" w:rsidRDefault="48A77BA5" w:rsidP="00C52D6B">
      <w:pPr>
        <w:spacing w:after="150"/>
        <w:ind w:firstLine="720"/>
        <w:jc w:val="both"/>
        <w:rPr>
          <w:rFonts w:ascii="Times New Roman" w:hAnsi="Times New Roman" w:cs="Times New Roman"/>
          <w:sz w:val="24"/>
          <w:szCs w:val="24"/>
        </w:rPr>
      </w:pPr>
      <w:r w:rsidRPr="00203E0A">
        <w:rPr>
          <w:rFonts w:ascii="Times New Roman" w:hAnsi="Times New Roman" w:cs="Times New Roman"/>
          <w:sz w:val="24"/>
          <w:szCs w:val="24"/>
        </w:rPr>
        <w:t xml:space="preserve">Како би се спровела одредба Закона о безбедности и здрављу на раду потребно је увођење </w:t>
      </w:r>
      <w:r w:rsidRPr="00203E0A">
        <w:rPr>
          <w:rFonts w:ascii="Times New Roman" w:hAnsi="Times New Roman"/>
          <w:sz w:val="24"/>
          <w:szCs w:val="24"/>
        </w:rPr>
        <w:t xml:space="preserve">регистра лиценци као јединствене, електронски вођене база података о издатим, обновљеним и одузетим лиценцама, односно </w:t>
      </w:r>
      <w:r w:rsidRPr="00203E0A">
        <w:rPr>
          <w:rFonts w:ascii="Times New Roman" w:hAnsi="Times New Roman" w:cs="Times New Roman"/>
          <w:sz w:val="24"/>
          <w:szCs w:val="24"/>
        </w:rPr>
        <w:t xml:space="preserve">успоставити Регистар као </w:t>
      </w:r>
      <w:r w:rsidRPr="00203E0A">
        <w:rPr>
          <w:rFonts w:ascii="Times New Roman" w:hAnsi="Times New Roman"/>
          <w:sz w:val="24"/>
          <w:szCs w:val="24"/>
        </w:rPr>
        <w:t>централизовану евиденцију у електронском облику</w:t>
      </w:r>
      <w:r w:rsidRPr="00203E0A">
        <w:rPr>
          <w:rFonts w:ascii="Times New Roman" w:hAnsi="Times New Roman" w:cs="Times New Roman"/>
          <w:sz w:val="24"/>
          <w:szCs w:val="24"/>
        </w:rPr>
        <w:t>.</w:t>
      </w:r>
      <w:r w:rsidR="006A1D56">
        <w:rPr>
          <w:rFonts w:ascii="Times New Roman" w:hAnsi="Times New Roman" w:cs="Times New Roman"/>
          <w:sz w:val="24"/>
          <w:szCs w:val="24"/>
        </w:rPr>
        <w:t xml:space="preserve"> </w:t>
      </w:r>
    </w:p>
    <w:p w14:paraId="78FCE233" w14:textId="45287831" w:rsidR="005904E9" w:rsidRPr="003C6E11" w:rsidRDefault="006A1D56" w:rsidP="00C52D6B">
      <w:pPr>
        <w:spacing w:after="150"/>
        <w:ind w:firstLine="720"/>
        <w:jc w:val="both"/>
        <w:rPr>
          <w:rFonts w:ascii="Times New Roman" w:hAnsi="Times New Roman" w:cs="Times New Roman"/>
          <w:sz w:val="24"/>
          <w:szCs w:val="24"/>
        </w:rPr>
      </w:pPr>
      <w:r w:rsidRPr="003C6E11">
        <w:rPr>
          <w:rFonts w:ascii="Times New Roman" w:hAnsi="Times New Roman" w:cs="Times New Roman"/>
          <w:sz w:val="24"/>
          <w:szCs w:val="24"/>
        </w:rPr>
        <w:t xml:space="preserve">Јединствени регистар доприноси повећању транспарентности у управљању лиценцама, што омогућава бољу контролу и смањење ризика од злоупотреба. Централизована база података олакшава рад инспекцијских служби и других релевантних институција, што доводи до ефикаснијег и делотворнијег надзора. Поред </w:t>
      </w:r>
      <w:r w:rsidRPr="003C6E11">
        <w:rPr>
          <w:rFonts w:ascii="Times New Roman" w:hAnsi="Times New Roman" w:cs="Times New Roman"/>
          <w:sz w:val="24"/>
          <w:szCs w:val="24"/>
        </w:rPr>
        <w:lastRenderedPageBreak/>
        <w:t xml:space="preserve">тога, побољшава се усклађеност са регулативама и смањује административни терет за правна лица и предузетнике. Увођење регистра такође повећава поверење у систем безбедности и здравља на раду, што позитивно утиче на целокупну безбедност </w:t>
      </w:r>
      <w:r w:rsidR="00442D03">
        <w:rPr>
          <w:rFonts w:ascii="Times New Roman" w:hAnsi="Times New Roman" w:cs="Times New Roman"/>
          <w:sz w:val="24"/>
          <w:szCs w:val="24"/>
        </w:rPr>
        <w:t>запослених</w:t>
      </w:r>
      <w:r w:rsidR="000618DD">
        <w:rPr>
          <w:rFonts w:ascii="Times New Roman" w:hAnsi="Times New Roman" w:cs="Times New Roman"/>
          <w:sz w:val="24"/>
          <w:szCs w:val="24"/>
          <w:lang w:val="en-US"/>
        </w:rPr>
        <w:t xml:space="preserve"> </w:t>
      </w:r>
      <w:r w:rsidRPr="003C6E11">
        <w:rPr>
          <w:rFonts w:ascii="Times New Roman" w:hAnsi="Times New Roman" w:cs="Times New Roman"/>
          <w:sz w:val="24"/>
          <w:szCs w:val="24"/>
        </w:rPr>
        <w:t>и радних места.</w:t>
      </w:r>
    </w:p>
    <w:p w14:paraId="134A10D3" w14:textId="056843F4" w:rsidR="002419CE" w:rsidRPr="00203E0A" w:rsidRDefault="48A77BA5" w:rsidP="00590BFC">
      <w:pPr>
        <w:spacing w:after="120" w:line="264" w:lineRule="auto"/>
        <w:ind w:firstLine="720"/>
        <w:jc w:val="both"/>
        <w:rPr>
          <w:rFonts w:ascii="Times New Roman" w:hAnsi="Times New Roman" w:cs="Times New Roman"/>
          <w:b/>
          <w:bCs/>
          <w:color w:val="000000" w:themeColor="text1"/>
          <w:sz w:val="24"/>
          <w:szCs w:val="24"/>
        </w:rPr>
      </w:pPr>
      <w:bookmarkStart w:id="39" w:name="_Toc126746542"/>
      <w:r w:rsidRPr="00203E0A">
        <w:rPr>
          <w:rFonts w:ascii="Times New Roman" w:hAnsi="Times New Roman" w:cs="Times New Roman"/>
          <w:b/>
          <w:bCs/>
          <w:color w:val="000000" w:themeColor="text1"/>
          <w:sz w:val="24"/>
          <w:szCs w:val="24"/>
        </w:rPr>
        <w:t xml:space="preserve">8. </w:t>
      </w:r>
      <w:r w:rsidR="00590BFC" w:rsidRPr="00203E0A">
        <w:rPr>
          <w:rFonts w:ascii="Times New Roman" w:hAnsi="Times New Roman" w:cs="Times New Roman"/>
          <w:b/>
          <w:bCs/>
          <w:color w:val="000000" w:themeColor="text1"/>
          <w:sz w:val="24"/>
          <w:szCs w:val="24"/>
        </w:rPr>
        <w:t>МЕХАНИЗАМ ЗА ПРАЋЕЊЕ</w:t>
      </w:r>
      <w:r w:rsidR="00B2491C" w:rsidRPr="00203E0A">
        <w:rPr>
          <w:rFonts w:ascii="Times New Roman" w:hAnsi="Times New Roman" w:cs="Times New Roman"/>
          <w:b/>
          <w:bCs/>
          <w:color w:val="000000" w:themeColor="text1"/>
          <w:sz w:val="24"/>
          <w:szCs w:val="24"/>
        </w:rPr>
        <w:t>, ИЗВЕШТАВАЊЕ И ВРЕДНОВАЊЕ СПРОВОЂЕЊА СТРАТЕГИЈЕ</w:t>
      </w:r>
      <w:bookmarkEnd w:id="39"/>
    </w:p>
    <w:p w14:paraId="1B7436BC" w14:textId="20B08DDC" w:rsidR="002419CE" w:rsidRPr="00203E0A" w:rsidRDefault="48A77BA5" w:rsidP="00381E5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Непосредну одговорност за управљање Стратегијом и Акционим планом има Министарство за рад, запошљавање, борачка и социјална питања – Управа за безбедност и здравље на раду, кој</w:t>
      </w:r>
      <w:r w:rsidR="00B757DD">
        <w:rPr>
          <w:rFonts w:ascii="Times New Roman" w:hAnsi="Times New Roman" w:cs="Times New Roman"/>
          <w:sz w:val="24"/>
          <w:szCs w:val="24"/>
        </w:rPr>
        <w:t>а</w:t>
      </w:r>
      <w:r w:rsidRPr="00203E0A">
        <w:rPr>
          <w:rFonts w:ascii="Times New Roman" w:hAnsi="Times New Roman" w:cs="Times New Roman"/>
          <w:sz w:val="24"/>
          <w:szCs w:val="24"/>
        </w:rPr>
        <w:t xml:space="preserve"> обавља и стручне и административно-техничке послове.</w:t>
      </w:r>
    </w:p>
    <w:p w14:paraId="54649A18" w14:textId="77777777" w:rsidR="002419CE" w:rsidRPr="00203E0A" w:rsidRDefault="48A77BA5" w:rsidP="00381E5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Акциони план је саставни део документа јавне политике којим су дефинисане мере и активности које ће се предузети ради обезбеђења услова да се циљеви и мере Стратегије реализују, одређени носиоци и партнери за спровођење мера и активности, дефинисани њихови показатељи, као и рокови и средства за њихово спровођење.</w:t>
      </w:r>
    </w:p>
    <w:p w14:paraId="327875B8" w14:textId="77777777" w:rsidR="002419CE" w:rsidRPr="00203E0A" w:rsidRDefault="48A77BA5" w:rsidP="00381E5F">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Сви органи, односно институције које су препознате као партнери у спровођењу имају обавезу да писмено извештавају Министарство за рад, запошљавање, борачка и социјална питања – Управу за безбедност и здравље на раду на годишњем нивоу о спровођењу мера и активности.</w:t>
      </w:r>
    </w:p>
    <w:p w14:paraId="0EA88F27" w14:textId="08B0F027" w:rsidR="001A6EA6" w:rsidRPr="00203E0A" w:rsidRDefault="48A77BA5" w:rsidP="007060DD">
      <w:pPr>
        <w:spacing w:after="120" w:line="264" w:lineRule="auto"/>
        <w:ind w:firstLine="720"/>
        <w:jc w:val="both"/>
        <w:rPr>
          <w:rFonts w:ascii="Times New Roman" w:hAnsi="Times New Roman" w:cs="Times New Roman"/>
          <w:color w:val="000000"/>
          <w:sz w:val="24"/>
          <w:szCs w:val="24"/>
        </w:rPr>
      </w:pPr>
      <w:r w:rsidRPr="00203E0A">
        <w:rPr>
          <w:rFonts w:ascii="Times New Roman" w:hAnsi="Times New Roman" w:cs="Times New Roman"/>
          <w:sz w:val="24"/>
          <w:szCs w:val="24"/>
        </w:rPr>
        <w:t xml:space="preserve">Извештај о резултатима у достизању утврђених циљева Стратегије биће припремљен на основу Еx-post анализа ефеката, а финални извештај биће поднет Влади на усвајање након истека важења Стратегије. Израда извештаја и достављање Влади вршиће се у складу са роковима утврђеним Законом о планском систему Републике Србије. Управа за безбедност и здравље на раду </w:t>
      </w:r>
      <w:r w:rsidRPr="00203E0A">
        <w:rPr>
          <w:rFonts w:ascii="Times New Roman" w:hAnsi="Times New Roman" w:cs="Times New Roman"/>
          <w:color w:val="000000" w:themeColor="text1"/>
          <w:sz w:val="24"/>
          <w:szCs w:val="24"/>
        </w:rPr>
        <w:t>прати спровођење Стратегије о чему обавештава Владу једанпут годишње и ако је то потребно предлаже измену Акционог плана.</w:t>
      </w:r>
    </w:p>
    <w:p w14:paraId="6A37A8D3" w14:textId="2B72F244" w:rsidR="002419CE" w:rsidRPr="00203E0A" w:rsidRDefault="48A77BA5" w:rsidP="48A77BA5">
      <w:pPr>
        <w:spacing w:after="150"/>
        <w:ind w:firstLine="720"/>
        <w:jc w:val="both"/>
        <w:rPr>
          <w:rFonts w:ascii="Times New Roman" w:hAnsi="Times New Roman" w:cs="Times New Roman"/>
          <w:b/>
          <w:bCs/>
          <w:sz w:val="24"/>
          <w:szCs w:val="24"/>
        </w:rPr>
      </w:pPr>
      <w:bookmarkStart w:id="40" w:name="_Toc126746543"/>
      <w:r w:rsidRPr="00203E0A">
        <w:rPr>
          <w:rFonts w:ascii="Times New Roman" w:hAnsi="Times New Roman" w:cs="Times New Roman"/>
          <w:b/>
          <w:bCs/>
          <w:color w:val="000000" w:themeColor="text1"/>
          <w:sz w:val="24"/>
          <w:szCs w:val="24"/>
        </w:rPr>
        <w:t xml:space="preserve">9. </w:t>
      </w:r>
      <w:r w:rsidRPr="00203E0A">
        <w:rPr>
          <w:rFonts w:ascii="Times New Roman" w:hAnsi="Times New Roman" w:cs="Times New Roman"/>
          <w:b/>
          <w:bCs/>
          <w:sz w:val="24"/>
          <w:szCs w:val="24"/>
        </w:rPr>
        <w:t>ПРОЦЕНА ФИНАНСИЈСКИХ СРЕДСТАВА ПОТРЕБНИХ ЗА СПРОВОЂЕЊЕ СТРАТЕГИЈЕ И АНАЛИЗА ФИНАНСИЈСКИХ ЕФЕКАТА</w:t>
      </w:r>
      <w:bookmarkEnd w:id="40"/>
    </w:p>
    <w:p w14:paraId="583313D0" w14:textId="77777777" w:rsidR="004D3F5A" w:rsidRPr="004D3F5A" w:rsidRDefault="004D3F5A" w:rsidP="004D3F5A">
      <w:pPr>
        <w:ind w:firstLine="720"/>
        <w:jc w:val="both"/>
        <w:rPr>
          <w:rFonts w:ascii="Times New Roman" w:hAnsi="Times New Roman" w:cs="Times New Roman"/>
          <w:sz w:val="24"/>
          <w:szCs w:val="24"/>
        </w:rPr>
      </w:pPr>
      <w:r w:rsidRPr="004D3F5A">
        <w:rPr>
          <w:rFonts w:ascii="Times New Roman" w:hAnsi="Times New Roman" w:cs="Times New Roman"/>
          <w:sz w:val="24"/>
          <w:szCs w:val="24"/>
        </w:rPr>
        <w:t>За спровођење ове стратегије обезбеђена су средства у буџету Републике Србије за 2024. годину - Законом о буџету Републике Србије за 2024. годину („Службени гласник РС”, брoj 92/23), и то:</w:t>
      </w:r>
    </w:p>
    <w:p w14:paraId="3A8BEA74" w14:textId="77777777" w:rsidR="004D3F5A" w:rsidRPr="004D3F5A" w:rsidRDefault="004D3F5A" w:rsidP="004D3F5A">
      <w:pPr>
        <w:ind w:firstLine="720"/>
        <w:jc w:val="both"/>
        <w:rPr>
          <w:rFonts w:ascii="Times New Roman" w:hAnsi="Times New Roman" w:cs="Times New Roman"/>
          <w:sz w:val="24"/>
          <w:szCs w:val="24"/>
        </w:rPr>
      </w:pPr>
      <w:r w:rsidRPr="004D3F5A">
        <w:rPr>
          <w:rFonts w:ascii="Times New Roman" w:hAnsi="Times New Roman" w:cs="Times New Roman"/>
          <w:sz w:val="24"/>
          <w:szCs w:val="24"/>
        </w:rPr>
        <w:t>- на Разделу 30 – Министарство за рад, запошљавање, борачка и социјална питања, Глава 30.2 – Управа за безбедност и здравље на раду, Програм 0802 – уређење система рада и радно-правних односа, Функција 410 – општи економски и комерцијални послови и послови по питању рада, Програмска активност 0004 – уређење у области безбедности и здравља на раду, Економска класификација 411 – плате, додаци и накнаде запослених (зараде) износу од 14,928,000,00 динара и 412 социјални доприноси на терет послодавца 2,262,000;</w:t>
      </w:r>
    </w:p>
    <w:p w14:paraId="24AE4074" w14:textId="77777777" w:rsidR="004D3F5A" w:rsidRPr="004D3F5A" w:rsidRDefault="004D3F5A" w:rsidP="004D3F5A">
      <w:pPr>
        <w:ind w:firstLine="720"/>
        <w:jc w:val="both"/>
        <w:rPr>
          <w:rFonts w:ascii="Times New Roman" w:hAnsi="Times New Roman" w:cs="Times New Roman"/>
          <w:sz w:val="24"/>
          <w:szCs w:val="24"/>
        </w:rPr>
      </w:pPr>
      <w:r w:rsidRPr="004D3F5A">
        <w:rPr>
          <w:rFonts w:ascii="Times New Roman" w:hAnsi="Times New Roman" w:cs="Times New Roman"/>
          <w:sz w:val="24"/>
          <w:szCs w:val="24"/>
        </w:rPr>
        <w:t>- на Разделу 30 – Министарство за рад, запошљавање, борачка и социјална питања, Глава 30.1 – Инспекторат за рад, Програм 0802 – уређење система рада и радно-правних односа, Функција 410 – општи економски и комерцијални послови и послови по питању рада, Програмска активност 0003 – Инспекција рада, Економска класификација 411 – плате, додаци и накнаде запослених (зараде) износу од 395.759.000,00 динара и 412 социјални доприноси на терет послодавца 59,969,000.</w:t>
      </w:r>
    </w:p>
    <w:p w14:paraId="4BEB7396" w14:textId="32ECFAD3" w:rsidR="004D3F5A" w:rsidRPr="004D3F5A" w:rsidRDefault="004D3F5A" w:rsidP="004D3F5A">
      <w:pPr>
        <w:ind w:firstLine="720"/>
        <w:jc w:val="both"/>
        <w:rPr>
          <w:rFonts w:ascii="Times New Roman" w:hAnsi="Times New Roman" w:cs="Times New Roman"/>
          <w:sz w:val="24"/>
          <w:szCs w:val="24"/>
        </w:rPr>
      </w:pPr>
      <w:r w:rsidRPr="004D3F5A">
        <w:rPr>
          <w:rFonts w:ascii="Times New Roman" w:hAnsi="Times New Roman" w:cs="Times New Roman"/>
          <w:sz w:val="24"/>
          <w:szCs w:val="24"/>
        </w:rPr>
        <w:lastRenderedPageBreak/>
        <w:t xml:space="preserve">За спровођење ове стратегије, за 2025. и 2026. годину биће </w:t>
      </w:r>
      <w:r>
        <w:rPr>
          <w:rFonts w:ascii="Times New Roman" w:hAnsi="Times New Roman" w:cs="Times New Roman"/>
          <w:sz w:val="24"/>
          <w:szCs w:val="24"/>
        </w:rPr>
        <w:t>обезбеђена</w:t>
      </w:r>
      <w:r w:rsidRPr="004D3F5A">
        <w:rPr>
          <w:rFonts w:ascii="Times New Roman" w:hAnsi="Times New Roman" w:cs="Times New Roman"/>
          <w:sz w:val="24"/>
          <w:szCs w:val="24"/>
        </w:rPr>
        <w:t xml:space="preserve"> средства у буџету Републике Србије у складу са прописаним лимитом.</w:t>
      </w:r>
    </w:p>
    <w:p w14:paraId="22BE2C58" w14:textId="77777777" w:rsidR="004D3F5A" w:rsidRPr="004D3F5A" w:rsidRDefault="004D3F5A" w:rsidP="004D3F5A">
      <w:pPr>
        <w:ind w:firstLine="720"/>
        <w:jc w:val="both"/>
        <w:rPr>
          <w:rFonts w:ascii="Times New Roman" w:hAnsi="Times New Roman" w:cs="Times New Roman"/>
          <w:sz w:val="24"/>
          <w:szCs w:val="24"/>
        </w:rPr>
      </w:pPr>
      <w:r w:rsidRPr="004D3F5A">
        <w:rPr>
          <w:rFonts w:ascii="Times New Roman" w:hAnsi="Times New Roman" w:cs="Times New Roman"/>
          <w:sz w:val="24"/>
          <w:szCs w:val="24"/>
        </w:rPr>
        <w:t>За спровођење ове стратегије, за 2027. годину биће обезбеђена средства у буџету Републике Србије у складу са прописаним лимитом.</w:t>
      </w:r>
    </w:p>
    <w:p w14:paraId="74B7E031" w14:textId="77777777" w:rsidR="004D3F5A" w:rsidRPr="004D3F5A" w:rsidRDefault="004D3F5A" w:rsidP="004D3F5A">
      <w:pPr>
        <w:ind w:firstLine="720"/>
        <w:jc w:val="both"/>
        <w:rPr>
          <w:rFonts w:ascii="Times New Roman" w:hAnsi="Times New Roman" w:cs="Times New Roman"/>
          <w:sz w:val="24"/>
          <w:szCs w:val="24"/>
        </w:rPr>
      </w:pPr>
      <w:r w:rsidRPr="004D3F5A">
        <w:rPr>
          <w:rFonts w:ascii="Times New Roman" w:hAnsi="Times New Roman" w:cs="Times New Roman"/>
          <w:sz w:val="24"/>
          <w:szCs w:val="24"/>
        </w:rPr>
        <w:t>Активности планиране из средстава донације спроводиће се у складу са динамиком прилива донаторских средстава. Уколико се не обезбеде донаторска средства, за наведене активности се неће тражити буџетска средства.</w:t>
      </w:r>
    </w:p>
    <w:p w14:paraId="136FE47A" w14:textId="77777777" w:rsidR="004D3F5A" w:rsidRDefault="004D3F5A" w:rsidP="48A77BA5">
      <w:pPr>
        <w:spacing w:after="120" w:line="264" w:lineRule="auto"/>
        <w:ind w:firstLine="720"/>
        <w:jc w:val="both"/>
        <w:rPr>
          <w:rFonts w:ascii="Times New Roman" w:hAnsi="Times New Roman" w:cs="Times New Roman"/>
          <w:b/>
          <w:bCs/>
          <w:sz w:val="24"/>
          <w:szCs w:val="24"/>
        </w:rPr>
      </w:pPr>
    </w:p>
    <w:p w14:paraId="33660DBF" w14:textId="0B388C6D" w:rsidR="005D36C2" w:rsidRPr="00203E0A" w:rsidRDefault="48A77BA5" w:rsidP="48A77BA5">
      <w:pPr>
        <w:spacing w:after="120" w:line="264" w:lineRule="auto"/>
        <w:ind w:firstLine="720"/>
        <w:jc w:val="both"/>
        <w:rPr>
          <w:rFonts w:ascii="Times New Roman" w:hAnsi="Times New Roman" w:cs="Times New Roman"/>
          <w:b/>
          <w:bCs/>
          <w:sz w:val="24"/>
          <w:szCs w:val="24"/>
        </w:rPr>
      </w:pPr>
      <w:r w:rsidRPr="00203E0A">
        <w:rPr>
          <w:rFonts w:ascii="Times New Roman" w:hAnsi="Times New Roman" w:cs="Times New Roman"/>
          <w:b/>
          <w:bCs/>
          <w:sz w:val="24"/>
          <w:szCs w:val="24"/>
        </w:rPr>
        <w:t>10. ЗАВРШНЕ ОДРЕДБЕ</w:t>
      </w:r>
    </w:p>
    <w:p w14:paraId="060995EE" w14:textId="68F34E00" w:rsidR="005D36C2" w:rsidRPr="00203E0A" w:rsidRDefault="48A77BA5" w:rsidP="005D36C2">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Ову стратегију, након усвајања, објавити на интернет страници Владе, на Порталу е-Управе, на интернет страници Министарства за рад, запошљавање, борачка и социјална питања у року од седам радних дана од дана усвајања.</w:t>
      </w:r>
    </w:p>
    <w:p w14:paraId="38C97040" w14:textId="1A21DE79" w:rsidR="005D36C2" w:rsidRDefault="48A77BA5" w:rsidP="005D36C2">
      <w:pPr>
        <w:spacing w:after="120" w:line="264" w:lineRule="auto"/>
        <w:ind w:firstLine="720"/>
        <w:jc w:val="both"/>
        <w:rPr>
          <w:rFonts w:ascii="Times New Roman" w:hAnsi="Times New Roman" w:cs="Times New Roman"/>
          <w:sz w:val="24"/>
          <w:szCs w:val="24"/>
        </w:rPr>
      </w:pPr>
      <w:r w:rsidRPr="00203E0A">
        <w:rPr>
          <w:rFonts w:ascii="Times New Roman" w:hAnsi="Times New Roman" w:cs="Times New Roman"/>
          <w:sz w:val="24"/>
          <w:szCs w:val="24"/>
        </w:rPr>
        <w:t>Ову стратегију објавити у „Службеном гласнику Републике Србије”.</w:t>
      </w:r>
    </w:p>
    <w:p w14:paraId="20609955" w14:textId="26BDEA00" w:rsidR="00BB4FC6" w:rsidRDefault="00BB4FC6" w:rsidP="005D36C2">
      <w:pPr>
        <w:spacing w:after="120" w:line="264" w:lineRule="auto"/>
        <w:ind w:firstLine="720"/>
        <w:jc w:val="both"/>
        <w:rPr>
          <w:rFonts w:ascii="Times New Roman" w:hAnsi="Times New Roman" w:cs="Times New Roman"/>
          <w:sz w:val="24"/>
          <w:szCs w:val="24"/>
        </w:rPr>
      </w:pPr>
    </w:p>
    <w:p w14:paraId="5EC6CA01" w14:textId="58F72B50" w:rsidR="00BB4FC6" w:rsidRDefault="00BB4FC6" w:rsidP="005D36C2">
      <w:pPr>
        <w:spacing w:after="120" w:line="264" w:lineRule="auto"/>
        <w:ind w:firstLine="720"/>
        <w:jc w:val="both"/>
        <w:rPr>
          <w:rFonts w:ascii="Times New Roman" w:hAnsi="Times New Roman" w:cs="Times New Roman"/>
          <w:sz w:val="24"/>
          <w:szCs w:val="24"/>
        </w:rPr>
      </w:pPr>
    </w:p>
    <w:p w14:paraId="775BAD98" w14:textId="7302E769" w:rsidR="003D576E" w:rsidRPr="003D576E" w:rsidRDefault="003D576E" w:rsidP="003D576E">
      <w:pPr>
        <w:spacing w:after="0"/>
        <w:rPr>
          <w:rFonts w:ascii="Times New Roman" w:hAnsi="Times New Roman" w:cs="Times New Roman"/>
          <w:color w:val="000000"/>
          <w:sz w:val="24"/>
          <w:szCs w:val="24"/>
          <w:lang w:val="sr-Cyrl-CS"/>
        </w:rPr>
      </w:pPr>
      <w:r w:rsidRPr="003D576E">
        <w:rPr>
          <w:rFonts w:ascii="Times New Roman" w:hAnsi="Times New Roman" w:cs="Times New Roman"/>
          <w:sz w:val="24"/>
          <w:szCs w:val="24"/>
        </w:rPr>
        <w:t xml:space="preserve">05 Број: </w:t>
      </w:r>
      <w:r>
        <w:rPr>
          <w:rFonts w:ascii="Times New Roman" w:hAnsi="Times New Roman" w:cs="Times New Roman"/>
          <w:sz w:val="24"/>
          <w:szCs w:val="24"/>
        </w:rPr>
        <w:t>500</w:t>
      </w:r>
      <w:r w:rsidRPr="003D576E">
        <w:rPr>
          <w:rFonts w:ascii="Times New Roman" w:hAnsi="Times New Roman" w:cs="Times New Roman"/>
          <w:sz w:val="24"/>
          <w:szCs w:val="24"/>
        </w:rPr>
        <w:t>-</w:t>
      </w:r>
      <w:r>
        <w:rPr>
          <w:rFonts w:ascii="Times New Roman" w:hAnsi="Times New Roman" w:cs="Times New Roman"/>
          <w:sz w:val="24"/>
          <w:szCs w:val="24"/>
        </w:rPr>
        <w:t>9944</w:t>
      </w:r>
      <w:r w:rsidRPr="003D576E">
        <w:rPr>
          <w:rFonts w:ascii="Times New Roman" w:hAnsi="Times New Roman" w:cs="Times New Roman"/>
          <w:sz w:val="24"/>
          <w:szCs w:val="24"/>
        </w:rPr>
        <w:t>/2024</w:t>
      </w:r>
    </w:p>
    <w:p w14:paraId="131FA691" w14:textId="73CA3692" w:rsidR="003D576E" w:rsidRDefault="003D576E" w:rsidP="003D576E">
      <w:pPr>
        <w:spacing w:after="0"/>
        <w:rPr>
          <w:rFonts w:ascii="Times New Roman" w:hAnsi="Times New Roman" w:cs="Times New Roman"/>
          <w:sz w:val="24"/>
          <w:szCs w:val="24"/>
        </w:rPr>
      </w:pPr>
      <w:r w:rsidRPr="003D576E">
        <w:rPr>
          <w:rFonts w:ascii="Times New Roman" w:hAnsi="Times New Roman" w:cs="Times New Roman"/>
          <w:sz w:val="24"/>
          <w:szCs w:val="24"/>
        </w:rPr>
        <w:t>У</w:t>
      </w:r>
      <w:r w:rsidRPr="003D576E">
        <w:rPr>
          <w:rFonts w:ascii="Times New Roman" w:hAnsi="Times New Roman" w:cs="Times New Roman"/>
          <w:sz w:val="24"/>
          <w:szCs w:val="24"/>
          <w:lang w:val="sr-Latn-CS"/>
        </w:rPr>
        <w:t xml:space="preserve"> </w:t>
      </w:r>
      <w:r w:rsidRPr="003D576E">
        <w:rPr>
          <w:rFonts w:ascii="Times New Roman" w:hAnsi="Times New Roman" w:cs="Times New Roman"/>
          <w:sz w:val="24"/>
          <w:szCs w:val="24"/>
        </w:rPr>
        <w:t>Београду</w:t>
      </w:r>
      <w:r w:rsidRPr="003D576E">
        <w:rPr>
          <w:rFonts w:ascii="Times New Roman" w:hAnsi="Times New Roman" w:cs="Times New Roman"/>
          <w:sz w:val="24"/>
          <w:szCs w:val="24"/>
          <w:lang w:val="sr-Latn-CS"/>
        </w:rPr>
        <w:t>,</w:t>
      </w:r>
      <w:r>
        <w:rPr>
          <w:rFonts w:ascii="Times New Roman" w:hAnsi="Times New Roman" w:cs="Times New Roman"/>
          <w:sz w:val="24"/>
          <w:szCs w:val="24"/>
        </w:rPr>
        <w:t xml:space="preserve"> 17</w:t>
      </w:r>
      <w:r w:rsidRPr="003D576E">
        <w:rPr>
          <w:rFonts w:ascii="Times New Roman" w:hAnsi="Times New Roman" w:cs="Times New Roman"/>
          <w:sz w:val="24"/>
          <w:szCs w:val="24"/>
        </w:rPr>
        <w:t xml:space="preserve">. октобра </w:t>
      </w:r>
      <w:r w:rsidRPr="003D576E">
        <w:rPr>
          <w:rFonts w:ascii="Times New Roman" w:hAnsi="Times New Roman" w:cs="Times New Roman"/>
          <w:sz w:val="24"/>
          <w:szCs w:val="24"/>
          <w:lang w:val="sr-Latn-CS"/>
        </w:rPr>
        <w:t>20</w:t>
      </w:r>
      <w:r w:rsidRPr="003D576E">
        <w:rPr>
          <w:rFonts w:ascii="Times New Roman" w:hAnsi="Times New Roman" w:cs="Times New Roman"/>
          <w:sz w:val="24"/>
          <w:szCs w:val="24"/>
        </w:rPr>
        <w:t>24</w:t>
      </w:r>
      <w:r w:rsidRPr="003D576E">
        <w:rPr>
          <w:rFonts w:ascii="Times New Roman" w:hAnsi="Times New Roman" w:cs="Times New Roman"/>
          <w:sz w:val="24"/>
          <w:szCs w:val="24"/>
          <w:lang w:val="sr-Latn-CS"/>
        </w:rPr>
        <w:t xml:space="preserve">. </w:t>
      </w:r>
      <w:r w:rsidRPr="003D576E">
        <w:rPr>
          <w:rFonts w:ascii="Times New Roman" w:hAnsi="Times New Roman" w:cs="Times New Roman"/>
          <w:sz w:val="24"/>
          <w:szCs w:val="24"/>
        </w:rPr>
        <w:t>године</w:t>
      </w:r>
    </w:p>
    <w:p w14:paraId="2F9C70A2" w14:textId="77777777" w:rsidR="003D576E" w:rsidRPr="003D576E" w:rsidRDefault="003D576E" w:rsidP="003D576E">
      <w:pPr>
        <w:spacing w:after="0"/>
        <w:rPr>
          <w:rFonts w:ascii="Times New Roman" w:hAnsi="Times New Roman" w:cs="Times New Roman"/>
          <w:sz w:val="24"/>
          <w:szCs w:val="24"/>
          <w:lang w:val="sr-Latn-CS"/>
        </w:rPr>
      </w:pPr>
    </w:p>
    <w:p w14:paraId="523E0893" w14:textId="77777777" w:rsidR="003D576E" w:rsidRPr="003D576E" w:rsidRDefault="003D576E" w:rsidP="00680FB6">
      <w:pPr>
        <w:pStyle w:val="1tekst"/>
        <w:jc w:val="center"/>
        <w:rPr>
          <w:spacing w:val="40"/>
          <w:szCs w:val="24"/>
          <w:lang w:val="sr-Cyrl-CS"/>
        </w:rPr>
      </w:pPr>
      <w:r w:rsidRPr="003D576E">
        <w:rPr>
          <w:spacing w:val="40"/>
          <w:szCs w:val="24"/>
          <w:lang w:val="sr-Cyrl-CS"/>
        </w:rPr>
        <w:t>В</w:t>
      </w:r>
      <w:r w:rsidRPr="003D576E">
        <w:rPr>
          <w:spacing w:val="40"/>
          <w:szCs w:val="24"/>
          <w:lang w:val="sr-Latn-CS"/>
        </w:rPr>
        <w:t xml:space="preserve"> </w:t>
      </w:r>
      <w:r w:rsidRPr="003D576E">
        <w:rPr>
          <w:spacing w:val="40"/>
          <w:szCs w:val="24"/>
          <w:lang w:val="sr-Cyrl-CS"/>
        </w:rPr>
        <w:t>Л</w:t>
      </w:r>
      <w:r w:rsidRPr="003D576E">
        <w:rPr>
          <w:spacing w:val="40"/>
          <w:szCs w:val="24"/>
          <w:lang w:val="sr-Latn-CS"/>
        </w:rPr>
        <w:t xml:space="preserve"> </w:t>
      </w:r>
      <w:r w:rsidRPr="003D576E">
        <w:rPr>
          <w:spacing w:val="40"/>
          <w:szCs w:val="24"/>
          <w:lang w:val="sr-Cyrl-CS"/>
        </w:rPr>
        <w:t>А</w:t>
      </w:r>
      <w:r w:rsidRPr="003D576E">
        <w:rPr>
          <w:spacing w:val="40"/>
          <w:szCs w:val="24"/>
          <w:lang w:val="sr-Latn-CS"/>
        </w:rPr>
        <w:t xml:space="preserve"> </w:t>
      </w:r>
      <w:r w:rsidRPr="003D576E">
        <w:rPr>
          <w:spacing w:val="40"/>
          <w:szCs w:val="24"/>
          <w:lang w:val="sr-Cyrl-CS"/>
        </w:rPr>
        <w:t>Д</w:t>
      </w:r>
      <w:r w:rsidRPr="003D576E">
        <w:rPr>
          <w:spacing w:val="40"/>
          <w:szCs w:val="24"/>
          <w:lang w:val="sr-Latn-CS"/>
        </w:rPr>
        <w:t xml:space="preserve"> </w:t>
      </w:r>
      <w:r w:rsidRPr="003D576E">
        <w:rPr>
          <w:spacing w:val="40"/>
          <w:szCs w:val="24"/>
          <w:lang w:val="sr-Cyrl-CS"/>
        </w:rPr>
        <w:t>А</w:t>
      </w:r>
    </w:p>
    <w:p w14:paraId="30DBD83A" w14:textId="77777777" w:rsidR="003D576E" w:rsidRPr="003D576E" w:rsidRDefault="003D576E" w:rsidP="00680FB6">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3D576E" w:rsidRPr="003D576E" w14:paraId="6A3E11AF" w14:textId="77777777" w:rsidTr="00F36D89">
        <w:tc>
          <w:tcPr>
            <w:tcW w:w="4360" w:type="dxa"/>
          </w:tcPr>
          <w:p w14:paraId="37A1C5B4" w14:textId="77777777" w:rsidR="001E585C" w:rsidRPr="001E585C" w:rsidRDefault="001E585C" w:rsidP="001E585C">
            <w:pPr>
              <w:pStyle w:val="Footer"/>
              <w:spacing w:line="240" w:lineRule="auto"/>
              <w:jc w:val="center"/>
              <w:rPr>
                <w:rFonts w:ascii="Times New Roman" w:hAnsi="Times New Roman" w:cs="Times New Roman"/>
                <w:sz w:val="24"/>
                <w:szCs w:val="24"/>
                <w:lang w:val="ru-RU"/>
              </w:rPr>
            </w:pPr>
          </w:p>
          <w:p w14:paraId="39F53FA0" w14:textId="54EA5BB1" w:rsidR="003D576E" w:rsidRDefault="003D576E" w:rsidP="001E585C">
            <w:pPr>
              <w:spacing w:after="0" w:line="240" w:lineRule="auto"/>
              <w:jc w:val="center"/>
              <w:rPr>
                <w:rFonts w:ascii="Times New Roman" w:hAnsi="Times New Roman" w:cs="Times New Roman"/>
                <w:sz w:val="24"/>
                <w:szCs w:val="24"/>
                <w:lang w:val="ru-RU"/>
              </w:rPr>
            </w:pPr>
          </w:p>
          <w:p w14:paraId="1AA0AF80" w14:textId="63C45B50" w:rsidR="001E585C" w:rsidRDefault="001E585C" w:rsidP="001E585C">
            <w:pPr>
              <w:spacing w:after="0" w:line="240" w:lineRule="auto"/>
              <w:jc w:val="center"/>
              <w:rPr>
                <w:rFonts w:ascii="Times New Roman" w:hAnsi="Times New Roman" w:cs="Times New Roman"/>
                <w:sz w:val="24"/>
                <w:szCs w:val="24"/>
                <w:lang w:val="ru-RU"/>
              </w:rPr>
            </w:pPr>
          </w:p>
          <w:p w14:paraId="7EF00119" w14:textId="6CEFCF26" w:rsidR="001E585C" w:rsidRDefault="001E585C" w:rsidP="001E585C">
            <w:pPr>
              <w:spacing w:after="0" w:line="240" w:lineRule="auto"/>
              <w:jc w:val="center"/>
              <w:rPr>
                <w:rFonts w:ascii="Times New Roman" w:hAnsi="Times New Roman" w:cs="Times New Roman"/>
                <w:sz w:val="24"/>
                <w:szCs w:val="24"/>
                <w:lang w:val="ru-RU"/>
              </w:rPr>
            </w:pPr>
          </w:p>
          <w:p w14:paraId="46EAE5E8" w14:textId="77777777" w:rsidR="001E585C" w:rsidRDefault="001E585C" w:rsidP="001E585C">
            <w:pPr>
              <w:spacing w:after="0" w:line="240" w:lineRule="auto"/>
              <w:jc w:val="center"/>
              <w:rPr>
                <w:rFonts w:ascii="Times New Roman" w:hAnsi="Times New Roman" w:cs="Times New Roman"/>
                <w:sz w:val="24"/>
                <w:szCs w:val="24"/>
                <w:lang w:val="ru-RU"/>
              </w:rPr>
            </w:pPr>
          </w:p>
          <w:p w14:paraId="7D030754" w14:textId="1EE5523E" w:rsidR="001E585C" w:rsidRPr="003D576E" w:rsidRDefault="001E585C" w:rsidP="001E585C">
            <w:pPr>
              <w:spacing w:after="0" w:line="240" w:lineRule="auto"/>
              <w:jc w:val="center"/>
              <w:rPr>
                <w:rFonts w:ascii="Times New Roman" w:hAnsi="Times New Roman" w:cs="Times New Roman"/>
                <w:sz w:val="24"/>
                <w:szCs w:val="24"/>
                <w:lang w:val="ru-RU"/>
              </w:rPr>
            </w:pPr>
            <w:bookmarkStart w:id="41" w:name="_GoBack"/>
            <w:bookmarkEnd w:id="41"/>
          </w:p>
        </w:tc>
        <w:tc>
          <w:tcPr>
            <w:tcW w:w="4360" w:type="dxa"/>
          </w:tcPr>
          <w:p w14:paraId="2124C698" w14:textId="77777777" w:rsidR="001E585C" w:rsidRDefault="001E585C" w:rsidP="001E585C">
            <w:pPr>
              <w:spacing w:after="0" w:line="240" w:lineRule="auto"/>
              <w:jc w:val="center"/>
              <w:rPr>
                <w:rFonts w:ascii="Times New Roman" w:hAnsi="Times New Roman" w:cs="Times New Roman"/>
                <w:sz w:val="24"/>
                <w:szCs w:val="24"/>
                <w:lang w:val="ru-RU"/>
              </w:rPr>
            </w:pPr>
          </w:p>
          <w:p w14:paraId="7C56E496" w14:textId="77777777" w:rsidR="001E585C" w:rsidRDefault="001E585C" w:rsidP="001E585C">
            <w:pPr>
              <w:spacing w:after="0" w:line="240" w:lineRule="auto"/>
              <w:jc w:val="center"/>
              <w:rPr>
                <w:rFonts w:ascii="Times New Roman" w:hAnsi="Times New Roman" w:cs="Times New Roman"/>
                <w:sz w:val="24"/>
                <w:szCs w:val="24"/>
                <w:lang w:val="ru-RU"/>
              </w:rPr>
            </w:pPr>
          </w:p>
          <w:p w14:paraId="59694270" w14:textId="5A6F5684" w:rsidR="003D576E" w:rsidRPr="003D576E" w:rsidRDefault="003D576E" w:rsidP="001E585C">
            <w:pPr>
              <w:spacing w:after="0" w:line="240" w:lineRule="auto"/>
              <w:jc w:val="center"/>
              <w:rPr>
                <w:rFonts w:ascii="Times New Roman" w:hAnsi="Times New Roman" w:cs="Times New Roman"/>
                <w:sz w:val="24"/>
                <w:szCs w:val="24"/>
                <w:lang w:val="ru-RU"/>
              </w:rPr>
            </w:pPr>
            <w:r w:rsidRPr="003D576E">
              <w:rPr>
                <w:rFonts w:ascii="Times New Roman" w:hAnsi="Times New Roman" w:cs="Times New Roman"/>
                <w:sz w:val="24"/>
                <w:szCs w:val="24"/>
                <w:lang w:val="ru-RU"/>
              </w:rPr>
              <w:t>ПРЕДСЕДНИК</w:t>
            </w:r>
          </w:p>
          <w:p w14:paraId="3626AE10" w14:textId="68C54BEA" w:rsidR="003D576E" w:rsidRDefault="003D576E" w:rsidP="001E585C">
            <w:pPr>
              <w:spacing w:after="0" w:line="240" w:lineRule="auto"/>
              <w:rPr>
                <w:rFonts w:ascii="Times New Roman" w:hAnsi="Times New Roman" w:cs="Times New Roman"/>
                <w:sz w:val="24"/>
                <w:szCs w:val="24"/>
              </w:rPr>
            </w:pPr>
          </w:p>
          <w:p w14:paraId="73FE2F3D" w14:textId="6D1339C2" w:rsidR="001E585C" w:rsidRDefault="001E585C" w:rsidP="001E585C">
            <w:pPr>
              <w:spacing w:after="0" w:line="240" w:lineRule="auto"/>
              <w:rPr>
                <w:rFonts w:ascii="Times New Roman" w:hAnsi="Times New Roman" w:cs="Times New Roman"/>
                <w:sz w:val="24"/>
                <w:szCs w:val="24"/>
              </w:rPr>
            </w:pPr>
          </w:p>
          <w:p w14:paraId="159BB52D" w14:textId="77777777" w:rsidR="001E585C" w:rsidRPr="003D576E" w:rsidRDefault="001E585C" w:rsidP="001E585C">
            <w:pPr>
              <w:spacing w:after="0" w:line="240" w:lineRule="auto"/>
              <w:rPr>
                <w:rFonts w:ascii="Times New Roman" w:hAnsi="Times New Roman" w:cs="Times New Roman"/>
                <w:sz w:val="24"/>
                <w:szCs w:val="24"/>
              </w:rPr>
            </w:pPr>
          </w:p>
          <w:p w14:paraId="13CAE84A" w14:textId="1BFA02AC" w:rsidR="003D576E" w:rsidRPr="003D576E" w:rsidRDefault="003D576E" w:rsidP="001E585C">
            <w:pPr>
              <w:pStyle w:val="Footer"/>
              <w:spacing w:line="240" w:lineRule="auto"/>
              <w:jc w:val="center"/>
              <w:rPr>
                <w:rFonts w:ascii="Times New Roman" w:hAnsi="Times New Roman" w:cs="Times New Roman"/>
                <w:sz w:val="24"/>
                <w:szCs w:val="24"/>
              </w:rPr>
            </w:pPr>
            <w:r w:rsidRPr="003D576E">
              <w:rPr>
                <w:rFonts w:ascii="Times New Roman" w:hAnsi="Times New Roman" w:cs="Times New Roman"/>
                <w:sz w:val="24"/>
                <w:szCs w:val="24"/>
                <w:lang w:val="ru-RU"/>
              </w:rPr>
              <w:t>Милош Вучевић</w:t>
            </w:r>
          </w:p>
        </w:tc>
      </w:tr>
    </w:tbl>
    <w:p w14:paraId="6A394641" w14:textId="77777777" w:rsidR="003D576E" w:rsidRPr="003D576E" w:rsidRDefault="003D576E" w:rsidP="00680FB6">
      <w:pPr>
        <w:widowControl w:val="0"/>
        <w:autoSpaceDE w:val="0"/>
        <w:autoSpaceDN w:val="0"/>
        <w:adjustRightInd w:val="0"/>
        <w:rPr>
          <w:rFonts w:ascii="Times New Roman" w:hAnsi="Times New Roman" w:cs="Times New Roman"/>
          <w:color w:val="000000"/>
          <w:sz w:val="24"/>
          <w:szCs w:val="24"/>
          <w:lang w:val="sr-Cyrl-CS"/>
        </w:rPr>
      </w:pPr>
    </w:p>
    <w:p w14:paraId="1D458B7C" w14:textId="1DE1C835" w:rsidR="00BB4FC6" w:rsidRPr="003D576E" w:rsidRDefault="00BB4FC6" w:rsidP="005D36C2">
      <w:pPr>
        <w:spacing w:after="120" w:line="264" w:lineRule="auto"/>
        <w:ind w:firstLine="720"/>
        <w:jc w:val="both"/>
        <w:rPr>
          <w:rFonts w:ascii="Times New Roman" w:hAnsi="Times New Roman" w:cs="Times New Roman"/>
          <w:sz w:val="24"/>
          <w:szCs w:val="24"/>
        </w:rPr>
      </w:pPr>
    </w:p>
    <w:sectPr w:rsidR="00BB4FC6" w:rsidRPr="003D576E" w:rsidSect="005A64D1">
      <w:headerReference w:type="default" r:id="rId14"/>
      <w:footerReference w:type="even" r:id="rId15"/>
      <w:headerReference w:type="first" r:id="rId16"/>
      <w:pgSz w:w="11906" w:h="16838" w:code="9"/>
      <w:pgMar w:top="1260" w:right="1440" w:bottom="1350" w:left="1440" w:header="720" w:footer="283"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E4422" w14:textId="77777777" w:rsidR="00E658E8" w:rsidRPr="00203E0A" w:rsidRDefault="00E658E8" w:rsidP="007022B1">
      <w:pPr>
        <w:spacing w:after="0" w:line="240" w:lineRule="auto"/>
      </w:pPr>
      <w:r w:rsidRPr="00203E0A">
        <w:separator/>
      </w:r>
    </w:p>
  </w:endnote>
  <w:endnote w:type="continuationSeparator" w:id="0">
    <w:p w14:paraId="2BAB1738" w14:textId="77777777" w:rsidR="00E658E8" w:rsidRPr="00203E0A" w:rsidRDefault="00E658E8" w:rsidP="007022B1">
      <w:pPr>
        <w:spacing w:after="0" w:line="240" w:lineRule="auto"/>
      </w:pPr>
      <w:r w:rsidRPr="00203E0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Nova">
    <w:altName w:val="Arial"/>
    <w:charset w:val="00"/>
    <w:family w:val="swiss"/>
    <w:pitch w:val="variable"/>
    <w:sig w:usb0="00000001" w:usb1="00000002" w:usb2="00000000" w:usb3="00000000" w:csb0="0000019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633C" w14:textId="77777777" w:rsidR="005D4335" w:rsidRPr="00203E0A" w:rsidRDefault="005D4335" w:rsidP="00DF5A0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5DD44" w14:textId="77777777" w:rsidR="00E658E8" w:rsidRPr="00203E0A" w:rsidRDefault="00E658E8" w:rsidP="007022B1">
      <w:pPr>
        <w:spacing w:after="0" w:line="240" w:lineRule="auto"/>
      </w:pPr>
      <w:r w:rsidRPr="00203E0A">
        <w:separator/>
      </w:r>
    </w:p>
  </w:footnote>
  <w:footnote w:type="continuationSeparator" w:id="0">
    <w:p w14:paraId="265B4240" w14:textId="77777777" w:rsidR="00E658E8" w:rsidRPr="00203E0A" w:rsidRDefault="00E658E8" w:rsidP="007022B1">
      <w:pPr>
        <w:spacing w:after="0" w:line="240" w:lineRule="auto"/>
      </w:pPr>
      <w:r w:rsidRPr="00203E0A">
        <w:continuationSeparator/>
      </w:r>
    </w:p>
  </w:footnote>
  <w:footnote w:id="1">
    <w:p w14:paraId="0E70763B" w14:textId="73D874AA" w:rsidR="005D4335" w:rsidRPr="00203E0A" w:rsidRDefault="005D4335" w:rsidP="00A44702">
      <w:pPr>
        <w:pStyle w:val="FootnoteText"/>
        <w:jc w:val="both"/>
        <w:rPr>
          <w:rFonts w:ascii="Times New Roman" w:hAnsi="Times New Roman" w:cs="Times New Roman"/>
        </w:rPr>
      </w:pPr>
      <w:r w:rsidRPr="00203E0A">
        <w:rPr>
          <w:rStyle w:val="FootnoteReference"/>
          <w:rFonts w:ascii="Times New Roman" w:hAnsi="Times New Roman" w:cs="Times New Roman"/>
        </w:rPr>
        <w:footnoteRef/>
      </w:r>
      <w:r w:rsidRPr="00203E0A">
        <w:rPr>
          <w:rFonts w:ascii="Times New Roman" w:hAnsi="Times New Roman" w:cs="Times New Roman"/>
        </w:rPr>
        <w:t xml:space="preserve"> Ex post анализа </w:t>
      </w:r>
    </w:p>
  </w:footnote>
  <w:footnote w:id="2">
    <w:p w14:paraId="0B746EFB" w14:textId="77777777" w:rsidR="005D4335" w:rsidRPr="00203E0A" w:rsidRDefault="005D4335" w:rsidP="00A44702">
      <w:pPr>
        <w:pStyle w:val="FootnoteText"/>
        <w:jc w:val="both"/>
        <w:rPr>
          <w:rFonts w:ascii="Times New Roman" w:hAnsi="Times New Roman" w:cs="Times New Roman"/>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 xml:space="preserve">Анализа стратешких докумената из области безбедности и здравља на раду чланица ЕУ доступна је на </w:t>
      </w:r>
      <w:hyperlink r:id="rId1" w:history="1">
        <w:r w:rsidRPr="00203E0A">
          <w:rPr>
            <w:rFonts w:ascii="Times New Roman" w:hAnsi="Times New Roman" w:cs="Times New Roman"/>
          </w:rPr>
          <w:t>National Strategies in the field of Occupational Safety and Health in the EU</w:t>
        </w:r>
        <w:r w:rsidRPr="00485DDA">
          <w:rPr>
            <w:rFonts w:ascii="Times New Roman" w:hAnsi="Times New Roman" w:cs="Times New Roman"/>
            <w:color w:val="FF0000"/>
          </w:rPr>
          <w:t>.</w:t>
        </w:r>
        <w:r w:rsidRPr="00203E0A">
          <w:rPr>
            <w:rFonts w:ascii="Times New Roman" w:hAnsi="Times New Roman" w:cs="Times New Roman"/>
          </w:rPr>
          <w:t xml:space="preserve"> (europa.eu)</w:t>
        </w:r>
      </w:hyperlink>
    </w:p>
  </w:footnote>
  <w:footnote w:id="3">
    <w:p w14:paraId="73270442" w14:textId="77777777" w:rsidR="005D4335" w:rsidRPr="00203E0A" w:rsidRDefault="005D4335" w:rsidP="00D849AA">
      <w:pPr>
        <w:pStyle w:val="FootnoteText"/>
        <w:rPr>
          <w:rFonts w:ascii="Arial Nova" w:hAnsi="Arial Nova"/>
        </w:rPr>
      </w:pPr>
      <w:r w:rsidRPr="00203E0A">
        <w:rPr>
          <w:rStyle w:val="FootnoteReference"/>
          <w:rFonts w:ascii="Arial Nova" w:hAnsi="Arial Nova" w:cs="Calibri"/>
        </w:rPr>
        <w:footnoteRef/>
      </w:r>
      <w:r w:rsidRPr="00203E0A">
        <w:rPr>
          <w:rFonts w:ascii="Arial Nova" w:hAnsi="Arial Nova" w:cs="Calibri"/>
        </w:rPr>
        <w:t xml:space="preserve"> </w:t>
      </w:r>
      <w:hyperlink r:id="rId2" w:history="1">
        <w:r w:rsidRPr="00203E0A">
          <w:rPr>
            <w:rStyle w:val="Hyperlink"/>
            <w:rFonts w:ascii="Times New Roman" w:hAnsi="Times New Roman" w:cs="Times New Roman"/>
          </w:rPr>
          <w:t>http://www.pravno-informacioni-sistem.rs/SlGlasnikPortal/eli/rep/sgrs/vlada/strategija/2018/61/1/reg</w:t>
        </w:r>
      </w:hyperlink>
      <w:r w:rsidRPr="00203E0A">
        <w:rPr>
          <w:rFonts w:ascii="Arial Nova" w:hAnsi="Arial Nova" w:cs="Calibri"/>
        </w:rPr>
        <w:t xml:space="preserve"> </w:t>
      </w:r>
    </w:p>
  </w:footnote>
  <w:footnote w:id="4">
    <w:p w14:paraId="53045CDA" w14:textId="60DEB825" w:rsidR="005D4335" w:rsidRPr="00704FF3" w:rsidRDefault="005D4335">
      <w:pPr>
        <w:pStyle w:val="FootnoteText"/>
        <w:rPr>
          <w:rFonts w:ascii="Times New Roman" w:hAnsi="Times New Roman" w:cs="Times New Roman"/>
        </w:rPr>
      </w:pPr>
      <w:r w:rsidRPr="00704FF3">
        <w:rPr>
          <w:rStyle w:val="FootnoteReference"/>
          <w:rFonts w:ascii="Times New Roman" w:hAnsi="Times New Roman" w:cs="Times New Roman"/>
        </w:rPr>
        <w:footnoteRef/>
      </w:r>
      <w:r w:rsidRPr="00704FF3">
        <w:rPr>
          <w:rFonts w:ascii="Times New Roman" w:hAnsi="Times New Roman" w:cs="Times New Roman"/>
        </w:rPr>
        <w:t xml:space="preserve"> </w:t>
      </w:r>
      <w:hyperlink r:id="rId3" w:history="1">
        <w:r w:rsidRPr="00704FF3">
          <w:rPr>
            <w:rStyle w:val="Hyperlink"/>
            <w:rFonts w:ascii="Times New Roman" w:hAnsi="Times New Roman" w:cs="Times New Roman"/>
          </w:rPr>
          <w:t>pravno-informacioni-sistem.rs/SlGlasnikPortal/eli/rep/sgrs/vlada/drugiakt/2023/119/1</w:t>
        </w:r>
      </w:hyperlink>
    </w:p>
  </w:footnote>
  <w:footnote w:id="5">
    <w:p w14:paraId="0D56A237" w14:textId="76F1DE47" w:rsidR="005D4335" w:rsidRPr="00203E0A" w:rsidRDefault="005D4335" w:rsidP="00E55287">
      <w:pPr>
        <w:pStyle w:val="FootnoteText"/>
        <w:jc w:val="both"/>
        <w:rPr>
          <w:rFonts w:ascii="Times New Roman" w:hAnsi="Times New Roman" w:cs="Times New Roman"/>
        </w:rPr>
      </w:pPr>
      <w:r w:rsidRPr="00203E0A">
        <w:rPr>
          <w:rStyle w:val="FootnoteReference"/>
          <w:rFonts w:ascii="Arial Nova" w:hAnsi="Arial Nova"/>
        </w:rPr>
        <w:footnoteRef/>
      </w:r>
      <w:r w:rsidRPr="00203E0A">
        <w:rPr>
          <w:rFonts w:ascii="Arial Nova" w:hAnsi="Arial Nova"/>
        </w:rPr>
        <w:t xml:space="preserve"> </w:t>
      </w:r>
      <w:r w:rsidRPr="00203E0A">
        <w:rPr>
          <w:rFonts w:ascii="Times New Roman" w:hAnsi="Times New Roman" w:cs="Times New Roman"/>
        </w:rPr>
        <w:t>Уредба о превентивним мерама за безбедан и здрав рад при подземној и површинској експлоатацији минералних сировина: 65/10-3, 159/20-20, Правилник о превентивним мерама за безбедан и здрав рад за спречавање појаве и ширења епидемије заразне болести: 94/20-5, Правилник о условима за издавање лиценци за обављање послова у области безбедности и здравља на раду: 16/18-17, 5/22-3, Правилник о превентивним мерама за безбедан и здрав рад при излагању електромагнетском пољу: 111/15-38, 130/21-145, Правилник о програму и начину полагања стручног испита за обављање послова безбедности и здравља на раду и послова одговорног лица: 111/13-5, 57/14-46, 126/14-47, 111/15-49, 113/17-192 (др. закон), 11/19-3, Правилник о превентивним мерама за безбедан и здрав рад при излагању вештачким оптичким зрачењима: 120/12-186, 29/13 (исправка), 130/21-145, Правилник о превентивним мерама за безбедан и здрав рад при излагању буци: 96/11-10, 78/15-24, 93/19-270, Правилник о превентивним мерама за безбедан и здрав рад при излагању вибрацијама: 93/11-30, 86/19-155, Правилник о превентивним мерама за бе</w:t>
      </w:r>
      <w:r w:rsidR="00522996">
        <w:rPr>
          <w:rFonts w:ascii="Times New Roman" w:hAnsi="Times New Roman" w:cs="Times New Roman"/>
        </w:rPr>
        <w:t xml:space="preserve">збедан и здрав рад при излагању </w:t>
      </w:r>
      <w:r w:rsidRPr="00203E0A">
        <w:rPr>
          <w:rFonts w:ascii="Times New Roman" w:hAnsi="Times New Roman" w:cs="Times New Roman"/>
        </w:rPr>
        <w:t>биолошким штетностима: 96/10-56, 115/20-46, Правилник о превентивним мерама за безбедан и здрав рад при излагању хемијским материјама: 106/09-13, 117/17-20, 107/21-43, Правилник о превентивним мерама за безбедан и здрав рад при коришћењу опреме за рад са екраном: 106/09-10, 93/13-110, 86/19-155, Правилник о превентивним мерама за безбедан и здрав рад при коришћењу опреме за рад: 23/09-24, 123/12-85, 102/15-33, 101/18-8, 130/21-144, Правилник о превентивним мерама за безбедан и здрав рад на радном месту: 21/09-71, 1/19-27, Правилник о садржају и начину издавања обрасца извештаја о повреди на раду и професионалном обољењу: 72/06-30, 84/06-44 (исправка), 4/16-95, 106/18-18, 14/19-11, Правилник о начину и поступку процене ризика на радном месту и у радној околини: 72/06-26, 84/06-44 (исправка), 30/10-178, 102/15-33, Правилник о заштити на раду при изради експлозива и барута и манипулисању експлозивима и барутима: СФРЈ 55/1969-1405, РС 109/21-61, Уредба о безбедности и здрављу на раду на привременим или покретним градилиштима: 14/09-48, 95/10-9, 98/18-8.</w:t>
      </w:r>
    </w:p>
  </w:footnote>
  <w:footnote w:id="6">
    <w:p w14:paraId="47EF01B5" w14:textId="77777777" w:rsidR="005D4335" w:rsidRPr="00203E0A" w:rsidRDefault="005D4335" w:rsidP="001374C9">
      <w:pPr>
        <w:pStyle w:val="FootnoteText"/>
        <w:rPr>
          <w:rFonts w:ascii="Arial Nova" w:hAnsi="Arial Nova"/>
        </w:rPr>
      </w:pPr>
      <w:r w:rsidRPr="00203E0A">
        <w:rPr>
          <w:rStyle w:val="FootnoteReference"/>
          <w:rFonts w:ascii="Arial Nova" w:hAnsi="Arial Nova"/>
        </w:rPr>
        <w:footnoteRef/>
      </w:r>
      <w:r w:rsidRPr="00203E0A">
        <w:rPr>
          <w:rFonts w:ascii="Arial Nova" w:hAnsi="Arial Nova"/>
        </w:rPr>
        <w:t xml:space="preserve"> </w:t>
      </w:r>
      <w:r w:rsidRPr="00203E0A">
        <w:rPr>
          <w:rFonts w:ascii="Times New Roman" w:hAnsi="Times New Roman" w:cs="Times New Roman"/>
        </w:rPr>
        <w:t>О правном оквиру и другим аспектима организације у Србији в. Булат (2018).</w:t>
      </w:r>
    </w:p>
  </w:footnote>
  <w:footnote w:id="7">
    <w:p w14:paraId="6DED67B0" w14:textId="77777777" w:rsidR="005D4335" w:rsidRPr="00203E0A" w:rsidRDefault="005D4335" w:rsidP="00EC5D47">
      <w:pPr>
        <w:pStyle w:val="FootnoteText"/>
        <w:jc w:val="both"/>
        <w:rPr>
          <w:rFonts w:ascii="Times New Roman" w:hAnsi="Times New Roman" w:cs="Times New Roman"/>
        </w:rPr>
      </w:pPr>
      <w:r w:rsidRPr="00203E0A">
        <w:rPr>
          <w:rStyle w:val="FootnoteReference"/>
          <w:rFonts w:ascii="Arial Nova" w:hAnsi="Arial Nova"/>
        </w:rPr>
        <w:footnoteRef/>
      </w:r>
      <w:r w:rsidRPr="00203E0A">
        <w:rPr>
          <w:rFonts w:ascii="Arial Nova" w:hAnsi="Arial Nova"/>
        </w:rPr>
        <w:t xml:space="preserve"> </w:t>
      </w:r>
      <w:r w:rsidRPr="00203E0A">
        <w:rPr>
          <w:rFonts w:ascii="Times New Roman" w:hAnsi="Times New Roman" w:cs="Times New Roman"/>
        </w:rPr>
        <w:t>Повредом на раду, која је дефинисана чланом 22. Закона о пензијском и инвалидском осигурању сматра се повреда осигураника која се догоди у просторној, временској и узрочној повезаности са обављањем посла по основу кога је осигуран, проузрокована непосредним и краткотрајним механичким, физичким или хемијским дејством, наглим променама положаја тела, изненадним оптерећењем тела или другим променама физиолошког стања организма. У случају када се догоди тешка, смртна или колективна повреда на раду или повреда због које запослени није способан за рад дуже од три узастопна радна дана, послодавац је дужан да исту пријави надлежној инспекцији рада и надлежном органу унутрашњих послова најкасније у року од 24 часа, од њеног настанка.</w:t>
      </w:r>
    </w:p>
  </w:footnote>
  <w:footnote w:id="8">
    <w:p w14:paraId="47AFC585" w14:textId="77777777" w:rsidR="005D4335" w:rsidRPr="00203E0A" w:rsidRDefault="005D4335" w:rsidP="00EC5D47">
      <w:pPr>
        <w:spacing w:after="0" w:line="240" w:lineRule="auto"/>
        <w:jc w:val="both"/>
        <w:rPr>
          <w:rFonts w:ascii="Times New Roman" w:hAnsi="Times New Roman" w:cs="Times New Roman"/>
          <w:sz w:val="20"/>
          <w:szCs w:val="20"/>
        </w:rPr>
      </w:pPr>
      <w:r w:rsidRPr="00203E0A">
        <w:rPr>
          <w:rStyle w:val="FootnoteReference"/>
          <w:rFonts w:ascii="Times New Roman" w:hAnsi="Times New Roman" w:cs="Times New Roman"/>
          <w:sz w:val="20"/>
          <w:szCs w:val="20"/>
        </w:rPr>
        <w:footnoteRef/>
      </w:r>
      <w:r w:rsidRPr="00203E0A">
        <w:rPr>
          <w:rFonts w:ascii="Times New Roman" w:hAnsi="Times New Roman" w:cs="Times New Roman"/>
          <w:sz w:val="20"/>
          <w:szCs w:val="20"/>
        </w:rPr>
        <w:t xml:space="preserve"> </w:t>
      </w:r>
      <w:r w:rsidRPr="00203E0A">
        <w:rPr>
          <w:rFonts w:ascii="Times New Roman" w:hAnsi="Times New Roman" w:cs="Times New Roman"/>
          <w:sz w:val="20"/>
          <w:szCs w:val="20"/>
        </w:rPr>
        <w:t xml:space="preserve">Преглед методологије доступан је на </w:t>
      </w:r>
      <w:hyperlink r:id="rId4" w:history="1">
        <w:r w:rsidRPr="00203E0A">
          <w:rPr>
            <w:rStyle w:val="Hyperlink"/>
            <w:rFonts w:ascii="Times New Roman" w:hAnsi="Times New Roman" w:cs="Times New Roman"/>
            <w:sz w:val="20"/>
            <w:szCs w:val="20"/>
          </w:rPr>
          <w:t>https://ec.europa.eu/eurostat/web/products-manuals-and-guidelines/-/KS-RA-12-102</w:t>
        </w:r>
      </w:hyperlink>
      <w:r w:rsidRPr="00203E0A">
        <w:rPr>
          <w:rFonts w:ascii="Times New Roman" w:hAnsi="Times New Roman" w:cs="Times New Roman"/>
          <w:sz w:val="20"/>
          <w:szCs w:val="20"/>
        </w:rPr>
        <w:t xml:space="preserve">. Претходни приступ евиденције о повредама на раду у Републици Србији није вођена према Европској методологији повреда на раду није било могуће обезбедити потпуну упоредивост података. </w:t>
      </w:r>
    </w:p>
  </w:footnote>
  <w:footnote w:id="9">
    <w:p w14:paraId="3D395F73" w14:textId="2EDCA7A9" w:rsidR="005D4335" w:rsidRPr="00203E0A" w:rsidRDefault="005D4335" w:rsidP="00EC5D47">
      <w:pPr>
        <w:pStyle w:val="FootnoteText"/>
        <w:jc w:val="both"/>
        <w:rPr>
          <w:rFonts w:ascii="Times New Roman" w:hAnsi="Times New Roman" w:cs="Times New Roman"/>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Обавеза достављања извештаја о повредама на раду прописана је чланом 7. Правилника о садржају и начину издавања обрасца извештаја о повреди на раду и професионалном обољењу („Службени гласник РС”, б</w:t>
      </w:r>
      <w:r>
        <w:rPr>
          <w:rFonts w:ascii="Times New Roman" w:hAnsi="Times New Roman" w:cs="Times New Roman"/>
        </w:rPr>
        <w:t xml:space="preserve">р. 72/06, 84/06 – исправка, 4/16, </w:t>
      </w:r>
      <w:r w:rsidRPr="00203E0A">
        <w:rPr>
          <w:rFonts w:ascii="Times New Roman" w:hAnsi="Times New Roman" w:cs="Times New Roman"/>
        </w:rPr>
        <w:t>106/18 и</w:t>
      </w:r>
      <w:r w:rsidRPr="00203E0A">
        <w:rPr>
          <w:rFonts w:ascii="Times New Roman" w:hAnsi="Times New Roman" w:cs="Times New Roman"/>
          <w:i/>
          <w:iCs/>
        </w:rPr>
        <w:t xml:space="preserve"> </w:t>
      </w:r>
      <w:r w:rsidRPr="00203E0A">
        <w:rPr>
          <w:rFonts w:ascii="Times New Roman" w:hAnsi="Times New Roman" w:cs="Times New Roman"/>
        </w:rPr>
        <w:t>14/19).</w:t>
      </w:r>
    </w:p>
  </w:footnote>
  <w:footnote w:id="10">
    <w:p w14:paraId="5D0F9A57" w14:textId="77777777" w:rsidR="005D4335" w:rsidRPr="00203E0A" w:rsidRDefault="005D4335" w:rsidP="00EC5D47">
      <w:pPr>
        <w:pStyle w:val="FootnoteText"/>
        <w:jc w:val="both"/>
        <w:rPr>
          <w:rFonts w:ascii="Times New Roman" w:hAnsi="Times New Roman" w:cs="Times New Roman"/>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Приказани су надзори само у случају повреда са смртним и тешким исходом. Извештај је доступан на https://inspektor.gov.rs/cms/documents/35470/0</w:t>
      </w:r>
    </w:p>
  </w:footnote>
  <w:footnote w:id="11">
    <w:p w14:paraId="0C9BB053" w14:textId="2387B8C4" w:rsidR="005D4335" w:rsidRDefault="005D4335">
      <w:pPr>
        <w:pStyle w:val="FootnoteText"/>
      </w:pPr>
      <w:r>
        <w:rPr>
          <w:rStyle w:val="FootnoteReference"/>
        </w:rPr>
        <w:footnoteRef/>
      </w:r>
      <w:r>
        <w:t xml:space="preserve"> </w:t>
      </w:r>
      <w:r w:rsidRPr="00D35086">
        <w:rPr>
          <w:rFonts w:ascii="Times New Roman" w:hAnsi="Times New Roman" w:cs="Times New Roman"/>
        </w:rPr>
        <w:t>Извештај Инспектората за рад за 2023. годину.</w:t>
      </w:r>
    </w:p>
  </w:footnote>
  <w:footnote w:id="12">
    <w:p w14:paraId="3AA0D419" w14:textId="77777777" w:rsidR="005D4335" w:rsidRPr="00203E0A" w:rsidRDefault="005D4335" w:rsidP="00EC5D47">
      <w:pPr>
        <w:pStyle w:val="FootnoteText"/>
        <w:jc w:val="both"/>
        <w:rPr>
          <w:rFonts w:ascii="Arial Nova" w:hAnsi="Arial Nova"/>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Анкета о радној снази 2022. године доступна је на https://publikacije.stat.gov.rs/G2023/Pdf/G20231047.pdf</w:t>
      </w:r>
    </w:p>
  </w:footnote>
  <w:footnote w:id="13">
    <w:p w14:paraId="46F58A6A" w14:textId="6DC36FD8" w:rsidR="005D4335" w:rsidRPr="00203E0A" w:rsidRDefault="005D4335" w:rsidP="00EC5D47">
      <w:pPr>
        <w:pStyle w:val="FootnoteText"/>
        <w:jc w:val="both"/>
        <w:rPr>
          <w:rFonts w:ascii="Times New Roman" w:hAnsi="Times New Roman" w:cs="Times New Roman"/>
        </w:rPr>
      </w:pPr>
      <w:r w:rsidRPr="00203E0A">
        <w:rPr>
          <w:rStyle w:val="FootnoteReference"/>
          <w:rFonts w:ascii="Arial Nova" w:hAnsi="Arial Nova"/>
        </w:rPr>
        <w:footnoteRef/>
      </w:r>
      <w:r w:rsidRPr="00203E0A">
        <w:rPr>
          <w:rFonts w:ascii="Arial Nova" w:hAnsi="Arial Nova"/>
        </w:rPr>
        <w:t xml:space="preserve"> </w:t>
      </w:r>
      <w:hyperlink r:id="rId5" w:history="1">
        <w:r w:rsidRPr="00203E0A">
          <w:rPr>
            <w:rStyle w:val="Hyperlink"/>
            <w:rFonts w:ascii="Times New Roman" w:hAnsi="Times New Roman" w:cs="Times New Roman"/>
          </w:rPr>
          <w:t>Accidents at work statisti cs - Statistics Explained (europa.eu)</w:t>
        </w:r>
      </w:hyperlink>
    </w:p>
  </w:footnote>
  <w:footnote w:id="14">
    <w:p w14:paraId="54CBDB59" w14:textId="0652ACD1" w:rsidR="005D4335" w:rsidRPr="00203E0A" w:rsidRDefault="005D4335" w:rsidP="00EC5D47">
      <w:pPr>
        <w:pStyle w:val="FootnoteText"/>
        <w:rPr>
          <w:rFonts w:ascii="Times New Roman" w:hAnsi="Times New Roman" w:cs="Times New Roman"/>
        </w:rPr>
      </w:pPr>
      <w:r w:rsidRPr="00203E0A">
        <w:rPr>
          <w:rStyle w:val="FootnoteReference"/>
          <w:rFonts w:ascii="Times New Roman" w:hAnsi="Times New Roman" w:cs="Times New Roman"/>
        </w:rPr>
        <w:footnoteRef/>
      </w:r>
      <w:r w:rsidR="00017C85">
        <w:rPr>
          <w:rFonts w:ascii="Times New Roman" w:hAnsi="Times New Roman" w:cs="Times New Roman"/>
        </w:rPr>
        <w:t xml:space="preserve"> </w:t>
      </w:r>
      <w:r w:rsidRPr="00203E0A">
        <w:rPr>
          <w:rFonts w:ascii="Times New Roman" w:hAnsi="Times New Roman" w:cs="Times New Roman"/>
        </w:rPr>
        <w:t>Преглед процена приказан је у Извештају ЕУ агенције https://osha.europa.eu/sites/default/files/2021-11/international_comparison-of_costs_work_related_accidents.pdf</w:t>
      </w:r>
    </w:p>
  </w:footnote>
  <w:footnote w:id="15">
    <w:p w14:paraId="2BAAD32E" w14:textId="77777777" w:rsidR="005D4335" w:rsidRPr="00203E0A" w:rsidRDefault="005D4335" w:rsidP="00EC5D47">
      <w:pPr>
        <w:pStyle w:val="FootnoteText"/>
        <w:jc w:val="both"/>
        <w:rPr>
          <w:rFonts w:ascii="Arial Nova" w:hAnsi="Arial Nova"/>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 xml:space="preserve">Методологија за обрачун стандардизованих стопа доступна је на </w:t>
      </w:r>
      <w:hyperlink r:id="rId6" w:history="1">
        <w:r w:rsidRPr="00203E0A">
          <w:rPr>
            <w:rStyle w:val="Hyperlink"/>
            <w:rFonts w:ascii="Times New Roman" w:hAnsi="Times New Roman" w:cs="Times New Roman"/>
          </w:rPr>
          <w:t>Objectives: (eurosafe.eu.com)</w:t>
        </w:r>
      </w:hyperlink>
      <w:r w:rsidRPr="00203E0A">
        <w:rPr>
          <w:rFonts w:ascii="Times New Roman" w:hAnsi="Times New Roman" w:cs="Times New Roman"/>
        </w:rPr>
        <w:t xml:space="preserve">, и </w:t>
      </w:r>
      <w:hyperlink r:id="rId7" w:history="1">
        <w:r w:rsidRPr="00203E0A">
          <w:rPr>
            <w:rStyle w:val="Hyperlink"/>
            <w:rFonts w:ascii="Times New Roman" w:hAnsi="Times New Roman" w:cs="Times New Roman"/>
          </w:rPr>
          <w:t>Calculating OSHA Incident Rates: TRIR, DART, LTIFR, and LTIIR | Creative Safety Supply</w:t>
        </w:r>
      </w:hyperlink>
      <w:r w:rsidRPr="00203E0A">
        <w:rPr>
          <w:rFonts w:ascii="Arial Nova" w:hAnsi="Arial Nova"/>
        </w:rPr>
        <w:t xml:space="preserve"> </w:t>
      </w:r>
    </w:p>
  </w:footnote>
  <w:footnote w:id="16">
    <w:p w14:paraId="53744A20" w14:textId="77777777" w:rsidR="005D4335" w:rsidRPr="00203E0A" w:rsidRDefault="005D4335" w:rsidP="00EC5D47">
      <w:pPr>
        <w:jc w:val="both"/>
        <w:rPr>
          <w:rFonts w:ascii="Times New Roman" w:hAnsi="Times New Roman" w:cs="Times New Roman"/>
          <w:color w:val="000000"/>
          <w:sz w:val="20"/>
          <w:szCs w:val="20"/>
        </w:rPr>
      </w:pPr>
      <w:r w:rsidRPr="00203E0A">
        <w:rPr>
          <w:rStyle w:val="FootnoteReference"/>
          <w:rFonts w:ascii="Times New Roman" w:hAnsi="Times New Roman" w:cs="Times New Roman"/>
          <w:sz w:val="20"/>
          <w:szCs w:val="20"/>
        </w:rPr>
        <w:footnoteRef/>
      </w:r>
      <w:r w:rsidRPr="00203E0A">
        <w:rPr>
          <w:rFonts w:ascii="Times New Roman" w:hAnsi="Times New Roman" w:cs="Times New Roman"/>
          <w:sz w:val="20"/>
          <w:szCs w:val="20"/>
        </w:rPr>
        <w:t xml:space="preserve"> </w:t>
      </w:r>
      <w:r w:rsidRPr="00203E0A">
        <w:rPr>
          <w:rFonts w:ascii="Times New Roman" w:hAnsi="Times New Roman" w:cs="Times New Roman"/>
          <w:color w:val="000000"/>
          <w:sz w:val="20"/>
          <w:szCs w:val="20"/>
        </w:rPr>
        <w:t xml:space="preserve">Petar Bulat, Kenichi Hirose, Jovan Protić, Bezbednost i zdravlje na radu u </w:t>
      </w:r>
      <w:r w:rsidRPr="00203E0A">
        <w:rPr>
          <w:rFonts w:ascii="Times New Roman" w:hAnsi="Times New Roman" w:cs="Times New Roman"/>
          <w:sz w:val="20"/>
          <w:szCs w:val="20"/>
        </w:rPr>
        <w:t>građevinarstvu</w:t>
      </w:r>
      <w:r w:rsidRPr="00203E0A">
        <w:rPr>
          <w:rFonts w:ascii="Times New Roman" w:hAnsi="Times New Roman" w:cs="Times New Roman"/>
          <w:color w:val="000000"/>
          <w:sz w:val="20"/>
          <w:szCs w:val="20"/>
        </w:rPr>
        <w:t xml:space="preserve"> Srbiji (2018).</w:t>
      </w:r>
    </w:p>
  </w:footnote>
  <w:footnote w:id="17">
    <w:p w14:paraId="2F4C933B" w14:textId="77777777" w:rsidR="005D4335" w:rsidRPr="00203E0A" w:rsidRDefault="005D4335" w:rsidP="00EC5D47">
      <w:pPr>
        <w:pStyle w:val="FootnoteText"/>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https://osha.europa.eu/en/publications/safety-and-health-micro-and-small-enterprises-eu-view-workplace</w:t>
      </w:r>
    </w:p>
  </w:footnote>
  <w:footnote w:id="18">
    <w:p w14:paraId="27B8FD9A" w14:textId="77777777" w:rsidR="005D4335" w:rsidRPr="00203E0A" w:rsidRDefault="005D4335" w:rsidP="00EC5D47">
      <w:pPr>
        <w:pStyle w:val="FootnoteText"/>
        <w:jc w:val="both"/>
        <w:rPr>
          <w:rFonts w:ascii="Times New Roman" w:hAnsi="Times New Roman" w:cs="Times New Roman"/>
        </w:rPr>
      </w:pPr>
      <w:r w:rsidRPr="00203E0A">
        <w:rPr>
          <w:rStyle w:val="FootnoteReference"/>
          <w:rFonts w:ascii="Arial Nova" w:hAnsi="Arial Nova"/>
        </w:rPr>
        <w:footnoteRef/>
      </w:r>
      <w:r w:rsidRPr="00203E0A">
        <w:rPr>
          <w:rFonts w:ascii="Arial Nova" w:hAnsi="Arial Nova"/>
        </w:rPr>
        <w:t xml:space="preserve"> </w:t>
      </w:r>
      <w:r w:rsidRPr="00203E0A">
        <w:rPr>
          <w:rFonts w:ascii="Times New Roman" w:hAnsi="Times New Roman" w:cs="Times New Roman"/>
        </w:rPr>
        <w:t>Повредом на раду, која је дефинисана чланом 22. Закона о пензијском и инвалидском осигурању сматра се повреда осигураника која се догоди у просторној, временској и узрочној повезаности са обављањем посла по основу кога је осигуран, проузрокована непосредним и краткотрајним механичким, физичким или хемијским дејством, наглим променама положаја тела, изненадним оптерећењем тела или другим променама физиолошког стања организма. У случају када се догоди тешка, смртна или колективна повреда на раду или повреда због које запослени није способан за рад дуже од три узастопна радна дана, послодавац је дужан да исту пријави надлежној инспекцији рада и надлежном органу унутрашњих послова најкасније у року од 24 часа, од њеног настанка.</w:t>
      </w:r>
    </w:p>
  </w:footnote>
  <w:footnote w:id="19">
    <w:p w14:paraId="7EE5B523" w14:textId="77777777" w:rsidR="005D4335" w:rsidRPr="00203E0A" w:rsidRDefault="005D4335" w:rsidP="00EC5D47">
      <w:pPr>
        <w:pStyle w:val="FootnoteText"/>
        <w:rPr>
          <w:rFonts w:ascii="Arial Nova" w:hAnsi="Arial Nova"/>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Детаљније о професионалним болестима у Србији види ttp://www.socijalnoekonomskisavet.rs/cir/vesti/profesionalne%20bolesti.pdf</w:t>
      </w:r>
    </w:p>
  </w:footnote>
  <w:footnote w:id="20">
    <w:p w14:paraId="4D6308C2" w14:textId="77777777" w:rsidR="005D4335" w:rsidRPr="00203E0A" w:rsidRDefault="005D4335" w:rsidP="00EC5D47">
      <w:pPr>
        <w:jc w:val="both"/>
        <w:rPr>
          <w:rFonts w:ascii="Times New Roman" w:hAnsi="Times New Roman" w:cs="Times New Roman"/>
          <w:sz w:val="20"/>
          <w:szCs w:val="20"/>
        </w:rPr>
      </w:pPr>
      <w:r w:rsidRPr="00203E0A">
        <w:rPr>
          <w:rStyle w:val="FootnoteReference"/>
          <w:rFonts w:ascii="Arial Nova" w:hAnsi="Arial Nova"/>
          <w:sz w:val="20"/>
          <w:szCs w:val="20"/>
        </w:rPr>
        <w:footnoteRef/>
      </w:r>
      <w:r w:rsidRPr="00203E0A">
        <w:rPr>
          <w:rFonts w:ascii="Arial Nova" w:hAnsi="Arial Nova"/>
          <w:sz w:val="20"/>
          <w:szCs w:val="20"/>
        </w:rPr>
        <w:t xml:space="preserve"> </w:t>
      </w:r>
      <w:r w:rsidRPr="00203E0A">
        <w:rPr>
          <w:rFonts w:ascii="Times New Roman" w:hAnsi="Times New Roman" w:cs="Times New Roman"/>
          <w:sz w:val="20"/>
          <w:szCs w:val="20"/>
        </w:rPr>
        <w:t>Подаци за ЕУ доступни на https://visualisation.osha.europa.eu/esener/en/survey/detailpage-european-map/2019/osh-management/en_1/E3Q252_1/activity-sector/14/11/1</w:t>
      </w:r>
    </w:p>
    <w:p w14:paraId="6B53DCDB" w14:textId="77777777" w:rsidR="005D4335" w:rsidRPr="00203E0A" w:rsidRDefault="005D4335" w:rsidP="00EC5D47">
      <w:pPr>
        <w:jc w:val="both"/>
        <w:rPr>
          <w:rFonts w:ascii="Times New Roman" w:hAnsi="Times New Roman" w:cs="Times New Roman"/>
          <w:sz w:val="20"/>
          <w:szCs w:val="20"/>
        </w:rPr>
      </w:pPr>
    </w:p>
  </w:footnote>
  <w:footnote w:id="21">
    <w:p w14:paraId="489667AC" w14:textId="026B802D" w:rsidR="005D4335" w:rsidRPr="00203E0A" w:rsidRDefault="005D4335" w:rsidP="002369CA">
      <w:pPr>
        <w:pStyle w:val="FootnoteText"/>
        <w:jc w:val="both"/>
        <w:rPr>
          <w:rFonts w:ascii="Arial Nova" w:hAnsi="Arial Nova"/>
        </w:rPr>
      </w:pPr>
      <w:r w:rsidRPr="00203E0A">
        <w:rPr>
          <w:rStyle w:val="FootnoteReference"/>
          <w:rFonts w:ascii="Arial Nova" w:hAnsi="Arial Nova"/>
        </w:rPr>
        <w:footnoteRef/>
      </w:r>
      <w:r w:rsidRPr="00203E0A">
        <w:rPr>
          <w:rFonts w:ascii="Arial Nova" w:hAnsi="Arial Nova"/>
        </w:rPr>
        <w:t xml:space="preserve"> </w:t>
      </w:r>
      <w:r w:rsidRPr="00203E0A">
        <w:rPr>
          <w:rFonts w:ascii="Times New Roman" w:hAnsi="Times New Roman" w:cs="Times New Roman"/>
        </w:rPr>
        <w:t xml:space="preserve">Индикатор броја изгубљених радних сати у наведена четири сектора користи се за процене у вези са утицајем климатских фактора, посебно високих температура на радну способност. Индикатор је комбинован и комбинује температуре мерене мокрим термометром који поред температуре ваздуха мери његову влажност и интензитет сунчевог зрачења, у комбинацији са просечном количином утрошене енергије по раднику за врсту посла у објекту. наведеним секторима и броју запослених у наведеним секторима старијим од 15 година. Incrising risk over time of weather/related hazards to the European population: a data driven prognostic study </w:t>
      </w:r>
      <w:hyperlink r:id="rId8" w:history="1">
        <w:r w:rsidRPr="00203E0A">
          <w:rPr>
            <w:rStyle w:val="Hyperlink"/>
            <w:rFonts w:ascii="Times New Roman" w:hAnsi="Times New Roman" w:cs="Times New Roman"/>
          </w:rPr>
          <w:t>https://www.lancetcountdown.org/data-platform/climate-change-impacts-exposures-and-vulnerability/1-1-health-and-heat/1-1-4-change-in-labour-capacity</w:t>
        </w:r>
      </w:hyperlink>
    </w:p>
    <w:p w14:paraId="4D141FA1" w14:textId="54668FA2" w:rsidR="005D4335" w:rsidRPr="00203E0A" w:rsidRDefault="005D4335" w:rsidP="002369CA">
      <w:pPr>
        <w:pStyle w:val="FootnoteText"/>
        <w:jc w:val="both"/>
        <w:rPr>
          <w:rFonts w:ascii="Times New Roman" w:hAnsi="Times New Roman" w:cs="Times New Roman"/>
        </w:rPr>
      </w:pPr>
      <w:r w:rsidRPr="00203E0A">
        <w:rPr>
          <w:rFonts w:ascii="Times New Roman" w:hAnsi="Times New Roman" w:cs="Times New Roman"/>
          <w:vertAlign w:val="superscript"/>
        </w:rPr>
        <w:t>22</w:t>
      </w:r>
      <w:r w:rsidRPr="00203E0A">
        <w:rPr>
          <w:rFonts w:ascii="Times New Roman" w:hAnsi="Times New Roman" w:cs="Times New Roman"/>
        </w:rPr>
        <w:t xml:space="preserve"> </w:t>
      </w:r>
      <w:hyperlink r:id="rId9">
        <w:r w:rsidRPr="00203E0A">
          <w:rPr>
            <w:rStyle w:val="Hyperlink"/>
            <w:rFonts w:ascii="Times New Roman" w:hAnsi="Times New Roman" w:cs="Times New Roman"/>
            <w:color w:val="auto"/>
          </w:rPr>
          <w:t>Управа за безбедност и здравље на раду | Министарство за рад, запошљавање, борачка и социјална питања (minrzs.gov.rs)</w:t>
        </w:r>
      </w:hyperlink>
    </w:p>
  </w:footnote>
  <w:footnote w:id="22">
    <w:p w14:paraId="56F86F74" w14:textId="4F97E80E" w:rsidR="005D4335" w:rsidRDefault="005D4335">
      <w:pPr>
        <w:pStyle w:val="FootnoteText"/>
      </w:pPr>
      <w:r>
        <w:rPr>
          <w:rStyle w:val="FootnoteReference"/>
        </w:rPr>
        <w:footnoteRef/>
      </w:r>
      <w:r>
        <w:t xml:space="preserve"> </w:t>
      </w:r>
      <w:hyperlink r:id="rId10">
        <w:r w:rsidRPr="00203E0A">
          <w:rPr>
            <w:rStyle w:val="Hyperlink"/>
            <w:rFonts w:ascii="Times New Roman" w:hAnsi="Times New Roman" w:cs="Times New Roman"/>
            <w:color w:val="auto"/>
          </w:rPr>
          <w:t>SLIC (Committee of Senior Labour Inspectors) - PUBLIC GROUP - Library (europa.eu)</w:t>
        </w:r>
      </w:hyperlink>
      <w:r>
        <w:rPr>
          <w:rFonts w:ascii="Times New Roman" w:hAnsi="Times New Roman" w:cs="Times New Roman"/>
        </w:rPr>
        <w:t xml:space="preserve">; </w:t>
      </w:r>
      <w:hyperlink r:id="rId11">
        <w:r w:rsidRPr="00203E0A">
          <w:rPr>
            <w:rStyle w:val="Hyperlink"/>
            <w:rFonts w:ascii="Times New Roman" w:hAnsi="Times New Roman" w:cs="Times New Roman"/>
            <w:color w:val="auto"/>
          </w:rPr>
          <w:t>Labour inspectors' insights into perceived high-risk occupations and sectors in Europe: an EU-OSHA-SLIC survey | Safety and health at work EU-OSHA (europa.eu)</w:t>
        </w:r>
      </w:hyperlink>
    </w:p>
  </w:footnote>
  <w:footnote w:id="23">
    <w:p w14:paraId="0BDC3717" w14:textId="4C3F214C" w:rsidR="005D4335" w:rsidRPr="006D56A3" w:rsidRDefault="005D4335" w:rsidP="006D56A3">
      <w:pPr>
        <w:pStyle w:val="FootnoteText"/>
        <w:jc w:val="both"/>
        <w:rPr>
          <w:rFonts w:ascii="Times New Roman" w:hAnsi="Times New Roman" w:cs="Times New Roman"/>
          <w:lang w:val="en-GB"/>
        </w:rPr>
      </w:pPr>
      <w:r w:rsidRPr="00203E0A">
        <w:rPr>
          <w:rStyle w:val="FootnoteReference"/>
          <w:rFonts w:ascii="Times New Roman" w:hAnsi="Times New Roman" w:cs="Times New Roman"/>
        </w:rPr>
        <w:footnoteRef/>
      </w:r>
      <w:r w:rsidRPr="00203E0A">
        <w:rPr>
          <w:rFonts w:ascii="Times New Roman" w:hAnsi="Times New Roman" w:cs="Times New Roman"/>
        </w:rPr>
        <w:t xml:space="preserve"> </w:t>
      </w:r>
      <w:r w:rsidRPr="00203E0A">
        <w:rPr>
          <w:rFonts w:ascii="Times New Roman" w:hAnsi="Times New Roman" w:cs="Times New Roman"/>
        </w:rPr>
        <w:t>Влада републике Србије и Министарство здравља изменом Закона о здравственој документацији и евиденцијама у здравству створили су могућност убрзане и сврсисходније употреба информационе и комуникационе технологије у здравственим установама. Будући Републички интегрисани здравствени информациони систем, еКартон и друге евиденције које су развијене и које ће бити развијене као и сервиси омогући ће брже, ефикасније и квалитетније пружање здравствене услуге грађанима.</w:t>
      </w:r>
    </w:p>
  </w:footnote>
  <w:footnote w:id="24">
    <w:p w14:paraId="68BE8BE4" w14:textId="6523AF85" w:rsidR="005D4335" w:rsidRPr="00C31A41" w:rsidRDefault="005D4335">
      <w:pPr>
        <w:pStyle w:val="FootnoteText"/>
        <w:rPr>
          <w:rFonts w:ascii="Times New Roman" w:hAnsi="Times New Roman" w:cs="Times New Roman"/>
        </w:rPr>
      </w:pPr>
      <w:r w:rsidRPr="00BB0D51">
        <w:rPr>
          <w:rStyle w:val="FootnoteReference"/>
          <w:rFonts w:ascii="Times New Roman" w:hAnsi="Times New Roman" w:cs="Times New Roman"/>
        </w:rPr>
        <w:footnoteRef/>
      </w:r>
      <w:r w:rsidRPr="00BB0D51">
        <w:rPr>
          <w:rFonts w:ascii="Times New Roman" w:hAnsi="Times New Roman" w:cs="Times New Roman"/>
        </w:rPr>
        <w:t xml:space="preserve"> </w:t>
      </w:r>
      <w:hyperlink r:id="rId12" w:history="1">
        <w:r w:rsidRPr="00BB0D51">
          <w:rPr>
            <w:rStyle w:val="Hyperlink"/>
            <w:rFonts w:ascii="Times New Roman" w:hAnsi="Times New Roman" w:cs="Times New Roman"/>
            <w:color w:val="auto"/>
          </w:rPr>
          <w:t>Контролне листе - инспекцијски надзор | Министарство за рад, запошљавање, борачка и социјална питања (minrzs.gov.rs)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882767"/>
      <w:docPartObj>
        <w:docPartGallery w:val="Page Numbers (Top of Page)"/>
        <w:docPartUnique/>
      </w:docPartObj>
    </w:sdtPr>
    <w:sdtEndPr>
      <w:rPr>
        <w:rFonts w:ascii="Times New Roman" w:hAnsi="Times New Roman" w:cs="Times New Roman"/>
        <w:sz w:val="24"/>
        <w:szCs w:val="24"/>
      </w:rPr>
    </w:sdtEndPr>
    <w:sdtContent>
      <w:p w14:paraId="4D7F8856" w14:textId="75A17BBB" w:rsidR="005D4335" w:rsidRPr="00203E0A" w:rsidRDefault="005D4335">
        <w:pPr>
          <w:pStyle w:val="Header"/>
          <w:jc w:val="center"/>
          <w:rPr>
            <w:rFonts w:ascii="Times New Roman" w:hAnsi="Times New Roman" w:cs="Times New Roman"/>
            <w:sz w:val="24"/>
            <w:szCs w:val="24"/>
          </w:rPr>
        </w:pPr>
        <w:r w:rsidRPr="00203E0A">
          <w:rPr>
            <w:rFonts w:ascii="Times New Roman" w:hAnsi="Times New Roman" w:cs="Times New Roman"/>
            <w:sz w:val="24"/>
            <w:szCs w:val="24"/>
          </w:rPr>
          <w:fldChar w:fldCharType="begin"/>
        </w:r>
        <w:r w:rsidRPr="00203E0A">
          <w:rPr>
            <w:rFonts w:ascii="Times New Roman" w:hAnsi="Times New Roman" w:cs="Times New Roman"/>
            <w:sz w:val="24"/>
            <w:szCs w:val="24"/>
          </w:rPr>
          <w:instrText xml:space="preserve"> PAGE   \* MERGEFORMAT </w:instrText>
        </w:r>
        <w:r w:rsidRPr="00203E0A">
          <w:rPr>
            <w:rFonts w:ascii="Times New Roman" w:hAnsi="Times New Roman" w:cs="Times New Roman"/>
            <w:sz w:val="24"/>
            <w:szCs w:val="24"/>
          </w:rPr>
          <w:fldChar w:fldCharType="separate"/>
        </w:r>
        <w:r w:rsidR="00137792">
          <w:rPr>
            <w:rFonts w:ascii="Times New Roman" w:hAnsi="Times New Roman" w:cs="Times New Roman"/>
            <w:noProof/>
            <w:sz w:val="24"/>
            <w:szCs w:val="24"/>
          </w:rPr>
          <w:t>49</w:t>
        </w:r>
        <w:r w:rsidRPr="00203E0A">
          <w:rPr>
            <w:rFonts w:ascii="Times New Roman" w:hAnsi="Times New Roman" w:cs="Times New Roman"/>
            <w:sz w:val="24"/>
            <w:szCs w:val="24"/>
          </w:rPr>
          <w:fldChar w:fldCharType="end"/>
        </w:r>
      </w:p>
    </w:sdtContent>
  </w:sdt>
  <w:p w14:paraId="309E1FB0" w14:textId="77777777" w:rsidR="005D4335" w:rsidRPr="00203E0A" w:rsidRDefault="005D433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3D11" w14:textId="77777777" w:rsidR="005D4335" w:rsidRPr="00203E0A" w:rsidRDefault="005D4335">
    <w:pPr>
      <w:pStyle w:val="Header"/>
      <w:jc w:val="center"/>
    </w:pPr>
  </w:p>
  <w:p w14:paraId="3420A9EA" w14:textId="77777777" w:rsidR="005D4335" w:rsidRPr="00203E0A" w:rsidRDefault="005D4335">
    <w:pPr>
      <w:pStyle w:val="Header"/>
    </w:pPr>
  </w:p>
</w:hdr>
</file>

<file path=word/intelligence2.xml><?xml version="1.0" encoding="utf-8"?>
<int2:intelligence xmlns:int2="http://schemas.microsoft.com/office/intelligence/2020/intelligence" xmlns:oel="http://schemas.microsoft.com/office/2019/extlst">
  <int2:observations>
    <int2:textHash int2:hashCode="7FIvyyNk8CIda6" int2:id="1S6NFIji">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D6CDC"/>
    <w:multiLevelType w:val="hybridMultilevel"/>
    <w:tmpl w:val="E9E6D11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E353A"/>
    <w:multiLevelType w:val="hybridMultilevel"/>
    <w:tmpl w:val="49B86A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E4928"/>
    <w:multiLevelType w:val="hybridMultilevel"/>
    <w:tmpl w:val="874CDA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3C4E22"/>
    <w:multiLevelType w:val="hybridMultilevel"/>
    <w:tmpl w:val="AC142046"/>
    <w:lvl w:ilvl="0" w:tplc="0409000F">
      <w:start w:val="1"/>
      <w:numFmt w:val="decimal"/>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24662071"/>
    <w:multiLevelType w:val="hybridMultilevel"/>
    <w:tmpl w:val="FA5E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39441F"/>
    <w:multiLevelType w:val="multilevel"/>
    <w:tmpl w:val="3FECA79E"/>
    <w:styleLink w:val="CurrentList1"/>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322210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52630C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ECE1294"/>
    <w:multiLevelType w:val="hybridMultilevel"/>
    <w:tmpl w:val="DBA25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8"/>
  </w:num>
  <w:num w:numId="5">
    <w:abstractNumId w:val="0"/>
  </w:num>
  <w:num w:numId="6">
    <w:abstractNumId w:val="3"/>
  </w:num>
  <w:num w:numId="7">
    <w:abstractNumId w:val="4"/>
  </w:num>
  <w:num w:numId="8">
    <w:abstractNumId w:val="1"/>
  </w:num>
  <w:num w:numId="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0"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C3D"/>
    <w:rsid w:val="0000187C"/>
    <w:rsid w:val="00002D19"/>
    <w:rsid w:val="000030D2"/>
    <w:rsid w:val="00005E07"/>
    <w:rsid w:val="0000777E"/>
    <w:rsid w:val="00007DC3"/>
    <w:rsid w:val="00015645"/>
    <w:rsid w:val="0001778D"/>
    <w:rsid w:val="00017C85"/>
    <w:rsid w:val="00020026"/>
    <w:rsid w:val="00020096"/>
    <w:rsid w:val="00020E3D"/>
    <w:rsid w:val="0002724B"/>
    <w:rsid w:val="0002791A"/>
    <w:rsid w:val="00032C95"/>
    <w:rsid w:val="00035C24"/>
    <w:rsid w:val="00037B42"/>
    <w:rsid w:val="00040100"/>
    <w:rsid w:val="000407D7"/>
    <w:rsid w:val="00043282"/>
    <w:rsid w:val="00044203"/>
    <w:rsid w:val="0004486D"/>
    <w:rsid w:val="00044E05"/>
    <w:rsid w:val="0004535A"/>
    <w:rsid w:val="00045927"/>
    <w:rsid w:val="000518AD"/>
    <w:rsid w:val="00051C93"/>
    <w:rsid w:val="00052645"/>
    <w:rsid w:val="0005501F"/>
    <w:rsid w:val="00057472"/>
    <w:rsid w:val="00061246"/>
    <w:rsid w:val="000618DD"/>
    <w:rsid w:val="00062F8F"/>
    <w:rsid w:val="0006737B"/>
    <w:rsid w:val="0007183A"/>
    <w:rsid w:val="00072C66"/>
    <w:rsid w:val="00072DD8"/>
    <w:rsid w:val="000750D9"/>
    <w:rsid w:val="000807E5"/>
    <w:rsid w:val="00080A44"/>
    <w:rsid w:val="00080DE0"/>
    <w:rsid w:val="00081601"/>
    <w:rsid w:val="00082167"/>
    <w:rsid w:val="00082687"/>
    <w:rsid w:val="00083804"/>
    <w:rsid w:val="000844B7"/>
    <w:rsid w:val="00087E83"/>
    <w:rsid w:val="00090D70"/>
    <w:rsid w:val="0009261B"/>
    <w:rsid w:val="00092BC6"/>
    <w:rsid w:val="00096471"/>
    <w:rsid w:val="00097633"/>
    <w:rsid w:val="000A58ED"/>
    <w:rsid w:val="000A795D"/>
    <w:rsid w:val="000B0386"/>
    <w:rsid w:val="000B0908"/>
    <w:rsid w:val="000B14AB"/>
    <w:rsid w:val="000B1664"/>
    <w:rsid w:val="000B1966"/>
    <w:rsid w:val="000B4435"/>
    <w:rsid w:val="000B7830"/>
    <w:rsid w:val="000B7A3B"/>
    <w:rsid w:val="000C0C05"/>
    <w:rsid w:val="000C11E5"/>
    <w:rsid w:val="000C38FD"/>
    <w:rsid w:val="000C5E0F"/>
    <w:rsid w:val="000D021A"/>
    <w:rsid w:val="000D0666"/>
    <w:rsid w:val="000D1CE7"/>
    <w:rsid w:val="000D260F"/>
    <w:rsid w:val="000D407A"/>
    <w:rsid w:val="000D6F3A"/>
    <w:rsid w:val="000F30A1"/>
    <w:rsid w:val="000F5917"/>
    <w:rsid w:val="000F5CD5"/>
    <w:rsid w:val="00102471"/>
    <w:rsid w:val="00102534"/>
    <w:rsid w:val="00104399"/>
    <w:rsid w:val="0010484B"/>
    <w:rsid w:val="00105789"/>
    <w:rsid w:val="00105C09"/>
    <w:rsid w:val="0010769A"/>
    <w:rsid w:val="00110222"/>
    <w:rsid w:val="00110FE1"/>
    <w:rsid w:val="001128D3"/>
    <w:rsid w:val="00112ADA"/>
    <w:rsid w:val="00113852"/>
    <w:rsid w:val="00117FFD"/>
    <w:rsid w:val="00120B2C"/>
    <w:rsid w:val="00121378"/>
    <w:rsid w:val="001223C6"/>
    <w:rsid w:val="00123F0E"/>
    <w:rsid w:val="00124195"/>
    <w:rsid w:val="00125211"/>
    <w:rsid w:val="00125B70"/>
    <w:rsid w:val="00126609"/>
    <w:rsid w:val="0013021E"/>
    <w:rsid w:val="001305AA"/>
    <w:rsid w:val="00131494"/>
    <w:rsid w:val="001335CC"/>
    <w:rsid w:val="00133A95"/>
    <w:rsid w:val="001367A4"/>
    <w:rsid w:val="001374C9"/>
    <w:rsid w:val="00137792"/>
    <w:rsid w:val="00140B24"/>
    <w:rsid w:val="00141139"/>
    <w:rsid w:val="00143645"/>
    <w:rsid w:val="00144422"/>
    <w:rsid w:val="0014538F"/>
    <w:rsid w:val="001479F9"/>
    <w:rsid w:val="00147AF0"/>
    <w:rsid w:val="00147BB2"/>
    <w:rsid w:val="001522D3"/>
    <w:rsid w:val="00156958"/>
    <w:rsid w:val="001579D6"/>
    <w:rsid w:val="00157EDB"/>
    <w:rsid w:val="00161902"/>
    <w:rsid w:val="00164608"/>
    <w:rsid w:val="001649A9"/>
    <w:rsid w:val="00164D3C"/>
    <w:rsid w:val="0016578A"/>
    <w:rsid w:val="00167433"/>
    <w:rsid w:val="001679AB"/>
    <w:rsid w:val="00167AFD"/>
    <w:rsid w:val="00171AFB"/>
    <w:rsid w:val="00172D2B"/>
    <w:rsid w:val="00174D5B"/>
    <w:rsid w:val="0017759E"/>
    <w:rsid w:val="0019738D"/>
    <w:rsid w:val="001A37E3"/>
    <w:rsid w:val="001A3AC9"/>
    <w:rsid w:val="001A6EA6"/>
    <w:rsid w:val="001B378A"/>
    <w:rsid w:val="001B50DF"/>
    <w:rsid w:val="001B5E81"/>
    <w:rsid w:val="001C1F2C"/>
    <w:rsid w:val="001C2616"/>
    <w:rsid w:val="001C3158"/>
    <w:rsid w:val="001D19FB"/>
    <w:rsid w:val="001D1B1C"/>
    <w:rsid w:val="001D301C"/>
    <w:rsid w:val="001D355A"/>
    <w:rsid w:val="001D431D"/>
    <w:rsid w:val="001E0471"/>
    <w:rsid w:val="001E35E2"/>
    <w:rsid w:val="001E51CD"/>
    <w:rsid w:val="001E585C"/>
    <w:rsid w:val="001E7AA6"/>
    <w:rsid w:val="001F3311"/>
    <w:rsid w:val="001F3C13"/>
    <w:rsid w:val="001F3D3F"/>
    <w:rsid w:val="001F6B1F"/>
    <w:rsid w:val="001F6C05"/>
    <w:rsid w:val="001F7B68"/>
    <w:rsid w:val="002013A8"/>
    <w:rsid w:val="00201545"/>
    <w:rsid w:val="00203E0A"/>
    <w:rsid w:val="0020430B"/>
    <w:rsid w:val="00204761"/>
    <w:rsid w:val="00205878"/>
    <w:rsid w:val="00206731"/>
    <w:rsid w:val="00211ECF"/>
    <w:rsid w:val="00213904"/>
    <w:rsid w:val="00213B98"/>
    <w:rsid w:val="00216216"/>
    <w:rsid w:val="00220E30"/>
    <w:rsid w:val="00221AF2"/>
    <w:rsid w:val="0022205E"/>
    <w:rsid w:val="0022222A"/>
    <w:rsid w:val="002242E9"/>
    <w:rsid w:val="0022435E"/>
    <w:rsid w:val="00227025"/>
    <w:rsid w:val="0023051F"/>
    <w:rsid w:val="002306A5"/>
    <w:rsid w:val="00231311"/>
    <w:rsid w:val="00231523"/>
    <w:rsid w:val="00231B80"/>
    <w:rsid w:val="002320C8"/>
    <w:rsid w:val="00234BA9"/>
    <w:rsid w:val="002369CA"/>
    <w:rsid w:val="00236DD1"/>
    <w:rsid w:val="00237C3B"/>
    <w:rsid w:val="002419CE"/>
    <w:rsid w:val="00242B9D"/>
    <w:rsid w:val="00242BDB"/>
    <w:rsid w:val="002433E4"/>
    <w:rsid w:val="00246EBE"/>
    <w:rsid w:val="00252C03"/>
    <w:rsid w:val="002530F0"/>
    <w:rsid w:val="00261232"/>
    <w:rsid w:val="00262188"/>
    <w:rsid w:val="002654BF"/>
    <w:rsid w:val="00267B17"/>
    <w:rsid w:val="00267F39"/>
    <w:rsid w:val="002736C9"/>
    <w:rsid w:val="0027587E"/>
    <w:rsid w:val="00281C46"/>
    <w:rsid w:val="00284A87"/>
    <w:rsid w:val="00290491"/>
    <w:rsid w:val="00290F41"/>
    <w:rsid w:val="00290FCA"/>
    <w:rsid w:val="002919D4"/>
    <w:rsid w:val="00293546"/>
    <w:rsid w:val="00295503"/>
    <w:rsid w:val="00295612"/>
    <w:rsid w:val="002A0E55"/>
    <w:rsid w:val="002A1210"/>
    <w:rsid w:val="002A1552"/>
    <w:rsid w:val="002A3650"/>
    <w:rsid w:val="002A5361"/>
    <w:rsid w:val="002B0120"/>
    <w:rsid w:val="002B29A7"/>
    <w:rsid w:val="002B4B6E"/>
    <w:rsid w:val="002B693B"/>
    <w:rsid w:val="002C0D65"/>
    <w:rsid w:val="002C4B2C"/>
    <w:rsid w:val="002D0DBA"/>
    <w:rsid w:val="002D3919"/>
    <w:rsid w:val="002D4787"/>
    <w:rsid w:val="002D5339"/>
    <w:rsid w:val="002D6A3F"/>
    <w:rsid w:val="002D7DDE"/>
    <w:rsid w:val="002E061A"/>
    <w:rsid w:val="002E0BA6"/>
    <w:rsid w:val="002E1846"/>
    <w:rsid w:val="002E2363"/>
    <w:rsid w:val="002E2391"/>
    <w:rsid w:val="002E251F"/>
    <w:rsid w:val="002E5F1F"/>
    <w:rsid w:val="002E6E10"/>
    <w:rsid w:val="002F03D4"/>
    <w:rsid w:val="002F22AE"/>
    <w:rsid w:val="002F327B"/>
    <w:rsid w:val="002F35E5"/>
    <w:rsid w:val="002F52F6"/>
    <w:rsid w:val="00301CE6"/>
    <w:rsid w:val="00301DB6"/>
    <w:rsid w:val="00302FEB"/>
    <w:rsid w:val="00305C43"/>
    <w:rsid w:val="0030744A"/>
    <w:rsid w:val="0031199C"/>
    <w:rsid w:val="00312033"/>
    <w:rsid w:val="0031794A"/>
    <w:rsid w:val="00320183"/>
    <w:rsid w:val="003228E3"/>
    <w:rsid w:val="00326E1B"/>
    <w:rsid w:val="00326E7F"/>
    <w:rsid w:val="00330370"/>
    <w:rsid w:val="0033201A"/>
    <w:rsid w:val="003322C2"/>
    <w:rsid w:val="003324BD"/>
    <w:rsid w:val="00332DA9"/>
    <w:rsid w:val="003373EE"/>
    <w:rsid w:val="00346B6B"/>
    <w:rsid w:val="00350701"/>
    <w:rsid w:val="0035422B"/>
    <w:rsid w:val="0035594E"/>
    <w:rsid w:val="00355EBE"/>
    <w:rsid w:val="00361746"/>
    <w:rsid w:val="0036308E"/>
    <w:rsid w:val="00367208"/>
    <w:rsid w:val="00370536"/>
    <w:rsid w:val="00371A16"/>
    <w:rsid w:val="003744B5"/>
    <w:rsid w:val="00380144"/>
    <w:rsid w:val="0038016F"/>
    <w:rsid w:val="00381E5F"/>
    <w:rsid w:val="00383819"/>
    <w:rsid w:val="003840AE"/>
    <w:rsid w:val="00390A6C"/>
    <w:rsid w:val="0039532E"/>
    <w:rsid w:val="0039563A"/>
    <w:rsid w:val="00395F45"/>
    <w:rsid w:val="00397EC7"/>
    <w:rsid w:val="003A12C2"/>
    <w:rsid w:val="003A1E03"/>
    <w:rsid w:val="003B0E50"/>
    <w:rsid w:val="003B1872"/>
    <w:rsid w:val="003B3AAD"/>
    <w:rsid w:val="003B46DF"/>
    <w:rsid w:val="003C049E"/>
    <w:rsid w:val="003C0B67"/>
    <w:rsid w:val="003C0E7A"/>
    <w:rsid w:val="003C23A0"/>
    <w:rsid w:val="003C476A"/>
    <w:rsid w:val="003C4BFB"/>
    <w:rsid w:val="003C6545"/>
    <w:rsid w:val="003C6E11"/>
    <w:rsid w:val="003D0C2A"/>
    <w:rsid w:val="003D1B7C"/>
    <w:rsid w:val="003D2C69"/>
    <w:rsid w:val="003D50FE"/>
    <w:rsid w:val="003D576E"/>
    <w:rsid w:val="003E1484"/>
    <w:rsid w:val="003E1F64"/>
    <w:rsid w:val="003E36D9"/>
    <w:rsid w:val="003E3E61"/>
    <w:rsid w:val="003E54E0"/>
    <w:rsid w:val="003E55AB"/>
    <w:rsid w:val="003E5890"/>
    <w:rsid w:val="003F0F63"/>
    <w:rsid w:val="003F2932"/>
    <w:rsid w:val="003F3F7E"/>
    <w:rsid w:val="003F7A82"/>
    <w:rsid w:val="003F7AC0"/>
    <w:rsid w:val="0040095C"/>
    <w:rsid w:val="00401C41"/>
    <w:rsid w:val="004037EF"/>
    <w:rsid w:val="004059CB"/>
    <w:rsid w:val="00406082"/>
    <w:rsid w:val="004062ED"/>
    <w:rsid w:val="00414C85"/>
    <w:rsid w:val="004214ED"/>
    <w:rsid w:val="004230EB"/>
    <w:rsid w:val="00425342"/>
    <w:rsid w:val="00425D07"/>
    <w:rsid w:val="0042748E"/>
    <w:rsid w:val="00430A18"/>
    <w:rsid w:val="00430FFF"/>
    <w:rsid w:val="00431335"/>
    <w:rsid w:val="0043232F"/>
    <w:rsid w:val="0043347E"/>
    <w:rsid w:val="00433556"/>
    <w:rsid w:val="004344B1"/>
    <w:rsid w:val="00436734"/>
    <w:rsid w:val="00437A4B"/>
    <w:rsid w:val="00442D03"/>
    <w:rsid w:val="00446995"/>
    <w:rsid w:val="00452725"/>
    <w:rsid w:val="004545C7"/>
    <w:rsid w:val="004620B8"/>
    <w:rsid w:val="00464192"/>
    <w:rsid w:val="00464E57"/>
    <w:rsid w:val="0046670F"/>
    <w:rsid w:val="00471AF7"/>
    <w:rsid w:val="00476CA1"/>
    <w:rsid w:val="004772C2"/>
    <w:rsid w:val="00482AE3"/>
    <w:rsid w:val="00482EC3"/>
    <w:rsid w:val="00485D8C"/>
    <w:rsid w:val="00485DDA"/>
    <w:rsid w:val="0048726C"/>
    <w:rsid w:val="0048756F"/>
    <w:rsid w:val="00491E95"/>
    <w:rsid w:val="004926BF"/>
    <w:rsid w:val="00495352"/>
    <w:rsid w:val="004958A8"/>
    <w:rsid w:val="00496EC5"/>
    <w:rsid w:val="004A0AF7"/>
    <w:rsid w:val="004A0D7F"/>
    <w:rsid w:val="004A1AC9"/>
    <w:rsid w:val="004A2C7D"/>
    <w:rsid w:val="004A3B0F"/>
    <w:rsid w:val="004A5DE6"/>
    <w:rsid w:val="004A611E"/>
    <w:rsid w:val="004B5CEB"/>
    <w:rsid w:val="004C2259"/>
    <w:rsid w:val="004C5400"/>
    <w:rsid w:val="004C54CF"/>
    <w:rsid w:val="004C5C1E"/>
    <w:rsid w:val="004D3F00"/>
    <w:rsid w:val="004D3F5A"/>
    <w:rsid w:val="004D5559"/>
    <w:rsid w:val="004E068F"/>
    <w:rsid w:val="004E4D3E"/>
    <w:rsid w:val="004E66EF"/>
    <w:rsid w:val="004E7987"/>
    <w:rsid w:val="004F00F2"/>
    <w:rsid w:val="004F1885"/>
    <w:rsid w:val="004F344B"/>
    <w:rsid w:val="004F4D22"/>
    <w:rsid w:val="004F6075"/>
    <w:rsid w:val="00500A55"/>
    <w:rsid w:val="0050486D"/>
    <w:rsid w:val="00504C17"/>
    <w:rsid w:val="00510905"/>
    <w:rsid w:val="00511C57"/>
    <w:rsid w:val="00511FA9"/>
    <w:rsid w:val="00513573"/>
    <w:rsid w:val="00514574"/>
    <w:rsid w:val="00515DB9"/>
    <w:rsid w:val="00517D60"/>
    <w:rsid w:val="0052063B"/>
    <w:rsid w:val="00521792"/>
    <w:rsid w:val="00522996"/>
    <w:rsid w:val="00524B15"/>
    <w:rsid w:val="00526250"/>
    <w:rsid w:val="00527EFC"/>
    <w:rsid w:val="00530A5F"/>
    <w:rsid w:val="00536D23"/>
    <w:rsid w:val="00536FEA"/>
    <w:rsid w:val="00543B49"/>
    <w:rsid w:val="005444C0"/>
    <w:rsid w:val="00544746"/>
    <w:rsid w:val="00552C38"/>
    <w:rsid w:val="005566E4"/>
    <w:rsid w:val="00557022"/>
    <w:rsid w:val="00557982"/>
    <w:rsid w:val="00557D62"/>
    <w:rsid w:val="00565B36"/>
    <w:rsid w:val="00566C2B"/>
    <w:rsid w:val="005674A4"/>
    <w:rsid w:val="00570B99"/>
    <w:rsid w:val="0057630A"/>
    <w:rsid w:val="00576727"/>
    <w:rsid w:val="00580065"/>
    <w:rsid w:val="00581E3A"/>
    <w:rsid w:val="00583896"/>
    <w:rsid w:val="00584452"/>
    <w:rsid w:val="00586221"/>
    <w:rsid w:val="0058754F"/>
    <w:rsid w:val="00587F37"/>
    <w:rsid w:val="005904E9"/>
    <w:rsid w:val="00590BFC"/>
    <w:rsid w:val="00591639"/>
    <w:rsid w:val="005A0691"/>
    <w:rsid w:val="005A0DB2"/>
    <w:rsid w:val="005A188F"/>
    <w:rsid w:val="005A301F"/>
    <w:rsid w:val="005A333F"/>
    <w:rsid w:val="005A620D"/>
    <w:rsid w:val="005A64D1"/>
    <w:rsid w:val="005A7C46"/>
    <w:rsid w:val="005B13A6"/>
    <w:rsid w:val="005B1EA5"/>
    <w:rsid w:val="005B2404"/>
    <w:rsid w:val="005B2FE2"/>
    <w:rsid w:val="005B69A0"/>
    <w:rsid w:val="005C00AE"/>
    <w:rsid w:val="005C04FB"/>
    <w:rsid w:val="005C1689"/>
    <w:rsid w:val="005C21F9"/>
    <w:rsid w:val="005C334F"/>
    <w:rsid w:val="005C64DC"/>
    <w:rsid w:val="005C7D9A"/>
    <w:rsid w:val="005D36C2"/>
    <w:rsid w:val="005D4335"/>
    <w:rsid w:val="005E0A4D"/>
    <w:rsid w:val="005E4823"/>
    <w:rsid w:val="005E527F"/>
    <w:rsid w:val="005E71D1"/>
    <w:rsid w:val="005F353F"/>
    <w:rsid w:val="005F3B57"/>
    <w:rsid w:val="005F662F"/>
    <w:rsid w:val="00600819"/>
    <w:rsid w:val="00600F1C"/>
    <w:rsid w:val="006031FD"/>
    <w:rsid w:val="00606799"/>
    <w:rsid w:val="00614D5F"/>
    <w:rsid w:val="00615A57"/>
    <w:rsid w:val="00617717"/>
    <w:rsid w:val="00622BE6"/>
    <w:rsid w:val="006239E3"/>
    <w:rsid w:val="00624B7B"/>
    <w:rsid w:val="00632AF3"/>
    <w:rsid w:val="006357CA"/>
    <w:rsid w:val="00635E20"/>
    <w:rsid w:val="006363AD"/>
    <w:rsid w:val="0063729E"/>
    <w:rsid w:val="00641A34"/>
    <w:rsid w:val="0064252E"/>
    <w:rsid w:val="00643319"/>
    <w:rsid w:val="00644983"/>
    <w:rsid w:val="00644DEB"/>
    <w:rsid w:val="0064585A"/>
    <w:rsid w:val="006467DF"/>
    <w:rsid w:val="006502EA"/>
    <w:rsid w:val="00650F94"/>
    <w:rsid w:val="00650FFB"/>
    <w:rsid w:val="00651149"/>
    <w:rsid w:val="00654667"/>
    <w:rsid w:val="00656D63"/>
    <w:rsid w:val="006604FD"/>
    <w:rsid w:val="00660603"/>
    <w:rsid w:val="00660A04"/>
    <w:rsid w:val="00664B9F"/>
    <w:rsid w:val="0066697C"/>
    <w:rsid w:val="0067018F"/>
    <w:rsid w:val="00671305"/>
    <w:rsid w:val="0067277F"/>
    <w:rsid w:val="00672D95"/>
    <w:rsid w:val="00675F45"/>
    <w:rsid w:val="00676C04"/>
    <w:rsid w:val="00677FE9"/>
    <w:rsid w:val="006802E8"/>
    <w:rsid w:val="00681B23"/>
    <w:rsid w:val="00682032"/>
    <w:rsid w:val="0068298B"/>
    <w:rsid w:val="00682B41"/>
    <w:rsid w:val="00683ED6"/>
    <w:rsid w:val="006901A3"/>
    <w:rsid w:val="0069648D"/>
    <w:rsid w:val="0069672F"/>
    <w:rsid w:val="0069742E"/>
    <w:rsid w:val="006A1D56"/>
    <w:rsid w:val="006A2EFE"/>
    <w:rsid w:val="006A3F58"/>
    <w:rsid w:val="006A509D"/>
    <w:rsid w:val="006A7644"/>
    <w:rsid w:val="006B10D7"/>
    <w:rsid w:val="006B1CA6"/>
    <w:rsid w:val="006B2167"/>
    <w:rsid w:val="006B32C9"/>
    <w:rsid w:val="006B4A8A"/>
    <w:rsid w:val="006B4FAD"/>
    <w:rsid w:val="006B56F6"/>
    <w:rsid w:val="006B573A"/>
    <w:rsid w:val="006B7E89"/>
    <w:rsid w:val="006C4460"/>
    <w:rsid w:val="006C5779"/>
    <w:rsid w:val="006C60B9"/>
    <w:rsid w:val="006C7A3F"/>
    <w:rsid w:val="006D0336"/>
    <w:rsid w:val="006D1811"/>
    <w:rsid w:val="006D25BD"/>
    <w:rsid w:val="006D462F"/>
    <w:rsid w:val="006D56A3"/>
    <w:rsid w:val="006E0A0C"/>
    <w:rsid w:val="006E10F4"/>
    <w:rsid w:val="006E56DB"/>
    <w:rsid w:val="006F0607"/>
    <w:rsid w:val="006F1BEE"/>
    <w:rsid w:val="006F20B5"/>
    <w:rsid w:val="006F4947"/>
    <w:rsid w:val="006F4E9F"/>
    <w:rsid w:val="006F6E3E"/>
    <w:rsid w:val="00700CE9"/>
    <w:rsid w:val="00701969"/>
    <w:rsid w:val="007022B1"/>
    <w:rsid w:val="00704C91"/>
    <w:rsid w:val="00704FF3"/>
    <w:rsid w:val="007060DD"/>
    <w:rsid w:val="007064F5"/>
    <w:rsid w:val="00706841"/>
    <w:rsid w:val="00711E08"/>
    <w:rsid w:val="007126FC"/>
    <w:rsid w:val="007157FB"/>
    <w:rsid w:val="00717223"/>
    <w:rsid w:val="00722010"/>
    <w:rsid w:val="007243B0"/>
    <w:rsid w:val="007244FD"/>
    <w:rsid w:val="007272CE"/>
    <w:rsid w:val="00732077"/>
    <w:rsid w:val="0073360E"/>
    <w:rsid w:val="0073363A"/>
    <w:rsid w:val="007355D6"/>
    <w:rsid w:val="00744CA4"/>
    <w:rsid w:val="00750ACA"/>
    <w:rsid w:val="00751EAB"/>
    <w:rsid w:val="007534B2"/>
    <w:rsid w:val="00754C11"/>
    <w:rsid w:val="007552A6"/>
    <w:rsid w:val="00755BE4"/>
    <w:rsid w:val="00756571"/>
    <w:rsid w:val="007626BC"/>
    <w:rsid w:val="0076448E"/>
    <w:rsid w:val="007646F3"/>
    <w:rsid w:val="00764AC0"/>
    <w:rsid w:val="007657D7"/>
    <w:rsid w:val="00765EC2"/>
    <w:rsid w:val="007675F1"/>
    <w:rsid w:val="00767A6B"/>
    <w:rsid w:val="00774043"/>
    <w:rsid w:val="00775308"/>
    <w:rsid w:val="0077665B"/>
    <w:rsid w:val="007767B1"/>
    <w:rsid w:val="00780826"/>
    <w:rsid w:val="007918D9"/>
    <w:rsid w:val="00791CD2"/>
    <w:rsid w:val="007A0BD6"/>
    <w:rsid w:val="007A0DD0"/>
    <w:rsid w:val="007A292A"/>
    <w:rsid w:val="007A62A1"/>
    <w:rsid w:val="007A6C8D"/>
    <w:rsid w:val="007A6F73"/>
    <w:rsid w:val="007A7AB4"/>
    <w:rsid w:val="007A7FF8"/>
    <w:rsid w:val="007B3A8C"/>
    <w:rsid w:val="007B45F9"/>
    <w:rsid w:val="007B4AF0"/>
    <w:rsid w:val="007B58F2"/>
    <w:rsid w:val="007B749D"/>
    <w:rsid w:val="007B7E7C"/>
    <w:rsid w:val="007C0541"/>
    <w:rsid w:val="007C6988"/>
    <w:rsid w:val="007C6F07"/>
    <w:rsid w:val="007C709F"/>
    <w:rsid w:val="007C7F68"/>
    <w:rsid w:val="007D0364"/>
    <w:rsid w:val="007D3B38"/>
    <w:rsid w:val="007D3D77"/>
    <w:rsid w:val="007D5CD5"/>
    <w:rsid w:val="007D6FBB"/>
    <w:rsid w:val="007E4C68"/>
    <w:rsid w:val="007E730F"/>
    <w:rsid w:val="007F2D7E"/>
    <w:rsid w:val="007F334A"/>
    <w:rsid w:val="007F3EC4"/>
    <w:rsid w:val="00800CDD"/>
    <w:rsid w:val="00803787"/>
    <w:rsid w:val="008038F9"/>
    <w:rsid w:val="008045F3"/>
    <w:rsid w:val="008048E8"/>
    <w:rsid w:val="0080668E"/>
    <w:rsid w:val="00807370"/>
    <w:rsid w:val="00814E0D"/>
    <w:rsid w:val="00816682"/>
    <w:rsid w:val="00817052"/>
    <w:rsid w:val="00817E3B"/>
    <w:rsid w:val="00821A1D"/>
    <w:rsid w:val="00821B0D"/>
    <w:rsid w:val="00822627"/>
    <w:rsid w:val="00822B02"/>
    <w:rsid w:val="00824BD4"/>
    <w:rsid w:val="00825206"/>
    <w:rsid w:val="0082566F"/>
    <w:rsid w:val="00830ADE"/>
    <w:rsid w:val="00832298"/>
    <w:rsid w:val="008328CD"/>
    <w:rsid w:val="008341F2"/>
    <w:rsid w:val="0084056C"/>
    <w:rsid w:val="00842943"/>
    <w:rsid w:val="00842F8A"/>
    <w:rsid w:val="00844588"/>
    <w:rsid w:val="00845262"/>
    <w:rsid w:val="00856030"/>
    <w:rsid w:val="0085639C"/>
    <w:rsid w:val="00860E8D"/>
    <w:rsid w:val="00862C7E"/>
    <w:rsid w:val="00864636"/>
    <w:rsid w:val="00864DED"/>
    <w:rsid w:val="00866D19"/>
    <w:rsid w:val="00866FCA"/>
    <w:rsid w:val="00874010"/>
    <w:rsid w:val="00876F24"/>
    <w:rsid w:val="00880955"/>
    <w:rsid w:val="0088233F"/>
    <w:rsid w:val="008834EF"/>
    <w:rsid w:val="0088379A"/>
    <w:rsid w:val="00884FAE"/>
    <w:rsid w:val="008909F8"/>
    <w:rsid w:val="00896610"/>
    <w:rsid w:val="008977BB"/>
    <w:rsid w:val="008A067A"/>
    <w:rsid w:val="008A160D"/>
    <w:rsid w:val="008A2AD4"/>
    <w:rsid w:val="008A7CCC"/>
    <w:rsid w:val="008B115F"/>
    <w:rsid w:val="008B2612"/>
    <w:rsid w:val="008B4DF4"/>
    <w:rsid w:val="008B4EBF"/>
    <w:rsid w:val="008B53D8"/>
    <w:rsid w:val="008B54F6"/>
    <w:rsid w:val="008C26F1"/>
    <w:rsid w:val="008C391C"/>
    <w:rsid w:val="008C5952"/>
    <w:rsid w:val="008C60DF"/>
    <w:rsid w:val="008C782D"/>
    <w:rsid w:val="008D0605"/>
    <w:rsid w:val="008D07BF"/>
    <w:rsid w:val="008D54C9"/>
    <w:rsid w:val="008D7F82"/>
    <w:rsid w:val="008E077D"/>
    <w:rsid w:val="008E0A54"/>
    <w:rsid w:val="008E11ED"/>
    <w:rsid w:val="008E67A2"/>
    <w:rsid w:val="008E68F3"/>
    <w:rsid w:val="008E761C"/>
    <w:rsid w:val="008F0E1F"/>
    <w:rsid w:val="008F1D5B"/>
    <w:rsid w:val="008F22D1"/>
    <w:rsid w:val="00901242"/>
    <w:rsid w:val="00904EF7"/>
    <w:rsid w:val="0090722B"/>
    <w:rsid w:val="00911141"/>
    <w:rsid w:val="00911F4B"/>
    <w:rsid w:val="00913205"/>
    <w:rsid w:val="00913FFD"/>
    <w:rsid w:val="00914D7D"/>
    <w:rsid w:val="00916186"/>
    <w:rsid w:val="009162C9"/>
    <w:rsid w:val="00916481"/>
    <w:rsid w:val="00920F60"/>
    <w:rsid w:val="009214C6"/>
    <w:rsid w:val="00921CD1"/>
    <w:rsid w:val="00922C57"/>
    <w:rsid w:val="009231E6"/>
    <w:rsid w:val="00925AEA"/>
    <w:rsid w:val="00925D34"/>
    <w:rsid w:val="0092618E"/>
    <w:rsid w:val="0092728C"/>
    <w:rsid w:val="00930597"/>
    <w:rsid w:val="00932BAA"/>
    <w:rsid w:val="00932EEC"/>
    <w:rsid w:val="009358A6"/>
    <w:rsid w:val="00936E6C"/>
    <w:rsid w:val="009371BA"/>
    <w:rsid w:val="00937EA5"/>
    <w:rsid w:val="00941EEE"/>
    <w:rsid w:val="009527B2"/>
    <w:rsid w:val="009542DA"/>
    <w:rsid w:val="00954EC3"/>
    <w:rsid w:val="00957736"/>
    <w:rsid w:val="00957B77"/>
    <w:rsid w:val="0096040E"/>
    <w:rsid w:val="00960F36"/>
    <w:rsid w:val="00962E7D"/>
    <w:rsid w:val="00963B2A"/>
    <w:rsid w:val="00963BE5"/>
    <w:rsid w:val="0096533F"/>
    <w:rsid w:val="00970EFB"/>
    <w:rsid w:val="00971B24"/>
    <w:rsid w:val="00973A10"/>
    <w:rsid w:val="00974DD9"/>
    <w:rsid w:val="00980415"/>
    <w:rsid w:val="00981448"/>
    <w:rsid w:val="00981883"/>
    <w:rsid w:val="0098492A"/>
    <w:rsid w:val="00985ACF"/>
    <w:rsid w:val="009917D3"/>
    <w:rsid w:val="00993ED3"/>
    <w:rsid w:val="00995D3A"/>
    <w:rsid w:val="009A0BBE"/>
    <w:rsid w:val="009A0DE2"/>
    <w:rsid w:val="009A139A"/>
    <w:rsid w:val="009A3A1B"/>
    <w:rsid w:val="009A3D71"/>
    <w:rsid w:val="009A5B78"/>
    <w:rsid w:val="009A5C75"/>
    <w:rsid w:val="009A5FDE"/>
    <w:rsid w:val="009A61D1"/>
    <w:rsid w:val="009B19A0"/>
    <w:rsid w:val="009B360D"/>
    <w:rsid w:val="009B4329"/>
    <w:rsid w:val="009B7177"/>
    <w:rsid w:val="009B77A7"/>
    <w:rsid w:val="009C035F"/>
    <w:rsid w:val="009C0E17"/>
    <w:rsid w:val="009C3C53"/>
    <w:rsid w:val="009C5D5A"/>
    <w:rsid w:val="009C6390"/>
    <w:rsid w:val="009C7200"/>
    <w:rsid w:val="009D036A"/>
    <w:rsid w:val="009D0D98"/>
    <w:rsid w:val="009D39C4"/>
    <w:rsid w:val="009D5E8F"/>
    <w:rsid w:val="009D62F3"/>
    <w:rsid w:val="009D7202"/>
    <w:rsid w:val="009D7FEC"/>
    <w:rsid w:val="009E0B0E"/>
    <w:rsid w:val="009E3DC6"/>
    <w:rsid w:val="009E3E9B"/>
    <w:rsid w:val="009F0951"/>
    <w:rsid w:val="009F5F45"/>
    <w:rsid w:val="009F7090"/>
    <w:rsid w:val="009F71EF"/>
    <w:rsid w:val="009F78C5"/>
    <w:rsid w:val="00A001C9"/>
    <w:rsid w:val="00A024BE"/>
    <w:rsid w:val="00A0305D"/>
    <w:rsid w:val="00A0411D"/>
    <w:rsid w:val="00A0531D"/>
    <w:rsid w:val="00A056C9"/>
    <w:rsid w:val="00A07808"/>
    <w:rsid w:val="00A14189"/>
    <w:rsid w:val="00A14D18"/>
    <w:rsid w:val="00A1564A"/>
    <w:rsid w:val="00A15E65"/>
    <w:rsid w:val="00A2127C"/>
    <w:rsid w:val="00A247E6"/>
    <w:rsid w:val="00A31CA4"/>
    <w:rsid w:val="00A35DEB"/>
    <w:rsid w:val="00A44702"/>
    <w:rsid w:val="00A45C2A"/>
    <w:rsid w:val="00A464B1"/>
    <w:rsid w:val="00A47B5F"/>
    <w:rsid w:val="00A504B4"/>
    <w:rsid w:val="00A50B09"/>
    <w:rsid w:val="00A52AFC"/>
    <w:rsid w:val="00A53A58"/>
    <w:rsid w:val="00A5461F"/>
    <w:rsid w:val="00A56133"/>
    <w:rsid w:val="00A57DC8"/>
    <w:rsid w:val="00A61253"/>
    <w:rsid w:val="00A62700"/>
    <w:rsid w:val="00A628A1"/>
    <w:rsid w:val="00A63491"/>
    <w:rsid w:val="00A64474"/>
    <w:rsid w:val="00A64CDC"/>
    <w:rsid w:val="00A65513"/>
    <w:rsid w:val="00A67EE9"/>
    <w:rsid w:val="00A701B5"/>
    <w:rsid w:val="00A72AEF"/>
    <w:rsid w:val="00A77031"/>
    <w:rsid w:val="00A77CBA"/>
    <w:rsid w:val="00A85F80"/>
    <w:rsid w:val="00A954F2"/>
    <w:rsid w:val="00A957DF"/>
    <w:rsid w:val="00AA0507"/>
    <w:rsid w:val="00AA07BC"/>
    <w:rsid w:val="00AA1E3C"/>
    <w:rsid w:val="00AA2EB8"/>
    <w:rsid w:val="00AA38AD"/>
    <w:rsid w:val="00AA3B76"/>
    <w:rsid w:val="00AA3D3F"/>
    <w:rsid w:val="00AA6330"/>
    <w:rsid w:val="00AA7EAA"/>
    <w:rsid w:val="00AB0DD7"/>
    <w:rsid w:val="00AB3190"/>
    <w:rsid w:val="00AB32D9"/>
    <w:rsid w:val="00AB356C"/>
    <w:rsid w:val="00AB7B6D"/>
    <w:rsid w:val="00AC10CD"/>
    <w:rsid w:val="00AC2BE5"/>
    <w:rsid w:val="00AC3B70"/>
    <w:rsid w:val="00AC4BE6"/>
    <w:rsid w:val="00AC5CC8"/>
    <w:rsid w:val="00AC5F6A"/>
    <w:rsid w:val="00AC77DB"/>
    <w:rsid w:val="00AC7D28"/>
    <w:rsid w:val="00AD099D"/>
    <w:rsid w:val="00AD1097"/>
    <w:rsid w:val="00AD1D6E"/>
    <w:rsid w:val="00AD492B"/>
    <w:rsid w:val="00AD4B88"/>
    <w:rsid w:val="00AD4C85"/>
    <w:rsid w:val="00AD60B6"/>
    <w:rsid w:val="00AD7161"/>
    <w:rsid w:val="00AE0C64"/>
    <w:rsid w:val="00AE2001"/>
    <w:rsid w:val="00AE6607"/>
    <w:rsid w:val="00AE746E"/>
    <w:rsid w:val="00AF2C0D"/>
    <w:rsid w:val="00AF4124"/>
    <w:rsid w:val="00B023EB"/>
    <w:rsid w:val="00B02F53"/>
    <w:rsid w:val="00B034D4"/>
    <w:rsid w:val="00B05032"/>
    <w:rsid w:val="00B05065"/>
    <w:rsid w:val="00B05400"/>
    <w:rsid w:val="00B0606D"/>
    <w:rsid w:val="00B060FB"/>
    <w:rsid w:val="00B15C3D"/>
    <w:rsid w:val="00B1674E"/>
    <w:rsid w:val="00B2091F"/>
    <w:rsid w:val="00B21F0C"/>
    <w:rsid w:val="00B2359C"/>
    <w:rsid w:val="00B2491C"/>
    <w:rsid w:val="00B33B9F"/>
    <w:rsid w:val="00B34CB9"/>
    <w:rsid w:val="00B35B11"/>
    <w:rsid w:val="00B37A15"/>
    <w:rsid w:val="00B412F8"/>
    <w:rsid w:val="00B455A9"/>
    <w:rsid w:val="00B45893"/>
    <w:rsid w:val="00B464A2"/>
    <w:rsid w:val="00B526BC"/>
    <w:rsid w:val="00B53813"/>
    <w:rsid w:val="00B53995"/>
    <w:rsid w:val="00B6239C"/>
    <w:rsid w:val="00B628A4"/>
    <w:rsid w:val="00B64172"/>
    <w:rsid w:val="00B654E7"/>
    <w:rsid w:val="00B6788A"/>
    <w:rsid w:val="00B70103"/>
    <w:rsid w:val="00B757DD"/>
    <w:rsid w:val="00B75EFF"/>
    <w:rsid w:val="00B77C45"/>
    <w:rsid w:val="00B80B00"/>
    <w:rsid w:val="00B81132"/>
    <w:rsid w:val="00B81406"/>
    <w:rsid w:val="00B83C78"/>
    <w:rsid w:val="00B861C0"/>
    <w:rsid w:val="00B8671C"/>
    <w:rsid w:val="00B86723"/>
    <w:rsid w:val="00B869E5"/>
    <w:rsid w:val="00B90A98"/>
    <w:rsid w:val="00B95D2B"/>
    <w:rsid w:val="00B95D70"/>
    <w:rsid w:val="00B965DF"/>
    <w:rsid w:val="00B971B0"/>
    <w:rsid w:val="00BA3CC2"/>
    <w:rsid w:val="00BA649A"/>
    <w:rsid w:val="00BA699B"/>
    <w:rsid w:val="00BB013E"/>
    <w:rsid w:val="00BB0D51"/>
    <w:rsid w:val="00BB1F47"/>
    <w:rsid w:val="00BB244A"/>
    <w:rsid w:val="00BB4FC6"/>
    <w:rsid w:val="00BC1B2F"/>
    <w:rsid w:val="00BC206A"/>
    <w:rsid w:val="00BC2AAD"/>
    <w:rsid w:val="00BC2BE8"/>
    <w:rsid w:val="00BC2C15"/>
    <w:rsid w:val="00BC309A"/>
    <w:rsid w:val="00BC4C04"/>
    <w:rsid w:val="00BC575C"/>
    <w:rsid w:val="00BC686C"/>
    <w:rsid w:val="00BC6EA5"/>
    <w:rsid w:val="00BC74A1"/>
    <w:rsid w:val="00BC785B"/>
    <w:rsid w:val="00BD1A2D"/>
    <w:rsid w:val="00BD1FB6"/>
    <w:rsid w:val="00BD613C"/>
    <w:rsid w:val="00BD6453"/>
    <w:rsid w:val="00BD7DC4"/>
    <w:rsid w:val="00BE0957"/>
    <w:rsid w:val="00BE11F9"/>
    <w:rsid w:val="00BE4BC3"/>
    <w:rsid w:val="00BE6C77"/>
    <w:rsid w:val="00BE7AFE"/>
    <w:rsid w:val="00BF020A"/>
    <w:rsid w:val="00BF317B"/>
    <w:rsid w:val="00BF3E51"/>
    <w:rsid w:val="00BF5231"/>
    <w:rsid w:val="00BF55F4"/>
    <w:rsid w:val="00BF657E"/>
    <w:rsid w:val="00C00D2B"/>
    <w:rsid w:val="00C02579"/>
    <w:rsid w:val="00C036F4"/>
    <w:rsid w:val="00C05889"/>
    <w:rsid w:val="00C072EC"/>
    <w:rsid w:val="00C07471"/>
    <w:rsid w:val="00C07A87"/>
    <w:rsid w:val="00C10300"/>
    <w:rsid w:val="00C10488"/>
    <w:rsid w:val="00C109E6"/>
    <w:rsid w:val="00C10D5E"/>
    <w:rsid w:val="00C110F7"/>
    <w:rsid w:val="00C1136E"/>
    <w:rsid w:val="00C1279E"/>
    <w:rsid w:val="00C157D6"/>
    <w:rsid w:val="00C23576"/>
    <w:rsid w:val="00C25CD6"/>
    <w:rsid w:val="00C26AE9"/>
    <w:rsid w:val="00C27BB6"/>
    <w:rsid w:val="00C31A41"/>
    <w:rsid w:val="00C33468"/>
    <w:rsid w:val="00C33C48"/>
    <w:rsid w:val="00C3536C"/>
    <w:rsid w:val="00C355CD"/>
    <w:rsid w:val="00C419C8"/>
    <w:rsid w:val="00C43542"/>
    <w:rsid w:val="00C43F33"/>
    <w:rsid w:val="00C442F7"/>
    <w:rsid w:val="00C46754"/>
    <w:rsid w:val="00C46DF2"/>
    <w:rsid w:val="00C501B2"/>
    <w:rsid w:val="00C52D6B"/>
    <w:rsid w:val="00C537D2"/>
    <w:rsid w:val="00C565C0"/>
    <w:rsid w:val="00C56C63"/>
    <w:rsid w:val="00C60B79"/>
    <w:rsid w:val="00C60CEA"/>
    <w:rsid w:val="00C65E4C"/>
    <w:rsid w:val="00C66ED3"/>
    <w:rsid w:val="00C705A5"/>
    <w:rsid w:val="00C707E2"/>
    <w:rsid w:val="00C724B9"/>
    <w:rsid w:val="00C7320F"/>
    <w:rsid w:val="00C81694"/>
    <w:rsid w:val="00C823C7"/>
    <w:rsid w:val="00C83B5A"/>
    <w:rsid w:val="00C86C6A"/>
    <w:rsid w:val="00C878DA"/>
    <w:rsid w:val="00C9296A"/>
    <w:rsid w:val="00C92A0A"/>
    <w:rsid w:val="00C94A90"/>
    <w:rsid w:val="00C94BED"/>
    <w:rsid w:val="00C9665F"/>
    <w:rsid w:val="00C977D2"/>
    <w:rsid w:val="00C97842"/>
    <w:rsid w:val="00CA1FDB"/>
    <w:rsid w:val="00CA3103"/>
    <w:rsid w:val="00CA5166"/>
    <w:rsid w:val="00CA6D5B"/>
    <w:rsid w:val="00CA6DD0"/>
    <w:rsid w:val="00CB2AB5"/>
    <w:rsid w:val="00CC19F8"/>
    <w:rsid w:val="00CC3706"/>
    <w:rsid w:val="00CD00BF"/>
    <w:rsid w:val="00CD15BD"/>
    <w:rsid w:val="00CD1990"/>
    <w:rsid w:val="00CD19F5"/>
    <w:rsid w:val="00CD26FB"/>
    <w:rsid w:val="00CD32C0"/>
    <w:rsid w:val="00CD3DEE"/>
    <w:rsid w:val="00CD4C8B"/>
    <w:rsid w:val="00CD6582"/>
    <w:rsid w:val="00CD6AA6"/>
    <w:rsid w:val="00CE34DD"/>
    <w:rsid w:val="00CE47BD"/>
    <w:rsid w:val="00CE4E08"/>
    <w:rsid w:val="00CF516C"/>
    <w:rsid w:val="00D01F71"/>
    <w:rsid w:val="00D03039"/>
    <w:rsid w:val="00D0671C"/>
    <w:rsid w:val="00D073DA"/>
    <w:rsid w:val="00D07D8F"/>
    <w:rsid w:val="00D10B8A"/>
    <w:rsid w:val="00D10DDC"/>
    <w:rsid w:val="00D1116E"/>
    <w:rsid w:val="00D11E52"/>
    <w:rsid w:val="00D1402A"/>
    <w:rsid w:val="00D157C3"/>
    <w:rsid w:val="00D24BFE"/>
    <w:rsid w:val="00D25D4B"/>
    <w:rsid w:val="00D26621"/>
    <w:rsid w:val="00D274AA"/>
    <w:rsid w:val="00D2779A"/>
    <w:rsid w:val="00D306FB"/>
    <w:rsid w:val="00D33C68"/>
    <w:rsid w:val="00D35086"/>
    <w:rsid w:val="00D44885"/>
    <w:rsid w:val="00D52099"/>
    <w:rsid w:val="00D53966"/>
    <w:rsid w:val="00D553BB"/>
    <w:rsid w:val="00D57580"/>
    <w:rsid w:val="00D607A4"/>
    <w:rsid w:val="00D61F80"/>
    <w:rsid w:val="00D62303"/>
    <w:rsid w:val="00D6514E"/>
    <w:rsid w:val="00D66A11"/>
    <w:rsid w:val="00D70F9E"/>
    <w:rsid w:val="00D77961"/>
    <w:rsid w:val="00D77CB6"/>
    <w:rsid w:val="00D83B7E"/>
    <w:rsid w:val="00D849AA"/>
    <w:rsid w:val="00D8695F"/>
    <w:rsid w:val="00D90441"/>
    <w:rsid w:val="00D92353"/>
    <w:rsid w:val="00D93C93"/>
    <w:rsid w:val="00D97010"/>
    <w:rsid w:val="00D977BC"/>
    <w:rsid w:val="00DA0A2B"/>
    <w:rsid w:val="00DB0259"/>
    <w:rsid w:val="00DB0676"/>
    <w:rsid w:val="00DB0701"/>
    <w:rsid w:val="00DB4493"/>
    <w:rsid w:val="00DB47EA"/>
    <w:rsid w:val="00DB75FB"/>
    <w:rsid w:val="00DC0439"/>
    <w:rsid w:val="00DC0983"/>
    <w:rsid w:val="00DC0A72"/>
    <w:rsid w:val="00DC21A1"/>
    <w:rsid w:val="00DC5710"/>
    <w:rsid w:val="00DC6A39"/>
    <w:rsid w:val="00DD050B"/>
    <w:rsid w:val="00DD0BED"/>
    <w:rsid w:val="00DD1442"/>
    <w:rsid w:val="00DD1F45"/>
    <w:rsid w:val="00DD3B43"/>
    <w:rsid w:val="00DD5413"/>
    <w:rsid w:val="00DE0A39"/>
    <w:rsid w:val="00DE0B26"/>
    <w:rsid w:val="00DE232F"/>
    <w:rsid w:val="00DE2E32"/>
    <w:rsid w:val="00DE42E2"/>
    <w:rsid w:val="00DE4C26"/>
    <w:rsid w:val="00DE56DF"/>
    <w:rsid w:val="00DE6AFB"/>
    <w:rsid w:val="00DF00F7"/>
    <w:rsid w:val="00DF016A"/>
    <w:rsid w:val="00DF22C8"/>
    <w:rsid w:val="00DF4A40"/>
    <w:rsid w:val="00DF5118"/>
    <w:rsid w:val="00DF5A0D"/>
    <w:rsid w:val="00DF5DC8"/>
    <w:rsid w:val="00DF63A9"/>
    <w:rsid w:val="00E02483"/>
    <w:rsid w:val="00E02638"/>
    <w:rsid w:val="00E0293E"/>
    <w:rsid w:val="00E03037"/>
    <w:rsid w:val="00E04FB7"/>
    <w:rsid w:val="00E05D30"/>
    <w:rsid w:val="00E06451"/>
    <w:rsid w:val="00E07903"/>
    <w:rsid w:val="00E1348E"/>
    <w:rsid w:val="00E17297"/>
    <w:rsid w:val="00E22007"/>
    <w:rsid w:val="00E22F9E"/>
    <w:rsid w:val="00E231FA"/>
    <w:rsid w:val="00E23C1D"/>
    <w:rsid w:val="00E24AD9"/>
    <w:rsid w:val="00E25B79"/>
    <w:rsid w:val="00E27739"/>
    <w:rsid w:val="00E3008F"/>
    <w:rsid w:val="00E321AC"/>
    <w:rsid w:val="00E35996"/>
    <w:rsid w:val="00E364A9"/>
    <w:rsid w:val="00E36E8D"/>
    <w:rsid w:val="00E36FF7"/>
    <w:rsid w:val="00E370E3"/>
    <w:rsid w:val="00E3797F"/>
    <w:rsid w:val="00E41C4D"/>
    <w:rsid w:val="00E41E14"/>
    <w:rsid w:val="00E42E6E"/>
    <w:rsid w:val="00E44FBD"/>
    <w:rsid w:val="00E45EC4"/>
    <w:rsid w:val="00E46B6A"/>
    <w:rsid w:val="00E47EAD"/>
    <w:rsid w:val="00E5027E"/>
    <w:rsid w:val="00E51B7F"/>
    <w:rsid w:val="00E55287"/>
    <w:rsid w:val="00E55908"/>
    <w:rsid w:val="00E614D3"/>
    <w:rsid w:val="00E6236A"/>
    <w:rsid w:val="00E64678"/>
    <w:rsid w:val="00E6484F"/>
    <w:rsid w:val="00E64A89"/>
    <w:rsid w:val="00E658E8"/>
    <w:rsid w:val="00E65D9F"/>
    <w:rsid w:val="00E71820"/>
    <w:rsid w:val="00E71C38"/>
    <w:rsid w:val="00E75155"/>
    <w:rsid w:val="00E75694"/>
    <w:rsid w:val="00E76E03"/>
    <w:rsid w:val="00E77322"/>
    <w:rsid w:val="00E80B41"/>
    <w:rsid w:val="00E81C82"/>
    <w:rsid w:val="00E81ED5"/>
    <w:rsid w:val="00E846A2"/>
    <w:rsid w:val="00E8475B"/>
    <w:rsid w:val="00E8641D"/>
    <w:rsid w:val="00E87BBA"/>
    <w:rsid w:val="00E9198F"/>
    <w:rsid w:val="00E929FC"/>
    <w:rsid w:val="00E94DD7"/>
    <w:rsid w:val="00E9733C"/>
    <w:rsid w:val="00EA0EA6"/>
    <w:rsid w:val="00EA1411"/>
    <w:rsid w:val="00EA1C02"/>
    <w:rsid w:val="00EB5D86"/>
    <w:rsid w:val="00EB5D90"/>
    <w:rsid w:val="00EB6894"/>
    <w:rsid w:val="00EB7F4C"/>
    <w:rsid w:val="00EC03E3"/>
    <w:rsid w:val="00EC22A8"/>
    <w:rsid w:val="00EC5D47"/>
    <w:rsid w:val="00ED4164"/>
    <w:rsid w:val="00ED4DE3"/>
    <w:rsid w:val="00ED6C1C"/>
    <w:rsid w:val="00ED6F6A"/>
    <w:rsid w:val="00ED7C6A"/>
    <w:rsid w:val="00EE0E78"/>
    <w:rsid w:val="00EE1FAA"/>
    <w:rsid w:val="00EE3033"/>
    <w:rsid w:val="00EE3048"/>
    <w:rsid w:val="00EE40EA"/>
    <w:rsid w:val="00EE6651"/>
    <w:rsid w:val="00EF66B6"/>
    <w:rsid w:val="00F0491A"/>
    <w:rsid w:val="00F16D58"/>
    <w:rsid w:val="00F23AE1"/>
    <w:rsid w:val="00F25DA8"/>
    <w:rsid w:val="00F342ED"/>
    <w:rsid w:val="00F3446B"/>
    <w:rsid w:val="00F34E96"/>
    <w:rsid w:val="00F357CE"/>
    <w:rsid w:val="00F36C2B"/>
    <w:rsid w:val="00F36FCC"/>
    <w:rsid w:val="00F415C8"/>
    <w:rsid w:val="00F43C94"/>
    <w:rsid w:val="00F477C5"/>
    <w:rsid w:val="00F515F5"/>
    <w:rsid w:val="00F52126"/>
    <w:rsid w:val="00F5278E"/>
    <w:rsid w:val="00F5356F"/>
    <w:rsid w:val="00F55628"/>
    <w:rsid w:val="00F55B4B"/>
    <w:rsid w:val="00F569D3"/>
    <w:rsid w:val="00F61868"/>
    <w:rsid w:val="00F63CE1"/>
    <w:rsid w:val="00F6794F"/>
    <w:rsid w:val="00F7315B"/>
    <w:rsid w:val="00F81A89"/>
    <w:rsid w:val="00F82419"/>
    <w:rsid w:val="00F826C7"/>
    <w:rsid w:val="00F82D8B"/>
    <w:rsid w:val="00F86A66"/>
    <w:rsid w:val="00F906E5"/>
    <w:rsid w:val="00F91F5D"/>
    <w:rsid w:val="00F93CE5"/>
    <w:rsid w:val="00F94CB2"/>
    <w:rsid w:val="00F94D06"/>
    <w:rsid w:val="00F96636"/>
    <w:rsid w:val="00F9677D"/>
    <w:rsid w:val="00FA0048"/>
    <w:rsid w:val="00FA0118"/>
    <w:rsid w:val="00FA03F1"/>
    <w:rsid w:val="00FA0735"/>
    <w:rsid w:val="00FA261D"/>
    <w:rsid w:val="00FA270D"/>
    <w:rsid w:val="00FA2B90"/>
    <w:rsid w:val="00FA469E"/>
    <w:rsid w:val="00FA6966"/>
    <w:rsid w:val="00FA783E"/>
    <w:rsid w:val="00FB3278"/>
    <w:rsid w:val="00FB3C63"/>
    <w:rsid w:val="00FB6638"/>
    <w:rsid w:val="00FB6AD8"/>
    <w:rsid w:val="00FC2FEF"/>
    <w:rsid w:val="00FC4353"/>
    <w:rsid w:val="00FC4861"/>
    <w:rsid w:val="00FC51AE"/>
    <w:rsid w:val="00FC59CB"/>
    <w:rsid w:val="00FD0105"/>
    <w:rsid w:val="00FD3D4E"/>
    <w:rsid w:val="00FE0147"/>
    <w:rsid w:val="00FE45CA"/>
    <w:rsid w:val="00FF66F3"/>
    <w:rsid w:val="00FF6E1A"/>
    <w:rsid w:val="48A7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FFA4CCD"/>
  <w15:chartTrackingRefBased/>
  <w15:docId w15:val="{EC56AC96-DBDA-4FD9-B388-1D72EB99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85C"/>
    <w:rPr>
      <w:lang w:val="sr-Cyrl-RS"/>
    </w:rPr>
  </w:style>
  <w:style w:type="paragraph" w:styleId="Heading1">
    <w:name w:val="heading 1"/>
    <w:basedOn w:val="Normal"/>
    <w:next w:val="Normal"/>
    <w:link w:val="Heading1Char"/>
    <w:uiPriority w:val="9"/>
    <w:qFormat/>
    <w:rsid w:val="48A77B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48A77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48A77BA5"/>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48A77BA5"/>
    <w:pPr>
      <w:keepNext/>
      <w:keepLines/>
      <w:spacing w:before="40" w:after="0"/>
      <w:ind w:left="720" w:hanging="360"/>
      <w:jc w:val="both"/>
      <w:outlineLvl w:val="3"/>
    </w:pPr>
    <w:rPr>
      <w:rFonts w:asciiTheme="majorHAnsi" w:eastAsiaTheme="majorEastAsia" w:hAnsiTheme="majorHAnsi" w:cstheme="majorBidi"/>
      <w:i/>
      <w:iCs/>
      <w:color w:val="2E74B5" w:themeColor="accent1" w:themeShade="BF"/>
      <w:lang w:val="sr-Cyrl-CS"/>
    </w:rPr>
  </w:style>
  <w:style w:type="paragraph" w:styleId="Heading5">
    <w:name w:val="heading 5"/>
    <w:basedOn w:val="Normal"/>
    <w:next w:val="Normal"/>
    <w:link w:val="Heading5Char"/>
    <w:uiPriority w:val="9"/>
    <w:unhideWhenUsed/>
    <w:qFormat/>
    <w:rsid w:val="48A77BA5"/>
    <w:pPr>
      <w:keepNext/>
      <w:keepLines/>
      <w:spacing w:before="40" w:after="0"/>
      <w:ind w:left="720" w:hanging="360"/>
      <w:jc w:val="both"/>
      <w:outlineLvl w:val="4"/>
    </w:pPr>
    <w:rPr>
      <w:rFonts w:asciiTheme="majorHAnsi" w:eastAsiaTheme="majorEastAsia" w:hAnsiTheme="majorHAnsi" w:cstheme="majorBidi"/>
      <w:color w:val="2E74B5" w:themeColor="accent1" w:themeShade="BF"/>
      <w:lang w:val="sr-Cyrl-CS"/>
    </w:rPr>
  </w:style>
  <w:style w:type="paragraph" w:styleId="Heading6">
    <w:name w:val="heading 6"/>
    <w:basedOn w:val="Normal"/>
    <w:next w:val="Normal"/>
    <w:link w:val="Heading6Char"/>
    <w:uiPriority w:val="9"/>
    <w:unhideWhenUsed/>
    <w:qFormat/>
    <w:rsid w:val="48A77BA5"/>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48A77BA5"/>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48A77BA5"/>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8A77BA5"/>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48A77BA5"/>
    <w:rPr>
      <w:rFonts w:asciiTheme="majorHAnsi" w:eastAsiaTheme="majorEastAsia" w:hAnsiTheme="majorHAnsi" w:cstheme="majorBidi"/>
      <w:noProof w:val="0"/>
      <w:color w:val="2E74B5" w:themeColor="accent1" w:themeShade="BF"/>
      <w:sz w:val="32"/>
      <w:szCs w:val="32"/>
      <w:lang w:val="sr-Cyrl-RS"/>
    </w:rPr>
  </w:style>
  <w:style w:type="character" w:customStyle="1" w:styleId="Heading2Char">
    <w:name w:val="Heading 2 Char"/>
    <w:basedOn w:val="DefaultParagraphFont"/>
    <w:link w:val="Heading2"/>
    <w:uiPriority w:val="9"/>
    <w:rsid w:val="48A77BA5"/>
    <w:rPr>
      <w:rFonts w:asciiTheme="majorHAnsi" w:eastAsiaTheme="majorEastAsia" w:hAnsiTheme="majorHAnsi" w:cstheme="majorBidi"/>
      <w:noProof w:val="0"/>
      <w:color w:val="2E74B5" w:themeColor="accent1" w:themeShade="BF"/>
      <w:sz w:val="26"/>
      <w:szCs w:val="26"/>
      <w:lang w:val="sr-Cyrl-RS"/>
    </w:rPr>
  </w:style>
  <w:style w:type="character" w:customStyle="1" w:styleId="Heading3Char">
    <w:name w:val="Heading 3 Char"/>
    <w:basedOn w:val="DefaultParagraphFont"/>
    <w:link w:val="Heading3"/>
    <w:uiPriority w:val="9"/>
    <w:rsid w:val="48A77BA5"/>
    <w:rPr>
      <w:rFonts w:asciiTheme="majorHAnsi" w:eastAsiaTheme="majorEastAsia" w:hAnsiTheme="majorHAnsi" w:cstheme="majorBidi"/>
      <w:noProof w:val="0"/>
      <w:color w:val="1F4D78"/>
      <w:sz w:val="24"/>
      <w:szCs w:val="24"/>
      <w:lang w:val="sr-Cyrl-RS"/>
    </w:rPr>
  </w:style>
  <w:style w:type="character" w:customStyle="1" w:styleId="Heading4Char">
    <w:name w:val="Heading 4 Char"/>
    <w:basedOn w:val="DefaultParagraphFont"/>
    <w:link w:val="Heading4"/>
    <w:uiPriority w:val="9"/>
    <w:rsid w:val="48A77BA5"/>
    <w:rPr>
      <w:rFonts w:asciiTheme="majorHAnsi" w:eastAsiaTheme="majorEastAsia" w:hAnsiTheme="majorHAnsi" w:cstheme="majorBidi"/>
      <w:i/>
      <w:iCs/>
      <w:noProof w:val="0"/>
      <w:color w:val="2E74B5" w:themeColor="accent1" w:themeShade="BF"/>
      <w:lang w:val="sr-Cyrl-CS"/>
    </w:rPr>
  </w:style>
  <w:style w:type="character" w:customStyle="1" w:styleId="Heading5Char">
    <w:name w:val="Heading 5 Char"/>
    <w:basedOn w:val="DefaultParagraphFont"/>
    <w:link w:val="Heading5"/>
    <w:uiPriority w:val="9"/>
    <w:rsid w:val="48A77BA5"/>
    <w:rPr>
      <w:rFonts w:asciiTheme="majorHAnsi" w:eastAsiaTheme="majorEastAsia" w:hAnsiTheme="majorHAnsi" w:cstheme="majorBidi"/>
      <w:noProof w:val="0"/>
      <w:color w:val="2E74B5" w:themeColor="accent1" w:themeShade="BF"/>
      <w:lang w:val="sr-Cyrl-CS"/>
    </w:rPr>
  </w:style>
  <w:style w:type="paragraph" w:styleId="ListParagraph">
    <w:name w:val="List Paragraph"/>
    <w:aliases w:val="Numbered List Paragraph,References,Numbered Paragraph,Main numbered paragraph,List_Paragraph,Multilevel para_II,List Paragraph1,Bullets,123 List Paragraph,List Paragraph nowy,Liste 1,Bullet paras,Citation List"/>
    <w:basedOn w:val="Normal"/>
    <w:link w:val="ListParagraphChar"/>
    <w:uiPriority w:val="34"/>
    <w:qFormat/>
    <w:rsid w:val="48A77BA5"/>
    <w:pPr>
      <w:ind w:left="720"/>
      <w:contextualSpacing/>
    </w:pPr>
  </w:style>
  <w:style w:type="character" w:styleId="Hyperlink">
    <w:name w:val="Hyperlink"/>
    <w:basedOn w:val="DefaultParagraphFont"/>
    <w:uiPriority w:val="99"/>
    <w:unhideWhenUsed/>
    <w:rsid w:val="007022B1"/>
    <w:rPr>
      <w:color w:val="0000FF"/>
      <w:u w:val="single"/>
    </w:rPr>
  </w:style>
  <w:style w:type="paragraph" w:styleId="NoSpacing">
    <w:name w:val="No Spacing"/>
    <w:uiPriority w:val="1"/>
    <w:qFormat/>
    <w:rsid w:val="007022B1"/>
    <w:pPr>
      <w:spacing w:after="0" w:line="240" w:lineRule="auto"/>
    </w:pPr>
    <w:rPr>
      <w:lang w:val="en-GB"/>
    </w:rPr>
  </w:style>
  <w:style w:type="character" w:customStyle="1" w:styleId="download-link">
    <w:name w:val="download-link"/>
    <w:basedOn w:val="DefaultParagraphFont"/>
    <w:rsid w:val="007022B1"/>
  </w:style>
  <w:style w:type="character" w:customStyle="1" w:styleId="None">
    <w:name w:val="None"/>
    <w:rsid w:val="007022B1"/>
  </w:style>
  <w:style w:type="paragraph" w:customStyle="1" w:styleId="Normal1">
    <w:name w:val="Normal1"/>
    <w:basedOn w:val="Normal"/>
    <w:uiPriority w:val="1"/>
    <w:rsid w:val="48A77BA5"/>
    <w:pPr>
      <w:spacing w:beforeAutospacing="1" w:afterAutospacing="1"/>
    </w:pPr>
    <w:rPr>
      <w:rFonts w:ascii="Arial" w:eastAsia="Times New Roman" w:hAnsi="Arial" w:cs="Arial"/>
    </w:rPr>
  </w:style>
  <w:style w:type="paragraph" w:customStyle="1" w:styleId="Default">
    <w:name w:val="Default"/>
    <w:rsid w:val="007022B1"/>
    <w:pPr>
      <w:autoSpaceDE w:val="0"/>
      <w:autoSpaceDN w:val="0"/>
      <w:adjustRightInd w:val="0"/>
      <w:spacing w:after="0" w:line="240" w:lineRule="auto"/>
    </w:pPr>
    <w:rPr>
      <w:rFonts w:ascii="Corbel" w:hAnsi="Corbel" w:cs="Corbel"/>
      <w:color w:val="000000"/>
      <w:sz w:val="24"/>
      <w:szCs w:val="24"/>
    </w:rPr>
  </w:style>
  <w:style w:type="paragraph" w:customStyle="1" w:styleId="hl">
    <w:name w:val="hl"/>
    <w:basedOn w:val="Normal"/>
    <w:uiPriority w:val="1"/>
    <w:rsid w:val="48A77BA5"/>
    <w:pPr>
      <w:spacing w:beforeAutospacing="1"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48A77BA5"/>
    <w:pPr>
      <w:tabs>
        <w:tab w:val="center" w:pos="4680"/>
        <w:tab w:val="right" w:pos="9360"/>
      </w:tabs>
      <w:spacing w:after="0"/>
    </w:pPr>
  </w:style>
  <w:style w:type="character" w:customStyle="1" w:styleId="HeaderChar">
    <w:name w:val="Header Char"/>
    <w:basedOn w:val="DefaultParagraphFont"/>
    <w:link w:val="Header"/>
    <w:uiPriority w:val="99"/>
    <w:rsid w:val="48A77BA5"/>
    <w:rPr>
      <w:noProof w:val="0"/>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48A77BA5"/>
    <w:pPr>
      <w:tabs>
        <w:tab w:val="center" w:pos="4680"/>
        <w:tab w:val="right" w:pos="9360"/>
      </w:tabs>
      <w:spacing w:after="0"/>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48A77BA5"/>
    <w:rPr>
      <w:noProof w:val="0"/>
      <w:lang w:val="sr-Cyrl-RS"/>
    </w:rPr>
  </w:style>
  <w:style w:type="character" w:styleId="CommentReference">
    <w:name w:val="annotation reference"/>
    <w:basedOn w:val="DefaultParagraphFont"/>
    <w:uiPriority w:val="99"/>
    <w:semiHidden/>
    <w:unhideWhenUsed/>
    <w:rsid w:val="007022B1"/>
    <w:rPr>
      <w:sz w:val="16"/>
      <w:szCs w:val="16"/>
    </w:rPr>
  </w:style>
  <w:style w:type="paragraph" w:styleId="CommentText">
    <w:name w:val="annotation text"/>
    <w:basedOn w:val="Normal"/>
    <w:link w:val="CommentTextChar"/>
    <w:uiPriority w:val="99"/>
    <w:unhideWhenUsed/>
    <w:rsid w:val="48A77BA5"/>
    <w:rPr>
      <w:sz w:val="20"/>
      <w:szCs w:val="20"/>
    </w:rPr>
  </w:style>
  <w:style w:type="character" w:customStyle="1" w:styleId="CommentTextChar">
    <w:name w:val="Comment Text Char"/>
    <w:basedOn w:val="DefaultParagraphFont"/>
    <w:link w:val="CommentText"/>
    <w:uiPriority w:val="99"/>
    <w:rsid w:val="48A77BA5"/>
    <w:rPr>
      <w:noProof w:val="0"/>
      <w:sz w:val="20"/>
      <w:szCs w:val="20"/>
      <w:lang w:val="sr-Cyrl-RS"/>
    </w:rPr>
  </w:style>
  <w:style w:type="paragraph" w:styleId="CommentSubject">
    <w:name w:val="annotation subject"/>
    <w:basedOn w:val="CommentText"/>
    <w:next w:val="CommentText"/>
    <w:link w:val="CommentSubjectChar"/>
    <w:uiPriority w:val="99"/>
    <w:semiHidden/>
    <w:unhideWhenUsed/>
    <w:rsid w:val="48A77BA5"/>
    <w:rPr>
      <w:b/>
      <w:bCs/>
    </w:rPr>
  </w:style>
  <w:style w:type="character" w:customStyle="1" w:styleId="CommentSubjectChar">
    <w:name w:val="Comment Subject Char"/>
    <w:basedOn w:val="CommentTextChar"/>
    <w:link w:val="CommentSubject"/>
    <w:uiPriority w:val="99"/>
    <w:semiHidden/>
    <w:rsid w:val="48A77BA5"/>
    <w:rPr>
      <w:b/>
      <w:bCs/>
      <w:noProof w:val="0"/>
      <w:sz w:val="20"/>
      <w:szCs w:val="20"/>
      <w:lang w:val="sr-Cyrl-RS"/>
    </w:rPr>
  </w:style>
  <w:style w:type="paragraph" w:customStyle="1" w:styleId="clan">
    <w:name w:val="clan"/>
    <w:basedOn w:val="Normal"/>
    <w:uiPriority w:val="1"/>
    <w:rsid w:val="48A77BA5"/>
    <w:pPr>
      <w:spacing w:beforeAutospacing="1" w:afterAutospacing="1"/>
    </w:pPr>
    <w:rPr>
      <w:rFonts w:ascii="Times New Roman" w:eastAsia="Times New Roman" w:hAnsi="Times New Roman" w:cs="Times New Roman"/>
      <w:sz w:val="24"/>
      <w:szCs w:val="24"/>
    </w:rPr>
  </w:style>
  <w:style w:type="paragraph" w:customStyle="1" w:styleId="wyq110---naslov-clana">
    <w:name w:val="wyq110---naslov-clana"/>
    <w:basedOn w:val="Normal"/>
    <w:uiPriority w:val="1"/>
    <w:rsid w:val="48A77BA5"/>
    <w:pPr>
      <w:spacing w:beforeAutospacing="1" w:afterAutospacing="1"/>
    </w:pPr>
    <w:rPr>
      <w:rFonts w:ascii="Times New Roman" w:eastAsia="Times New Roman" w:hAnsi="Times New Roman" w:cs="Times New Roman"/>
      <w:sz w:val="24"/>
      <w:szCs w:val="24"/>
    </w:rPr>
  </w:style>
  <w:style w:type="paragraph" w:customStyle="1" w:styleId="Normal2">
    <w:name w:val="Normal2"/>
    <w:basedOn w:val="Normal"/>
    <w:uiPriority w:val="1"/>
    <w:rsid w:val="48A77BA5"/>
    <w:pPr>
      <w:spacing w:beforeAutospacing="1" w:afterAutospacing="1"/>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48A77BA5"/>
    <w:pPr>
      <w:widowControl w:val="0"/>
      <w:spacing w:after="280"/>
    </w:pPr>
    <w:rPr>
      <w:rFonts w:ascii="Arial" w:eastAsia="Arial" w:hAnsi="Arial" w:cs="Arial"/>
      <w:lang w:bidi="en-US"/>
    </w:rPr>
  </w:style>
  <w:style w:type="character" w:customStyle="1" w:styleId="BodyTextChar">
    <w:name w:val="Body Text Char"/>
    <w:basedOn w:val="DefaultParagraphFont"/>
    <w:link w:val="BodyText"/>
    <w:uiPriority w:val="1"/>
    <w:semiHidden/>
    <w:rsid w:val="48A77BA5"/>
    <w:rPr>
      <w:rFonts w:ascii="Arial" w:eastAsia="Arial" w:hAnsi="Arial" w:cs="Arial"/>
      <w:noProof w:val="0"/>
      <w:lang w:val="sr-Cyrl-RS" w:bidi="en-US"/>
    </w:rPr>
  </w:style>
  <w:style w:type="table" w:styleId="TableGrid">
    <w:name w:val="Table Grid"/>
    <w:basedOn w:val="TableNormal"/>
    <w:uiPriority w:val="39"/>
    <w:rsid w:val="007022B1"/>
    <w:pPr>
      <w:spacing w:after="0" w:line="240" w:lineRule="auto"/>
      <w:ind w:firstLine="720"/>
      <w:jc w:val="both"/>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qFormat/>
    <w:rsid w:val="48A77BA5"/>
    <w:pPr>
      <w:spacing w:after="0"/>
    </w:pPr>
    <w:rPr>
      <w:sz w:val="20"/>
      <w:szCs w:val="20"/>
    </w:rPr>
  </w:style>
  <w:style w:type="character" w:customStyle="1" w:styleId="FootnoteTextChar">
    <w:name w:val="Footnote Text Char"/>
    <w:basedOn w:val="DefaultParagraphFont"/>
    <w:link w:val="FootnoteText"/>
    <w:uiPriority w:val="99"/>
    <w:rsid w:val="48A77BA5"/>
    <w:rPr>
      <w:noProof w:val="0"/>
      <w:sz w:val="20"/>
      <w:szCs w:val="20"/>
      <w:lang w:val="sr-Cyrl-RS"/>
    </w:rPr>
  </w:style>
  <w:style w:type="character" w:styleId="FootnoteReference">
    <w:name w:val="footnote reference"/>
    <w:basedOn w:val="DefaultParagraphFont"/>
    <w:link w:val="16Point"/>
    <w:uiPriority w:val="99"/>
    <w:unhideWhenUsed/>
    <w:rsid w:val="48A77BA5"/>
    <w:rPr>
      <w:noProof w:val="0"/>
      <w:vertAlign w:val="superscript"/>
      <w:lang w:val="sr-Cyrl-RS"/>
    </w:rPr>
  </w:style>
  <w:style w:type="paragraph" w:styleId="Caption">
    <w:name w:val="caption"/>
    <w:basedOn w:val="Normal"/>
    <w:next w:val="Normal"/>
    <w:uiPriority w:val="35"/>
    <w:unhideWhenUsed/>
    <w:qFormat/>
    <w:rsid w:val="48A77BA5"/>
    <w:pPr>
      <w:spacing w:after="200"/>
    </w:pPr>
    <w:rPr>
      <w:i/>
      <w:iCs/>
      <w:color w:val="44546A" w:themeColor="text2"/>
      <w:sz w:val="18"/>
      <w:szCs w:val="18"/>
    </w:rPr>
  </w:style>
  <w:style w:type="paragraph" w:customStyle="1" w:styleId="PodPodPodnaslov">
    <w:name w:val="PodPodPodnaslov"/>
    <w:basedOn w:val="Normal"/>
    <w:uiPriority w:val="1"/>
    <w:qFormat/>
    <w:rsid w:val="48A77BA5"/>
    <w:pPr>
      <w:spacing w:after="200"/>
      <w:jc w:val="both"/>
    </w:pPr>
    <w:rPr>
      <w:rFonts w:ascii="Times New Roman" w:eastAsia="Times New Roman" w:hAnsi="Times New Roman" w:cs="Times New Roman"/>
      <w:b/>
      <w:bCs/>
      <w:sz w:val="24"/>
      <w:szCs w:val="24"/>
      <w:lang w:val="sr-Cyrl-CS" w:eastAsia="zh-CN"/>
    </w:rPr>
  </w:style>
  <w:style w:type="paragraph" w:styleId="EndnoteText">
    <w:name w:val="endnote text"/>
    <w:basedOn w:val="Normal"/>
    <w:link w:val="EndnoteTextChar"/>
    <w:uiPriority w:val="99"/>
    <w:semiHidden/>
    <w:unhideWhenUsed/>
    <w:rsid w:val="48A77BA5"/>
    <w:pPr>
      <w:spacing w:after="0"/>
    </w:pPr>
    <w:rPr>
      <w:sz w:val="20"/>
      <w:szCs w:val="20"/>
    </w:rPr>
  </w:style>
  <w:style w:type="character" w:customStyle="1" w:styleId="EndnoteTextChar">
    <w:name w:val="Endnote Text Char"/>
    <w:basedOn w:val="DefaultParagraphFont"/>
    <w:link w:val="EndnoteText"/>
    <w:uiPriority w:val="99"/>
    <w:semiHidden/>
    <w:rsid w:val="48A77BA5"/>
    <w:rPr>
      <w:noProof w:val="0"/>
      <w:sz w:val="20"/>
      <w:szCs w:val="20"/>
      <w:lang w:val="sr-Cyrl-RS"/>
    </w:rPr>
  </w:style>
  <w:style w:type="character" w:styleId="EndnoteReference">
    <w:name w:val="endnote reference"/>
    <w:basedOn w:val="DefaultParagraphFont"/>
    <w:uiPriority w:val="99"/>
    <w:semiHidden/>
    <w:unhideWhenUsed/>
    <w:rsid w:val="007022B1"/>
    <w:rPr>
      <w:vertAlign w:val="superscript"/>
    </w:rPr>
  </w:style>
  <w:style w:type="character" w:customStyle="1" w:styleId="UnresolvedMention1">
    <w:name w:val="Unresolved Mention1"/>
    <w:basedOn w:val="DefaultParagraphFont"/>
    <w:uiPriority w:val="99"/>
    <w:semiHidden/>
    <w:unhideWhenUsed/>
    <w:rsid w:val="007022B1"/>
    <w:rPr>
      <w:color w:val="605E5C"/>
      <w:shd w:val="clear" w:color="auto" w:fill="E1DFDD"/>
    </w:rPr>
  </w:style>
  <w:style w:type="character" w:styleId="FollowedHyperlink">
    <w:name w:val="FollowedHyperlink"/>
    <w:basedOn w:val="DefaultParagraphFont"/>
    <w:uiPriority w:val="99"/>
    <w:semiHidden/>
    <w:unhideWhenUsed/>
    <w:rsid w:val="007022B1"/>
    <w:rPr>
      <w:color w:val="954F72" w:themeColor="followedHyperlink"/>
      <w:u w:val="single"/>
    </w:rPr>
  </w:style>
  <w:style w:type="paragraph" w:styleId="NormalWeb">
    <w:name w:val="Normal (Web)"/>
    <w:basedOn w:val="Normal"/>
    <w:uiPriority w:val="99"/>
    <w:unhideWhenUsed/>
    <w:rsid w:val="48A77BA5"/>
    <w:pPr>
      <w:spacing w:beforeAutospacing="1" w:afterAutospacing="1"/>
    </w:pPr>
    <w:rPr>
      <w:rFonts w:ascii="Times New Roman" w:eastAsia="Times New Roman" w:hAnsi="Times New Roman" w:cs="Times New Roman"/>
      <w:sz w:val="24"/>
      <w:szCs w:val="24"/>
    </w:rPr>
  </w:style>
  <w:style w:type="numbering" w:customStyle="1" w:styleId="CurrentList1">
    <w:name w:val="Current List1"/>
    <w:uiPriority w:val="99"/>
    <w:rsid w:val="007022B1"/>
    <w:pPr>
      <w:numPr>
        <w:numId w:val="1"/>
      </w:numPr>
    </w:pPr>
  </w:style>
  <w:style w:type="paragraph" w:styleId="TOCHeading">
    <w:name w:val="TOC Heading"/>
    <w:basedOn w:val="Heading1"/>
    <w:next w:val="Normal"/>
    <w:uiPriority w:val="39"/>
    <w:unhideWhenUsed/>
    <w:qFormat/>
    <w:rsid w:val="48A77BA5"/>
    <w:pPr>
      <w:spacing w:before="480"/>
    </w:pPr>
    <w:rPr>
      <w:b/>
      <w:bCs/>
      <w:sz w:val="28"/>
      <w:szCs w:val="28"/>
    </w:rPr>
  </w:style>
  <w:style w:type="paragraph" w:styleId="TOC2">
    <w:name w:val="toc 2"/>
    <w:basedOn w:val="Normal"/>
    <w:next w:val="Normal"/>
    <w:uiPriority w:val="39"/>
    <w:unhideWhenUsed/>
    <w:rsid w:val="48A77BA5"/>
    <w:pPr>
      <w:tabs>
        <w:tab w:val="left" w:pos="709"/>
        <w:tab w:val="right" w:leader="dot" w:pos="9962"/>
      </w:tabs>
      <w:spacing w:before="120" w:after="0"/>
      <w:ind w:left="220"/>
    </w:pPr>
    <w:rPr>
      <w:rFonts w:eastAsiaTheme="minorEastAsia"/>
      <w:b/>
      <w:bCs/>
    </w:rPr>
  </w:style>
  <w:style w:type="paragraph" w:styleId="TOC3">
    <w:name w:val="toc 3"/>
    <w:basedOn w:val="Normal"/>
    <w:next w:val="Normal"/>
    <w:uiPriority w:val="39"/>
    <w:unhideWhenUsed/>
    <w:rsid w:val="48A77BA5"/>
    <w:pPr>
      <w:spacing w:after="0"/>
      <w:ind w:left="440"/>
    </w:pPr>
    <w:rPr>
      <w:rFonts w:eastAsiaTheme="minorEastAsia"/>
      <w:sz w:val="20"/>
      <w:szCs w:val="20"/>
    </w:rPr>
  </w:style>
  <w:style w:type="paragraph" w:styleId="TOC1">
    <w:name w:val="toc 1"/>
    <w:basedOn w:val="Normal"/>
    <w:next w:val="Normal"/>
    <w:uiPriority w:val="39"/>
    <w:semiHidden/>
    <w:unhideWhenUsed/>
    <w:rsid w:val="48A77BA5"/>
    <w:pPr>
      <w:spacing w:before="120" w:after="0"/>
    </w:pPr>
    <w:rPr>
      <w:rFonts w:eastAsiaTheme="minorEastAsia"/>
      <w:b/>
      <w:bCs/>
      <w:i/>
      <w:iCs/>
      <w:sz w:val="24"/>
      <w:szCs w:val="24"/>
    </w:rPr>
  </w:style>
  <w:style w:type="paragraph" w:styleId="TOC4">
    <w:name w:val="toc 4"/>
    <w:basedOn w:val="Normal"/>
    <w:next w:val="Normal"/>
    <w:uiPriority w:val="39"/>
    <w:semiHidden/>
    <w:unhideWhenUsed/>
    <w:rsid w:val="48A77BA5"/>
    <w:pPr>
      <w:spacing w:after="0"/>
      <w:ind w:left="660"/>
    </w:pPr>
    <w:rPr>
      <w:rFonts w:eastAsiaTheme="minorEastAsia"/>
      <w:sz w:val="20"/>
      <w:szCs w:val="20"/>
    </w:rPr>
  </w:style>
  <w:style w:type="paragraph" w:styleId="TOC5">
    <w:name w:val="toc 5"/>
    <w:basedOn w:val="Normal"/>
    <w:next w:val="Normal"/>
    <w:uiPriority w:val="39"/>
    <w:semiHidden/>
    <w:unhideWhenUsed/>
    <w:rsid w:val="48A77BA5"/>
    <w:pPr>
      <w:spacing w:after="0"/>
      <w:ind w:left="880"/>
    </w:pPr>
    <w:rPr>
      <w:rFonts w:eastAsiaTheme="minorEastAsia"/>
      <w:sz w:val="20"/>
      <w:szCs w:val="20"/>
    </w:rPr>
  </w:style>
  <w:style w:type="paragraph" w:styleId="TOC6">
    <w:name w:val="toc 6"/>
    <w:basedOn w:val="Normal"/>
    <w:next w:val="Normal"/>
    <w:uiPriority w:val="39"/>
    <w:semiHidden/>
    <w:unhideWhenUsed/>
    <w:rsid w:val="48A77BA5"/>
    <w:pPr>
      <w:spacing w:after="0"/>
      <w:ind w:left="1100"/>
    </w:pPr>
    <w:rPr>
      <w:rFonts w:eastAsiaTheme="minorEastAsia"/>
      <w:sz w:val="20"/>
      <w:szCs w:val="20"/>
    </w:rPr>
  </w:style>
  <w:style w:type="paragraph" w:styleId="TOC7">
    <w:name w:val="toc 7"/>
    <w:basedOn w:val="Normal"/>
    <w:next w:val="Normal"/>
    <w:uiPriority w:val="39"/>
    <w:semiHidden/>
    <w:unhideWhenUsed/>
    <w:rsid w:val="48A77BA5"/>
    <w:pPr>
      <w:spacing w:after="0"/>
      <w:ind w:left="1320"/>
    </w:pPr>
    <w:rPr>
      <w:rFonts w:eastAsiaTheme="minorEastAsia"/>
      <w:sz w:val="20"/>
      <w:szCs w:val="20"/>
    </w:rPr>
  </w:style>
  <w:style w:type="paragraph" w:styleId="TOC8">
    <w:name w:val="toc 8"/>
    <w:basedOn w:val="Normal"/>
    <w:next w:val="Normal"/>
    <w:uiPriority w:val="39"/>
    <w:semiHidden/>
    <w:unhideWhenUsed/>
    <w:rsid w:val="48A77BA5"/>
    <w:pPr>
      <w:spacing w:after="0"/>
      <w:ind w:left="1540"/>
    </w:pPr>
    <w:rPr>
      <w:rFonts w:eastAsiaTheme="minorEastAsia"/>
      <w:sz w:val="20"/>
      <w:szCs w:val="20"/>
    </w:rPr>
  </w:style>
  <w:style w:type="paragraph" w:styleId="TOC9">
    <w:name w:val="toc 9"/>
    <w:basedOn w:val="Normal"/>
    <w:next w:val="Normal"/>
    <w:uiPriority w:val="39"/>
    <w:semiHidden/>
    <w:unhideWhenUsed/>
    <w:rsid w:val="48A77BA5"/>
    <w:pPr>
      <w:spacing w:after="0"/>
      <w:ind w:left="1760"/>
    </w:pPr>
    <w:rPr>
      <w:rFonts w:eastAsiaTheme="minorEastAsia"/>
      <w:sz w:val="20"/>
      <w:szCs w:val="20"/>
    </w:rPr>
  </w:style>
  <w:style w:type="paragraph" w:styleId="BalloonText">
    <w:name w:val="Balloon Text"/>
    <w:basedOn w:val="Normal"/>
    <w:link w:val="BalloonTextChar"/>
    <w:uiPriority w:val="99"/>
    <w:semiHidden/>
    <w:unhideWhenUsed/>
    <w:rsid w:val="48A77BA5"/>
    <w:pPr>
      <w:spacing w:after="0"/>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48A77BA5"/>
    <w:rPr>
      <w:rFonts w:ascii="Segoe UI" w:eastAsiaTheme="minorEastAsia" w:hAnsi="Segoe UI" w:cs="Segoe UI"/>
      <w:noProof w:val="0"/>
      <w:sz w:val="18"/>
      <w:szCs w:val="18"/>
      <w:lang w:val="sr-Cyrl-RS"/>
    </w:rPr>
  </w:style>
  <w:style w:type="character" w:customStyle="1" w:styleId="ListParagraphChar">
    <w:name w:val="List Paragraph Char"/>
    <w:aliases w:val="Numbered List Paragraph Char,References Char,Numbered Paragraph Char,Main numbered paragraph Char,List_Paragraph Char,Multilevel para_II Char,List Paragraph1 Char,Bullets Char,123 List Paragraph Char,List Paragraph nowy Char"/>
    <w:link w:val="ListParagraph"/>
    <w:uiPriority w:val="34"/>
    <w:rsid w:val="48A77BA5"/>
    <w:rPr>
      <w:noProof w:val="0"/>
      <w:lang w:val="sr-Cyrl-RS"/>
    </w:rPr>
  </w:style>
  <w:style w:type="paragraph" w:customStyle="1" w:styleId="basic-paragraph">
    <w:name w:val="basic-paragraph"/>
    <w:basedOn w:val="Normal"/>
    <w:uiPriority w:val="1"/>
    <w:rsid w:val="48A77BA5"/>
    <w:pPr>
      <w:spacing w:beforeAutospacing="1" w:afterAutospacing="1"/>
    </w:pPr>
    <w:rPr>
      <w:rFonts w:ascii="Times New Roman" w:eastAsia="Times New Roman" w:hAnsi="Times New Roman" w:cs="Times New Roman"/>
      <w:sz w:val="24"/>
      <w:szCs w:val="24"/>
      <w:lang w:eastAsia="sr-Cyrl-RS"/>
    </w:rPr>
  </w:style>
  <w:style w:type="paragraph" w:styleId="Revision">
    <w:name w:val="Revision"/>
    <w:hidden/>
    <w:uiPriority w:val="99"/>
    <w:semiHidden/>
    <w:rsid w:val="007022B1"/>
    <w:pPr>
      <w:spacing w:after="0" w:line="240" w:lineRule="auto"/>
    </w:pPr>
  </w:style>
  <w:style w:type="character" w:customStyle="1" w:styleId="UnresolvedMention2">
    <w:name w:val="Unresolved Mention2"/>
    <w:basedOn w:val="DefaultParagraphFont"/>
    <w:uiPriority w:val="99"/>
    <w:semiHidden/>
    <w:unhideWhenUsed/>
    <w:rsid w:val="007022B1"/>
    <w:rPr>
      <w:color w:val="605E5C"/>
      <w:shd w:val="clear" w:color="auto" w:fill="E1DFDD"/>
    </w:rPr>
  </w:style>
  <w:style w:type="character" w:styleId="PageNumber">
    <w:name w:val="page number"/>
    <w:basedOn w:val="DefaultParagraphFont"/>
    <w:uiPriority w:val="99"/>
    <w:semiHidden/>
    <w:unhideWhenUsed/>
    <w:rsid w:val="007022B1"/>
  </w:style>
  <w:style w:type="character" w:styleId="LineNumber">
    <w:name w:val="line number"/>
    <w:basedOn w:val="DefaultParagraphFont"/>
    <w:uiPriority w:val="99"/>
    <w:semiHidden/>
    <w:unhideWhenUsed/>
    <w:rsid w:val="007022B1"/>
  </w:style>
  <w:style w:type="character" w:styleId="PlaceholderText">
    <w:name w:val="Placeholder Text"/>
    <w:basedOn w:val="DefaultParagraphFont"/>
    <w:uiPriority w:val="99"/>
    <w:semiHidden/>
    <w:rsid w:val="00F81A89"/>
    <w:rPr>
      <w:color w:val="808080"/>
    </w:rPr>
  </w:style>
  <w:style w:type="paragraph" w:customStyle="1" w:styleId="a">
    <w:name w:val="мкиу"/>
    <w:rsid w:val="006B2167"/>
    <w:pPr>
      <w:tabs>
        <w:tab w:val="left" w:pos="1418"/>
      </w:tabs>
      <w:spacing w:after="0" w:line="240" w:lineRule="auto"/>
      <w:jc w:val="both"/>
    </w:pPr>
    <w:rPr>
      <w:rFonts w:ascii="Times New Roman" w:eastAsia="Times New Roman" w:hAnsi="Times New Roman" w:cs="Times New Roman"/>
      <w:sz w:val="24"/>
      <w:szCs w:val="24"/>
    </w:rPr>
  </w:style>
  <w:style w:type="paragraph" w:customStyle="1" w:styleId="16Point">
    <w:name w:val="16 Point"/>
    <w:basedOn w:val="Normal"/>
    <w:link w:val="FootnoteReference"/>
    <w:uiPriority w:val="99"/>
    <w:rsid w:val="48A77BA5"/>
    <w:pPr>
      <w:spacing w:before="120" w:line="240" w:lineRule="exact"/>
      <w:jc w:val="both"/>
    </w:pPr>
    <w:rPr>
      <w:vertAlign w:val="superscript"/>
    </w:rPr>
  </w:style>
  <w:style w:type="character" w:styleId="Strong">
    <w:name w:val="Strong"/>
    <w:basedOn w:val="DefaultParagraphFont"/>
    <w:uiPriority w:val="22"/>
    <w:qFormat/>
    <w:rsid w:val="001374C9"/>
    <w:rPr>
      <w:b/>
      <w:bCs/>
    </w:rPr>
  </w:style>
  <w:style w:type="paragraph" w:customStyle="1" w:styleId="pf0">
    <w:name w:val="pf0"/>
    <w:basedOn w:val="Normal"/>
    <w:uiPriority w:val="1"/>
    <w:rsid w:val="48A77BA5"/>
    <w:pPr>
      <w:spacing w:beforeAutospacing="1" w:afterAutospacing="1"/>
    </w:pPr>
    <w:rPr>
      <w:rFonts w:ascii="Calibri" w:eastAsiaTheme="minorEastAsia" w:hAnsi="Calibri" w:cs="Calibri"/>
      <w:lang w:val="en-GB" w:eastAsia="en-GB"/>
    </w:rPr>
  </w:style>
  <w:style w:type="character" w:customStyle="1" w:styleId="cf01">
    <w:name w:val="cf01"/>
    <w:basedOn w:val="DefaultParagraphFont"/>
    <w:rsid w:val="00C565C0"/>
    <w:rPr>
      <w:rFonts w:ascii="Segoe UI" w:hAnsi="Segoe UI" w:cs="Segoe UI" w:hint="default"/>
    </w:rPr>
  </w:style>
  <w:style w:type="paragraph" w:customStyle="1" w:styleId="BodyAA">
    <w:name w:val="Body A A"/>
    <w:rsid w:val="00E36FF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Title">
    <w:name w:val="Title"/>
    <w:basedOn w:val="Normal"/>
    <w:next w:val="Normal"/>
    <w:link w:val="TitleChar"/>
    <w:uiPriority w:val="10"/>
    <w:qFormat/>
    <w:rsid w:val="48A77BA5"/>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8A77BA5"/>
    <w:rPr>
      <w:rFonts w:eastAsiaTheme="minorEastAsia"/>
      <w:color w:val="5A5A5A"/>
    </w:rPr>
  </w:style>
  <w:style w:type="paragraph" w:styleId="Quote">
    <w:name w:val="Quote"/>
    <w:basedOn w:val="Normal"/>
    <w:next w:val="Normal"/>
    <w:link w:val="QuoteChar"/>
    <w:uiPriority w:val="29"/>
    <w:qFormat/>
    <w:rsid w:val="48A77BA5"/>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8A77BA5"/>
    <w:pPr>
      <w:spacing w:before="360" w:after="360"/>
      <w:ind w:left="864" w:right="864"/>
      <w:jc w:val="center"/>
    </w:pPr>
    <w:rPr>
      <w:i/>
      <w:iCs/>
      <w:color w:val="5B9BD5" w:themeColor="accent1"/>
    </w:rPr>
  </w:style>
  <w:style w:type="character" w:customStyle="1" w:styleId="Heading6Char">
    <w:name w:val="Heading 6 Char"/>
    <w:basedOn w:val="DefaultParagraphFont"/>
    <w:link w:val="Heading6"/>
    <w:uiPriority w:val="9"/>
    <w:rsid w:val="48A77BA5"/>
    <w:rPr>
      <w:rFonts w:asciiTheme="majorHAnsi" w:eastAsiaTheme="majorEastAsia" w:hAnsiTheme="majorHAnsi" w:cstheme="majorBidi"/>
      <w:noProof w:val="0"/>
      <w:color w:val="1F4D78"/>
      <w:lang w:val="sr-Cyrl-RS"/>
    </w:rPr>
  </w:style>
  <w:style w:type="character" w:customStyle="1" w:styleId="Heading7Char">
    <w:name w:val="Heading 7 Char"/>
    <w:basedOn w:val="DefaultParagraphFont"/>
    <w:link w:val="Heading7"/>
    <w:uiPriority w:val="9"/>
    <w:rsid w:val="48A77BA5"/>
    <w:rPr>
      <w:rFonts w:asciiTheme="majorHAnsi" w:eastAsiaTheme="majorEastAsia" w:hAnsiTheme="majorHAnsi" w:cstheme="majorBidi"/>
      <w:i/>
      <w:iCs/>
      <w:noProof w:val="0"/>
      <w:color w:val="1F4D78"/>
      <w:lang w:val="sr-Cyrl-RS"/>
    </w:rPr>
  </w:style>
  <w:style w:type="character" w:customStyle="1" w:styleId="Heading8Char">
    <w:name w:val="Heading 8 Char"/>
    <w:basedOn w:val="DefaultParagraphFont"/>
    <w:link w:val="Heading8"/>
    <w:uiPriority w:val="9"/>
    <w:rsid w:val="48A77BA5"/>
    <w:rPr>
      <w:rFonts w:asciiTheme="majorHAnsi" w:eastAsiaTheme="majorEastAsia" w:hAnsiTheme="majorHAnsi" w:cstheme="majorBidi"/>
      <w:noProof w:val="0"/>
      <w:color w:val="272727"/>
      <w:sz w:val="21"/>
      <w:szCs w:val="21"/>
      <w:lang w:val="sr-Cyrl-RS"/>
    </w:rPr>
  </w:style>
  <w:style w:type="character" w:customStyle="1" w:styleId="Heading9Char">
    <w:name w:val="Heading 9 Char"/>
    <w:basedOn w:val="DefaultParagraphFont"/>
    <w:link w:val="Heading9"/>
    <w:uiPriority w:val="9"/>
    <w:rsid w:val="48A77BA5"/>
    <w:rPr>
      <w:rFonts w:asciiTheme="majorHAnsi" w:eastAsiaTheme="majorEastAsia" w:hAnsiTheme="majorHAnsi" w:cstheme="majorBidi"/>
      <w:i/>
      <w:iCs/>
      <w:noProof w:val="0"/>
      <w:color w:val="272727"/>
      <w:sz w:val="21"/>
      <w:szCs w:val="21"/>
      <w:lang w:val="sr-Cyrl-RS"/>
    </w:rPr>
  </w:style>
  <w:style w:type="character" w:customStyle="1" w:styleId="TitleChar">
    <w:name w:val="Title Char"/>
    <w:basedOn w:val="DefaultParagraphFont"/>
    <w:link w:val="Title"/>
    <w:uiPriority w:val="10"/>
    <w:rsid w:val="48A77BA5"/>
    <w:rPr>
      <w:rFonts w:asciiTheme="majorHAnsi" w:eastAsiaTheme="majorEastAsia" w:hAnsiTheme="majorHAnsi" w:cstheme="majorBidi"/>
      <w:noProof w:val="0"/>
      <w:sz w:val="56"/>
      <w:szCs w:val="56"/>
      <w:lang w:val="sr-Cyrl-RS"/>
    </w:rPr>
  </w:style>
  <w:style w:type="character" w:customStyle="1" w:styleId="SubtitleChar">
    <w:name w:val="Subtitle Char"/>
    <w:basedOn w:val="DefaultParagraphFont"/>
    <w:link w:val="Subtitle"/>
    <w:uiPriority w:val="11"/>
    <w:rsid w:val="48A77BA5"/>
    <w:rPr>
      <w:rFonts w:asciiTheme="minorHAnsi" w:eastAsiaTheme="minorEastAsia" w:hAnsiTheme="minorHAnsi" w:cstheme="minorBidi"/>
      <w:noProof w:val="0"/>
      <w:color w:val="5A5A5A"/>
      <w:lang w:val="sr-Cyrl-RS"/>
    </w:rPr>
  </w:style>
  <w:style w:type="character" w:customStyle="1" w:styleId="QuoteChar">
    <w:name w:val="Quote Char"/>
    <w:basedOn w:val="DefaultParagraphFont"/>
    <w:link w:val="Quote"/>
    <w:uiPriority w:val="29"/>
    <w:rsid w:val="48A77BA5"/>
    <w:rPr>
      <w:i/>
      <w:iCs/>
      <w:noProof w:val="0"/>
      <w:color w:val="404040" w:themeColor="text1" w:themeTint="BF"/>
      <w:lang w:val="sr-Cyrl-RS"/>
    </w:rPr>
  </w:style>
  <w:style w:type="character" w:customStyle="1" w:styleId="IntenseQuoteChar">
    <w:name w:val="Intense Quote Char"/>
    <w:basedOn w:val="DefaultParagraphFont"/>
    <w:link w:val="IntenseQuote"/>
    <w:uiPriority w:val="30"/>
    <w:rsid w:val="48A77BA5"/>
    <w:rPr>
      <w:i/>
      <w:iCs/>
      <w:noProof w:val="0"/>
      <w:color w:val="5B9BD5" w:themeColor="accent1"/>
      <w:lang w:val="sr-Cyrl-RS"/>
    </w:rPr>
  </w:style>
  <w:style w:type="character" w:customStyle="1" w:styleId="UnresolvedMention3">
    <w:name w:val="Unresolved Mention3"/>
    <w:basedOn w:val="DefaultParagraphFont"/>
    <w:uiPriority w:val="99"/>
    <w:semiHidden/>
    <w:unhideWhenUsed/>
    <w:rsid w:val="006D56A3"/>
    <w:rPr>
      <w:color w:val="605E5C"/>
      <w:shd w:val="clear" w:color="auto" w:fill="E1DFDD"/>
    </w:rPr>
  </w:style>
  <w:style w:type="table" w:styleId="GridTable6Colorful-Accent6">
    <w:name w:val="Grid Table 6 Colorful Accent 6"/>
    <w:basedOn w:val="TableNormal"/>
    <w:uiPriority w:val="51"/>
    <w:rsid w:val="00A0305D"/>
    <w:pPr>
      <w:spacing w:after="0" w:line="240" w:lineRule="auto"/>
    </w:pPr>
    <w:rPr>
      <w:rFonts w:eastAsiaTheme="minorEastAsia"/>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BodyText2">
    <w:name w:val="Body Text 2"/>
    <w:basedOn w:val="Normal"/>
    <w:link w:val="BodyText2Char"/>
    <w:unhideWhenUsed/>
    <w:rsid w:val="00A056C9"/>
    <w:pPr>
      <w:spacing w:after="120" w:line="480" w:lineRule="auto"/>
    </w:pPr>
    <w:rPr>
      <w:rFonts w:eastAsiaTheme="minorEastAsia"/>
      <w:sz w:val="21"/>
      <w:szCs w:val="21"/>
      <w:lang w:val="en-US"/>
    </w:rPr>
  </w:style>
  <w:style w:type="character" w:customStyle="1" w:styleId="BodyText2Char">
    <w:name w:val="Body Text 2 Char"/>
    <w:basedOn w:val="DefaultParagraphFont"/>
    <w:link w:val="BodyText2"/>
    <w:rsid w:val="00A056C9"/>
    <w:rPr>
      <w:rFonts w:eastAsiaTheme="minorEastAsia"/>
      <w:sz w:val="21"/>
      <w:szCs w:val="21"/>
    </w:rPr>
  </w:style>
  <w:style w:type="character" w:customStyle="1" w:styleId="jlqj4b">
    <w:name w:val="jlqj4b"/>
    <w:basedOn w:val="DefaultParagraphFont"/>
    <w:rsid w:val="00037B42"/>
  </w:style>
  <w:style w:type="paragraph" w:customStyle="1" w:styleId="1tekst">
    <w:name w:val="1tekst"/>
    <w:basedOn w:val="Normal"/>
    <w:rsid w:val="003D576E"/>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261642">
      <w:bodyDiv w:val="1"/>
      <w:marLeft w:val="0"/>
      <w:marRight w:val="0"/>
      <w:marTop w:val="0"/>
      <w:marBottom w:val="0"/>
      <w:divBdr>
        <w:top w:val="none" w:sz="0" w:space="0" w:color="auto"/>
        <w:left w:val="none" w:sz="0" w:space="0" w:color="auto"/>
        <w:bottom w:val="none" w:sz="0" w:space="0" w:color="auto"/>
        <w:right w:val="none" w:sz="0" w:space="0" w:color="auto"/>
      </w:divBdr>
    </w:div>
    <w:div w:id="145143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urostat/databrowser/view/hsw_n2_01/default/table?lang=en"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20/10/relationships/intelligence" Target="intelligence2.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s://ec.europa.eu/eurostat/databrowser/view/hsw_n2_02/default/table?lang=en"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lancetcountdown.org/data-platform/climate-change-impacts-exposures-and-vulnerability/1-1-health-and-heat/1-1-4-change-in-labour-capacity" TargetMode="External"/><Relationship Id="rId3" Type="http://schemas.openxmlformats.org/officeDocument/2006/relationships/hyperlink" Target="https://pravno-informacioni-sistem.rs/SlGlasnikPortal/eli/rep/sgrs/vlada/drugiakt/2023/119/1" TargetMode="External"/><Relationship Id="rId7" Type="http://schemas.openxmlformats.org/officeDocument/2006/relationships/hyperlink" Target="https://www.creativesafetysupply.com/articles/osha-incident-rates-calculators-formulas/" TargetMode="External"/><Relationship Id="rId12" Type="http://schemas.openxmlformats.org/officeDocument/2006/relationships/hyperlink" Target="https://www.minrzs.gov.rs/sr/dokumenti/ostalo/kontrolne-liste-inspekcijski-nadzor" TargetMode="External"/><Relationship Id="rId2" Type="http://schemas.openxmlformats.org/officeDocument/2006/relationships/hyperlink" Target="http://www.pravno-informacioni-sistem.rs/SlGlasnikPortal/eli/rep/sgrs/vlada/strategija/2018/61/1/reg" TargetMode="External"/><Relationship Id="rId1" Type="http://schemas.openxmlformats.org/officeDocument/2006/relationships/hyperlink" Target="https://osha.europa.eu/en/file/108414/download?token=2yF1UnxW" TargetMode="External"/><Relationship Id="rId6" Type="http://schemas.openxmlformats.org/officeDocument/2006/relationships/hyperlink" Target="https://www.eurosafe.eu.com/uploads/inline-files/E_Manual%20for%20calculation%20incidence%20rates.pdf" TargetMode="External"/><Relationship Id="rId11" Type="http://schemas.openxmlformats.org/officeDocument/2006/relationships/hyperlink" Target="https://osha.europa.eu/en/publications/labour-inspectors-insights-perceived-high-risk-occupations-and-sectors-europe-eu-osha-slic-survey" TargetMode="External"/><Relationship Id="rId5" Type="http://schemas.openxmlformats.org/officeDocument/2006/relationships/hyperlink" Target="https://ec.europa.eu/eurostat/statistics-explained/index.php?title=Accidents_at_work_statistics" TargetMode="External"/><Relationship Id="rId10" Type="http://schemas.openxmlformats.org/officeDocument/2006/relationships/hyperlink" Target="https://circabc.europa.eu/ui/group/fea534f4-2590-4490-bca6-504782b47c79/library/3bad8ad7-c7d9-4f1b-af38-43404cd7d859/details" TargetMode="External"/><Relationship Id="rId4" Type="http://schemas.openxmlformats.org/officeDocument/2006/relationships/hyperlink" Target="https://ec.europa.eu/eurostat/web/products-manuals-and-guidelines/-/KS-RA-12-102" TargetMode="External"/><Relationship Id="rId9" Type="http://schemas.openxmlformats.org/officeDocument/2006/relationships/hyperlink" Target="https://www.minrzs.gov.rs/sr/dokumenti/podzakonski-akti/uprava-za-bezbednost-i-zdravlje-na-radu-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bradu\Downloads\hsw_n2_02_page_spreadshee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bradu\Downloads\hsw_n2_02_page_spreadsheet.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fatalne!$B$11:$B$43</c:f>
            </c:numRef>
          </c:val>
          <c:extLst>
            <c:ext xmlns:c16="http://schemas.microsoft.com/office/drawing/2014/chart" uri="{C3380CC4-5D6E-409C-BE32-E72D297353CC}">
              <c16:uniqueId val="{00000000-8350-413E-91B6-EACD1CF68A08}"/>
            </c:ext>
          </c:extLst>
        </c:ser>
        <c:ser>
          <c:idx val="1"/>
          <c:order val="1"/>
          <c:spPr>
            <a:solidFill>
              <a:schemeClr val="accent2"/>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fatalne!$C$11:$C$43</c:f>
            </c:numRef>
          </c:val>
          <c:extLst>
            <c:ext xmlns:c16="http://schemas.microsoft.com/office/drawing/2014/chart" uri="{C3380CC4-5D6E-409C-BE32-E72D297353CC}">
              <c16:uniqueId val="{00000001-8350-413E-91B6-EACD1CF68A08}"/>
            </c:ext>
          </c:extLst>
        </c:ser>
        <c:ser>
          <c:idx val="2"/>
          <c:order val="2"/>
          <c:spPr>
            <a:solidFill>
              <a:schemeClr val="accent3"/>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fatalne!$D$11:$D$43</c:f>
            </c:numRef>
          </c:val>
          <c:extLst>
            <c:ext xmlns:c16="http://schemas.microsoft.com/office/drawing/2014/chart" uri="{C3380CC4-5D6E-409C-BE32-E72D297353CC}">
              <c16:uniqueId val="{00000002-8350-413E-91B6-EACD1CF68A08}"/>
            </c:ext>
          </c:extLst>
        </c:ser>
        <c:ser>
          <c:idx val="3"/>
          <c:order val="3"/>
          <c:spPr>
            <a:solidFill>
              <a:schemeClr val="accent4"/>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fatalne!$E$11:$E$43</c:f>
            </c:numRef>
          </c:val>
          <c:extLst>
            <c:ext xmlns:c16="http://schemas.microsoft.com/office/drawing/2014/chart" uri="{C3380CC4-5D6E-409C-BE32-E72D297353CC}">
              <c16:uniqueId val="{00000003-8350-413E-91B6-EACD1CF68A08}"/>
            </c:ext>
          </c:extLst>
        </c:ser>
        <c:ser>
          <c:idx val="4"/>
          <c:order val="4"/>
          <c:spPr>
            <a:solidFill>
              <a:schemeClr val="accent5"/>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fatalne!$F$11:$F$43</c:f>
            </c:numRef>
          </c:val>
          <c:extLst>
            <c:ext xmlns:c16="http://schemas.microsoft.com/office/drawing/2014/chart" uri="{C3380CC4-5D6E-409C-BE32-E72D297353CC}">
              <c16:uniqueId val="{00000004-8350-413E-91B6-EACD1CF68A08}"/>
            </c:ext>
          </c:extLst>
        </c:ser>
        <c:ser>
          <c:idx val="5"/>
          <c:order val="5"/>
          <c:spPr>
            <a:solidFill>
              <a:schemeClr val="accent6"/>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fatalne!$G$11:$G$43</c:f>
            </c:numRef>
          </c:val>
          <c:extLst>
            <c:ext xmlns:c16="http://schemas.microsoft.com/office/drawing/2014/chart" uri="{C3380CC4-5D6E-409C-BE32-E72D297353CC}">
              <c16:uniqueId val="{00000005-8350-413E-91B6-EACD1CF68A08}"/>
            </c:ext>
          </c:extLst>
        </c:ser>
        <c:ser>
          <c:idx val="6"/>
          <c:order val="6"/>
          <c:spPr>
            <a:solidFill>
              <a:schemeClr val="accent1">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fatalne!$H$11:$H$43</c:f>
            </c:numRef>
          </c:val>
          <c:extLst>
            <c:ext xmlns:c16="http://schemas.microsoft.com/office/drawing/2014/chart" uri="{C3380CC4-5D6E-409C-BE32-E72D297353CC}">
              <c16:uniqueId val="{00000006-8350-413E-91B6-EACD1CF68A08}"/>
            </c:ext>
          </c:extLst>
        </c:ser>
        <c:ser>
          <c:idx val="7"/>
          <c:order val="7"/>
          <c:spPr>
            <a:solidFill>
              <a:schemeClr val="accent2">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fatalne!$I$11:$I$43</c:f>
            </c:numRef>
          </c:val>
          <c:extLst>
            <c:ext xmlns:c16="http://schemas.microsoft.com/office/drawing/2014/chart" uri="{C3380CC4-5D6E-409C-BE32-E72D297353CC}">
              <c16:uniqueId val="{00000007-8350-413E-91B6-EACD1CF68A08}"/>
            </c:ext>
          </c:extLst>
        </c:ser>
        <c:ser>
          <c:idx val="8"/>
          <c:order val="8"/>
          <c:spPr>
            <a:solidFill>
              <a:schemeClr val="accent3">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fatalne!$J$11:$J$43</c:f>
            </c:numRef>
          </c:val>
          <c:extLst>
            <c:ext xmlns:c16="http://schemas.microsoft.com/office/drawing/2014/chart" uri="{C3380CC4-5D6E-409C-BE32-E72D297353CC}">
              <c16:uniqueId val="{00000008-8350-413E-91B6-EACD1CF68A08}"/>
            </c:ext>
          </c:extLst>
        </c:ser>
        <c:ser>
          <c:idx val="9"/>
          <c:order val="9"/>
          <c:spPr>
            <a:solidFill>
              <a:schemeClr val="accent4">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fatalne!$K$11:$K$43</c:f>
            </c:numRef>
          </c:val>
          <c:extLst>
            <c:ext xmlns:c16="http://schemas.microsoft.com/office/drawing/2014/chart" uri="{C3380CC4-5D6E-409C-BE32-E72D297353CC}">
              <c16:uniqueId val="{00000009-8350-413E-91B6-EACD1CF68A08}"/>
            </c:ext>
          </c:extLst>
        </c:ser>
        <c:ser>
          <c:idx val="10"/>
          <c:order val="10"/>
          <c:spPr>
            <a:solidFill>
              <a:schemeClr val="accent5">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fatalne!$L$11:$L$43</c:f>
            </c:numRef>
          </c:val>
          <c:extLst>
            <c:ext xmlns:c16="http://schemas.microsoft.com/office/drawing/2014/chart" uri="{C3380CC4-5D6E-409C-BE32-E72D297353CC}">
              <c16:uniqueId val="{0000000A-8350-413E-91B6-EACD1CF68A08}"/>
            </c:ext>
          </c:extLst>
        </c:ser>
        <c:ser>
          <c:idx val="11"/>
          <c:order val="11"/>
          <c:spPr>
            <a:solidFill>
              <a:schemeClr val="accent6">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fatalne!$M$11:$M$43</c:f>
            </c:numRef>
          </c:val>
          <c:extLst>
            <c:ext xmlns:c16="http://schemas.microsoft.com/office/drawing/2014/chart" uri="{C3380CC4-5D6E-409C-BE32-E72D297353CC}">
              <c16:uniqueId val="{0000000B-8350-413E-91B6-EACD1CF68A08}"/>
            </c:ext>
          </c:extLst>
        </c:ser>
        <c:ser>
          <c:idx val="12"/>
          <c:order val="12"/>
          <c:spPr>
            <a:solidFill>
              <a:schemeClr val="accent1">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fatalne!$N$11:$N$43</c:f>
            </c:numRef>
          </c:val>
          <c:extLst>
            <c:ext xmlns:c16="http://schemas.microsoft.com/office/drawing/2014/chart" uri="{C3380CC4-5D6E-409C-BE32-E72D297353CC}">
              <c16:uniqueId val="{0000000C-8350-413E-91B6-EACD1CF68A08}"/>
            </c:ext>
          </c:extLst>
        </c:ser>
        <c:ser>
          <c:idx val="13"/>
          <c:order val="13"/>
          <c:spPr>
            <a:solidFill>
              <a:schemeClr val="accent2">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fatalne!$O$11:$O$43</c:f>
            </c:numRef>
          </c:val>
          <c:extLst>
            <c:ext xmlns:c16="http://schemas.microsoft.com/office/drawing/2014/chart" uri="{C3380CC4-5D6E-409C-BE32-E72D297353CC}">
              <c16:uniqueId val="{0000000D-8350-413E-91B6-EACD1CF68A08}"/>
            </c:ext>
          </c:extLst>
        </c:ser>
        <c:ser>
          <c:idx val="14"/>
          <c:order val="14"/>
          <c:spPr>
            <a:solidFill>
              <a:schemeClr val="accent3">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fatalne!$P$11:$P$43</c:f>
            </c:numRef>
          </c:val>
          <c:extLst>
            <c:ext xmlns:c16="http://schemas.microsoft.com/office/drawing/2014/chart" uri="{C3380CC4-5D6E-409C-BE32-E72D297353CC}">
              <c16:uniqueId val="{0000000E-8350-413E-91B6-EACD1CF68A08}"/>
            </c:ext>
          </c:extLst>
        </c:ser>
        <c:ser>
          <c:idx val="15"/>
          <c:order val="15"/>
          <c:spPr>
            <a:solidFill>
              <a:schemeClr val="accent4">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fatalne!$Q$11:$Q$43</c:f>
            </c:numRef>
          </c:val>
          <c:extLst>
            <c:ext xmlns:c16="http://schemas.microsoft.com/office/drawing/2014/chart" uri="{C3380CC4-5D6E-409C-BE32-E72D297353CC}">
              <c16:uniqueId val="{0000000F-8350-413E-91B6-EACD1CF68A08}"/>
            </c:ext>
          </c:extLst>
        </c:ser>
        <c:ser>
          <c:idx val="16"/>
          <c:order val="16"/>
          <c:spPr>
            <a:solidFill>
              <a:schemeClr val="accent5">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fatalne!$R$11:$R$43</c:f>
            </c:numRef>
          </c:val>
          <c:extLst>
            <c:ext xmlns:c16="http://schemas.microsoft.com/office/drawing/2014/chart" uri="{C3380CC4-5D6E-409C-BE32-E72D297353CC}">
              <c16:uniqueId val="{00000010-8350-413E-91B6-EACD1CF68A08}"/>
            </c:ext>
          </c:extLst>
        </c:ser>
        <c:ser>
          <c:idx val="17"/>
          <c:order val="17"/>
          <c:spPr>
            <a:solidFill>
              <a:schemeClr val="accent6">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fatalne!$S$11:$S$43</c:f>
            </c:numRef>
          </c:val>
          <c:extLst>
            <c:ext xmlns:c16="http://schemas.microsoft.com/office/drawing/2014/chart" uri="{C3380CC4-5D6E-409C-BE32-E72D297353CC}">
              <c16:uniqueId val="{00000011-8350-413E-91B6-EACD1CF68A08}"/>
            </c:ext>
          </c:extLst>
        </c:ser>
        <c:ser>
          <c:idx val="18"/>
          <c:order val="18"/>
          <c:spPr>
            <a:solidFill>
              <a:schemeClr val="accent1">
                <a:lumMod val="80000"/>
              </a:schemeClr>
            </a:solidFill>
            <a:ln>
              <a:noFill/>
            </a:ln>
            <a:effectLst/>
          </c:spPr>
          <c:invertIfNegative val="0"/>
          <c:dPt>
            <c:idx val="30"/>
            <c:invertIfNegative val="0"/>
            <c:bubble3D val="0"/>
            <c:spPr>
              <a:solidFill>
                <a:schemeClr val="accent2"/>
              </a:solidFill>
              <a:ln>
                <a:noFill/>
              </a:ln>
              <a:effectLst/>
            </c:spPr>
            <c:extLst>
              <c:ext xmlns:c16="http://schemas.microsoft.com/office/drawing/2014/chart" uri="{C3380CC4-5D6E-409C-BE32-E72D297353CC}">
                <c16:uniqueId val="{00000012-8350-413E-91B6-EACD1CF68A08}"/>
              </c:ext>
            </c:extLst>
          </c:dPt>
          <c:dPt>
            <c:idx val="31"/>
            <c:invertIfNegative val="0"/>
            <c:bubble3D val="0"/>
            <c:spPr>
              <a:solidFill>
                <a:schemeClr val="accent2"/>
              </a:solidFill>
              <a:ln>
                <a:noFill/>
              </a:ln>
              <a:effectLst/>
            </c:spPr>
            <c:extLst>
              <c:ext xmlns:c16="http://schemas.microsoft.com/office/drawing/2014/chart" uri="{C3380CC4-5D6E-409C-BE32-E72D297353CC}">
                <c16:uniqueId val="{00000013-8350-413E-91B6-EACD1CF68A08}"/>
              </c:ext>
            </c:extLst>
          </c:dPt>
          <c:dPt>
            <c:idx val="32"/>
            <c:invertIfNegative val="0"/>
            <c:bubble3D val="0"/>
            <c:spPr>
              <a:solidFill>
                <a:schemeClr val="tx1"/>
              </a:solidFill>
              <a:ln>
                <a:noFill/>
              </a:ln>
              <a:effectLst/>
            </c:spPr>
            <c:extLst>
              <c:ext xmlns:c16="http://schemas.microsoft.com/office/drawing/2014/chart" uri="{C3380CC4-5D6E-409C-BE32-E72D297353CC}">
                <c16:uniqueId val="{00000014-8350-413E-91B6-EACD1CF68A08}"/>
              </c:ext>
            </c:extLst>
          </c:dPt>
          <c:dLbls>
            <c:dLbl>
              <c:idx val="30"/>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8350-413E-91B6-EACD1CF68A08}"/>
                </c:ext>
              </c:extLst>
            </c:dLbl>
            <c:dLbl>
              <c:idx val="31"/>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8350-413E-91B6-EACD1CF68A08}"/>
                </c:ext>
              </c:extLst>
            </c:dLbl>
            <c:dLbl>
              <c:idx val="32"/>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8350-413E-91B6-EACD1CF68A0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fatalne!$T$11:$T$43</c:f>
              <c:numCache>
                <c:formatCode>#,##0.##########</c:formatCode>
                <c:ptCount val="33"/>
                <c:pt idx="0">
                  <c:v>1.1299999999999999</c:v>
                </c:pt>
                <c:pt idx="1">
                  <c:v>2.85</c:v>
                </c:pt>
                <c:pt idx="2">
                  <c:v>1.87</c:v>
                </c:pt>
                <c:pt idx="3">
                  <c:v>1.42</c:v>
                </c:pt>
                <c:pt idx="4">
                  <c:v>0.84</c:v>
                </c:pt>
                <c:pt idx="5">
                  <c:v>2.23</c:v>
                </c:pt>
                <c:pt idx="6">
                  <c:v>1.42</c:v>
                </c:pt>
                <c:pt idx="7">
                  <c:v>0.57999999999999996</c:v>
                </c:pt>
                <c:pt idx="8">
                  <c:v>1.93</c:v>
                </c:pt>
                <c:pt idx="9">
                  <c:v>3.32</c:v>
                </c:pt>
                <c:pt idx="10">
                  <c:v>2.1800000000000002</c:v>
                </c:pt>
                <c:pt idx="11">
                  <c:v>2.66</c:v>
                </c:pt>
                <c:pt idx="12">
                  <c:v>1.3</c:v>
                </c:pt>
                <c:pt idx="13">
                  <c:v>4.29</c:v>
                </c:pt>
                <c:pt idx="14">
                  <c:v>3.75</c:v>
                </c:pt>
                <c:pt idx="15">
                  <c:v>1.71</c:v>
                </c:pt>
                <c:pt idx="16">
                  <c:v>2.0099999999999998</c:v>
                </c:pt>
                <c:pt idx="17">
                  <c:v>3.34</c:v>
                </c:pt>
                <c:pt idx="18">
                  <c:v>0.33</c:v>
                </c:pt>
                <c:pt idx="19">
                  <c:v>2.86</c:v>
                </c:pt>
                <c:pt idx="20">
                  <c:v>1.56</c:v>
                </c:pt>
                <c:pt idx="21">
                  <c:v>1.93</c:v>
                </c:pt>
                <c:pt idx="22">
                  <c:v>3.11</c:v>
                </c:pt>
                <c:pt idx="23">
                  <c:v>1.51</c:v>
                </c:pt>
                <c:pt idx="24">
                  <c:v>1.47</c:v>
                </c:pt>
                <c:pt idx="25">
                  <c:v>0.75</c:v>
                </c:pt>
                <c:pt idx="26">
                  <c:v>0.77</c:v>
                </c:pt>
                <c:pt idx="27" formatCode="#,##0">
                  <c:v>0</c:v>
                </c:pt>
                <c:pt idx="28">
                  <c:v>1.33</c:v>
                </c:pt>
                <c:pt idx="29">
                  <c:v>0.75</c:v>
                </c:pt>
                <c:pt idx="30" formatCode="General">
                  <c:v>1.6</c:v>
                </c:pt>
                <c:pt idx="31" formatCode="General">
                  <c:v>2.1800000000000002</c:v>
                </c:pt>
                <c:pt idx="32" formatCode="General">
                  <c:v>1.76</c:v>
                </c:pt>
              </c:numCache>
            </c:numRef>
          </c:val>
          <c:extLst>
            <c:ext xmlns:c16="http://schemas.microsoft.com/office/drawing/2014/chart" uri="{C3380CC4-5D6E-409C-BE32-E72D297353CC}">
              <c16:uniqueId val="{00000015-8350-413E-91B6-EACD1CF68A08}"/>
            </c:ext>
          </c:extLst>
        </c:ser>
        <c:dLbls>
          <c:showLegendKey val="0"/>
          <c:showVal val="0"/>
          <c:showCatName val="0"/>
          <c:showSerName val="0"/>
          <c:showPercent val="0"/>
          <c:showBubbleSize val="0"/>
        </c:dLbls>
        <c:gapWidth val="219"/>
        <c:overlap val="-27"/>
        <c:axId val="424805072"/>
        <c:axId val="85333664"/>
      </c:barChart>
      <c:catAx>
        <c:axId val="424805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333664"/>
        <c:crosses val="autoZero"/>
        <c:auto val="1"/>
        <c:lblAlgn val="ctr"/>
        <c:lblOffset val="100"/>
        <c:noMultiLvlLbl val="0"/>
      </c:catAx>
      <c:valAx>
        <c:axId val="853336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480507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fatalne!$B$11:$B$43</c:f>
            </c:numRef>
          </c:val>
          <c:extLst>
            <c:ext xmlns:c16="http://schemas.microsoft.com/office/drawing/2014/chart" uri="{C3380CC4-5D6E-409C-BE32-E72D297353CC}">
              <c16:uniqueId val="{00000000-5292-44A4-9FB5-E4F66A046F3C}"/>
            </c:ext>
          </c:extLst>
        </c:ser>
        <c:ser>
          <c:idx val="1"/>
          <c:order val="1"/>
          <c:spPr>
            <a:solidFill>
              <a:schemeClr val="accent2"/>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fatalne!$C$11:$C$43</c:f>
            </c:numRef>
          </c:val>
          <c:extLst>
            <c:ext xmlns:c16="http://schemas.microsoft.com/office/drawing/2014/chart" uri="{C3380CC4-5D6E-409C-BE32-E72D297353CC}">
              <c16:uniqueId val="{00000001-5292-44A4-9FB5-E4F66A046F3C}"/>
            </c:ext>
          </c:extLst>
        </c:ser>
        <c:ser>
          <c:idx val="2"/>
          <c:order val="2"/>
          <c:spPr>
            <a:solidFill>
              <a:schemeClr val="accent3"/>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fatalne!$D$11:$D$43</c:f>
            </c:numRef>
          </c:val>
          <c:extLst>
            <c:ext xmlns:c16="http://schemas.microsoft.com/office/drawing/2014/chart" uri="{C3380CC4-5D6E-409C-BE32-E72D297353CC}">
              <c16:uniqueId val="{00000002-5292-44A4-9FB5-E4F66A046F3C}"/>
            </c:ext>
          </c:extLst>
        </c:ser>
        <c:ser>
          <c:idx val="3"/>
          <c:order val="3"/>
          <c:spPr>
            <a:solidFill>
              <a:schemeClr val="accent4"/>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fatalne!$E$11:$E$43</c:f>
            </c:numRef>
          </c:val>
          <c:extLst>
            <c:ext xmlns:c16="http://schemas.microsoft.com/office/drawing/2014/chart" uri="{C3380CC4-5D6E-409C-BE32-E72D297353CC}">
              <c16:uniqueId val="{00000003-5292-44A4-9FB5-E4F66A046F3C}"/>
            </c:ext>
          </c:extLst>
        </c:ser>
        <c:ser>
          <c:idx val="4"/>
          <c:order val="4"/>
          <c:spPr>
            <a:solidFill>
              <a:schemeClr val="accent5"/>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fatalne!$F$11:$F$43</c:f>
            </c:numRef>
          </c:val>
          <c:extLst>
            <c:ext xmlns:c16="http://schemas.microsoft.com/office/drawing/2014/chart" uri="{C3380CC4-5D6E-409C-BE32-E72D297353CC}">
              <c16:uniqueId val="{00000004-5292-44A4-9FB5-E4F66A046F3C}"/>
            </c:ext>
          </c:extLst>
        </c:ser>
        <c:ser>
          <c:idx val="5"/>
          <c:order val="5"/>
          <c:spPr>
            <a:solidFill>
              <a:schemeClr val="accent6"/>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fatalne!$G$11:$G$43</c:f>
            </c:numRef>
          </c:val>
          <c:extLst>
            <c:ext xmlns:c16="http://schemas.microsoft.com/office/drawing/2014/chart" uri="{C3380CC4-5D6E-409C-BE32-E72D297353CC}">
              <c16:uniqueId val="{00000005-5292-44A4-9FB5-E4F66A046F3C}"/>
            </c:ext>
          </c:extLst>
        </c:ser>
        <c:ser>
          <c:idx val="6"/>
          <c:order val="6"/>
          <c:spPr>
            <a:solidFill>
              <a:schemeClr val="accent1">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fatalne!$H$11:$H$43</c:f>
            </c:numRef>
          </c:val>
          <c:extLst>
            <c:ext xmlns:c16="http://schemas.microsoft.com/office/drawing/2014/chart" uri="{C3380CC4-5D6E-409C-BE32-E72D297353CC}">
              <c16:uniqueId val="{00000006-5292-44A4-9FB5-E4F66A046F3C}"/>
            </c:ext>
          </c:extLst>
        </c:ser>
        <c:ser>
          <c:idx val="7"/>
          <c:order val="7"/>
          <c:spPr>
            <a:solidFill>
              <a:schemeClr val="accent2">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fatalne!$I$11:$I$43</c:f>
            </c:numRef>
          </c:val>
          <c:extLst>
            <c:ext xmlns:c16="http://schemas.microsoft.com/office/drawing/2014/chart" uri="{C3380CC4-5D6E-409C-BE32-E72D297353CC}">
              <c16:uniqueId val="{00000007-5292-44A4-9FB5-E4F66A046F3C}"/>
            </c:ext>
          </c:extLst>
        </c:ser>
        <c:ser>
          <c:idx val="8"/>
          <c:order val="8"/>
          <c:spPr>
            <a:solidFill>
              <a:schemeClr val="accent3">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fatalne!$J$11:$J$43</c:f>
            </c:numRef>
          </c:val>
          <c:extLst>
            <c:ext xmlns:c16="http://schemas.microsoft.com/office/drawing/2014/chart" uri="{C3380CC4-5D6E-409C-BE32-E72D297353CC}">
              <c16:uniqueId val="{00000008-5292-44A4-9FB5-E4F66A046F3C}"/>
            </c:ext>
          </c:extLst>
        </c:ser>
        <c:ser>
          <c:idx val="9"/>
          <c:order val="9"/>
          <c:spPr>
            <a:solidFill>
              <a:schemeClr val="accent4">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fatalne!$K$11:$K$43</c:f>
            </c:numRef>
          </c:val>
          <c:extLst>
            <c:ext xmlns:c16="http://schemas.microsoft.com/office/drawing/2014/chart" uri="{C3380CC4-5D6E-409C-BE32-E72D297353CC}">
              <c16:uniqueId val="{00000009-5292-44A4-9FB5-E4F66A046F3C}"/>
            </c:ext>
          </c:extLst>
        </c:ser>
        <c:ser>
          <c:idx val="10"/>
          <c:order val="10"/>
          <c:spPr>
            <a:solidFill>
              <a:schemeClr val="accent5">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fatalne!$L$11:$L$43</c:f>
            </c:numRef>
          </c:val>
          <c:extLst>
            <c:ext xmlns:c16="http://schemas.microsoft.com/office/drawing/2014/chart" uri="{C3380CC4-5D6E-409C-BE32-E72D297353CC}">
              <c16:uniqueId val="{0000000A-5292-44A4-9FB5-E4F66A046F3C}"/>
            </c:ext>
          </c:extLst>
        </c:ser>
        <c:ser>
          <c:idx val="11"/>
          <c:order val="11"/>
          <c:spPr>
            <a:solidFill>
              <a:schemeClr val="accent6">
                <a:lumMod val="6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fatalne!$M$11:$M$43</c:f>
            </c:numRef>
          </c:val>
          <c:extLst>
            <c:ext xmlns:c16="http://schemas.microsoft.com/office/drawing/2014/chart" uri="{C3380CC4-5D6E-409C-BE32-E72D297353CC}">
              <c16:uniqueId val="{0000000B-5292-44A4-9FB5-E4F66A046F3C}"/>
            </c:ext>
          </c:extLst>
        </c:ser>
        <c:ser>
          <c:idx val="12"/>
          <c:order val="12"/>
          <c:spPr>
            <a:solidFill>
              <a:schemeClr val="accent1">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fatalne!$N$11:$N$43</c:f>
            </c:numRef>
          </c:val>
          <c:extLst>
            <c:ext xmlns:c16="http://schemas.microsoft.com/office/drawing/2014/chart" uri="{C3380CC4-5D6E-409C-BE32-E72D297353CC}">
              <c16:uniqueId val="{0000000C-5292-44A4-9FB5-E4F66A046F3C}"/>
            </c:ext>
          </c:extLst>
        </c:ser>
        <c:ser>
          <c:idx val="13"/>
          <c:order val="13"/>
          <c:spPr>
            <a:solidFill>
              <a:schemeClr val="accent2">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fatalne!$O$11:$O$43</c:f>
            </c:numRef>
          </c:val>
          <c:extLst>
            <c:ext xmlns:c16="http://schemas.microsoft.com/office/drawing/2014/chart" uri="{C3380CC4-5D6E-409C-BE32-E72D297353CC}">
              <c16:uniqueId val="{0000000D-5292-44A4-9FB5-E4F66A046F3C}"/>
            </c:ext>
          </c:extLst>
        </c:ser>
        <c:ser>
          <c:idx val="14"/>
          <c:order val="14"/>
          <c:spPr>
            <a:solidFill>
              <a:schemeClr val="accent3">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fatalne!$P$11:$P$43</c:f>
            </c:numRef>
          </c:val>
          <c:extLst>
            <c:ext xmlns:c16="http://schemas.microsoft.com/office/drawing/2014/chart" uri="{C3380CC4-5D6E-409C-BE32-E72D297353CC}">
              <c16:uniqueId val="{0000000E-5292-44A4-9FB5-E4F66A046F3C}"/>
            </c:ext>
          </c:extLst>
        </c:ser>
        <c:ser>
          <c:idx val="15"/>
          <c:order val="15"/>
          <c:spPr>
            <a:solidFill>
              <a:schemeClr val="accent4">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fatalne!$Q$11:$Q$43</c:f>
            </c:numRef>
          </c:val>
          <c:extLst>
            <c:ext xmlns:c16="http://schemas.microsoft.com/office/drawing/2014/chart" uri="{C3380CC4-5D6E-409C-BE32-E72D297353CC}">
              <c16:uniqueId val="{0000000F-5292-44A4-9FB5-E4F66A046F3C}"/>
            </c:ext>
          </c:extLst>
        </c:ser>
        <c:ser>
          <c:idx val="16"/>
          <c:order val="16"/>
          <c:spPr>
            <a:solidFill>
              <a:schemeClr val="accent5">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fatalne!$R$11:$R$43</c:f>
            </c:numRef>
          </c:val>
          <c:extLst>
            <c:ext xmlns:c16="http://schemas.microsoft.com/office/drawing/2014/chart" uri="{C3380CC4-5D6E-409C-BE32-E72D297353CC}">
              <c16:uniqueId val="{00000010-5292-44A4-9FB5-E4F66A046F3C}"/>
            </c:ext>
          </c:extLst>
        </c:ser>
        <c:ser>
          <c:idx val="17"/>
          <c:order val="17"/>
          <c:spPr>
            <a:solidFill>
              <a:schemeClr val="accent6">
                <a:lumMod val="80000"/>
                <a:lumOff val="20000"/>
              </a:schemeClr>
            </a:solidFill>
            <a:ln>
              <a:noFill/>
            </a:ln>
            <a:effectLst/>
          </c:spPr>
          <c:invertIfNegative val="0"/>
          <c:cat>
            <c:strRef>
              <c:f>fatalne!$A$11:$A$43</c:f>
              <c:strCache>
                <c:ptCount val="33"/>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 РФЗО</c:v>
                </c:pt>
                <c:pt idx="31">
                  <c:v>СРБИЈА УБЗР</c:v>
                </c:pt>
                <c:pt idx="32">
                  <c:v>Просек ЕУ 27</c:v>
                </c:pt>
              </c:strCache>
            </c:strRef>
          </c:cat>
          <c:val>
            <c:numRef>
              <c:f>fatalne!$S$11:$S$43</c:f>
            </c:numRef>
          </c:val>
          <c:extLst>
            <c:ext xmlns:c16="http://schemas.microsoft.com/office/drawing/2014/chart" uri="{C3380CC4-5D6E-409C-BE32-E72D297353CC}">
              <c16:uniqueId val="{00000011-5292-44A4-9FB5-E4F66A046F3C}"/>
            </c:ext>
          </c:extLst>
        </c:ser>
        <c:ser>
          <c:idx val="18"/>
          <c:order val="18"/>
          <c:spPr>
            <a:solidFill>
              <a:schemeClr val="accent1">
                <a:lumMod val="80000"/>
              </a:schemeClr>
            </a:solidFill>
            <a:ln>
              <a:noFill/>
            </a:ln>
            <a:effectLst/>
          </c:spPr>
          <c:invertIfNegative val="0"/>
          <c:dPt>
            <c:idx val="30"/>
            <c:invertIfNegative val="0"/>
            <c:bubble3D val="0"/>
            <c:spPr>
              <a:solidFill>
                <a:schemeClr val="accent4"/>
              </a:solidFill>
              <a:ln>
                <a:noFill/>
              </a:ln>
              <a:effectLst/>
            </c:spPr>
            <c:extLst>
              <c:ext xmlns:c16="http://schemas.microsoft.com/office/drawing/2014/chart" uri="{C3380CC4-5D6E-409C-BE32-E72D297353CC}">
                <c16:uniqueId val="{00000012-5292-44A4-9FB5-E4F66A046F3C}"/>
              </c:ext>
            </c:extLst>
          </c:dPt>
          <c:dPt>
            <c:idx val="31"/>
            <c:invertIfNegative val="0"/>
            <c:bubble3D val="0"/>
            <c:spPr>
              <a:solidFill>
                <a:srgbClr val="002060"/>
              </a:solidFill>
              <a:ln>
                <a:noFill/>
              </a:ln>
              <a:effectLst/>
            </c:spPr>
            <c:extLst>
              <c:ext xmlns:c16="http://schemas.microsoft.com/office/drawing/2014/chart" uri="{C3380CC4-5D6E-409C-BE32-E72D297353CC}">
                <c16:uniqueId val="{00000013-5292-44A4-9FB5-E4F66A046F3C}"/>
              </c:ext>
            </c:extLst>
          </c:dPt>
          <c:dLbls>
            <c:dLbl>
              <c:idx val="3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5292-44A4-9FB5-E4F66A046F3C}"/>
                </c:ext>
              </c:extLst>
            </c:dLbl>
            <c:dLbl>
              <c:idx val="3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5292-44A4-9FB5-E4F66A046F3C}"/>
                </c:ext>
              </c:extLst>
            </c:dLbl>
            <c:dLbl>
              <c:idx val="3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5292-44A4-9FB5-E4F66A046F3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nefatalne!$A$11:$A$42</c:f>
              <c:strCache>
                <c:ptCount val="32"/>
                <c:pt idx="0">
                  <c:v>Белгија</c:v>
                </c:pt>
                <c:pt idx="1">
                  <c:v>Бугарска</c:v>
                </c:pt>
                <c:pt idx="2">
                  <c:v>Чешка</c:v>
                </c:pt>
                <c:pt idx="3">
                  <c:v>Данска</c:v>
                </c:pt>
                <c:pt idx="4">
                  <c:v>Немачка</c:v>
                </c:pt>
                <c:pt idx="5">
                  <c:v>Естонија</c:v>
                </c:pt>
                <c:pt idx="6">
                  <c:v>Ирска</c:v>
                </c:pt>
                <c:pt idx="7">
                  <c:v>Грчка</c:v>
                </c:pt>
                <c:pt idx="8">
                  <c:v>Шпанија</c:v>
                </c:pt>
                <c:pt idx="9">
                  <c:v>Француска</c:v>
                </c:pt>
                <c:pt idx="10">
                  <c:v>Хрватска</c:v>
                </c:pt>
                <c:pt idx="11">
                  <c:v>Италија</c:v>
                </c:pt>
                <c:pt idx="12">
                  <c:v>Кипар</c:v>
                </c:pt>
                <c:pt idx="13">
                  <c:v>Летонија</c:v>
                </c:pt>
                <c:pt idx="14">
                  <c:v>Литванија</c:v>
                </c:pt>
                <c:pt idx="15">
                  <c:v>Луксембург</c:v>
                </c:pt>
                <c:pt idx="16">
                  <c:v>Мађарска</c:v>
                </c:pt>
                <c:pt idx="17">
                  <c:v>Малта</c:v>
                </c:pt>
                <c:pt idx="18">
                  <c:v>Холандија</c:v>
                </c:pt>
                <c:pt idx="19">
                  <c:v>Аустрија</c:v>
                </c:pt>
                <c:pt idx="20">
                  <c:v>Пољска</c:v>
                </c:pt>
                <c:pt idx="21">
                  <c:v>Португал</c:v>
                </c:pt>
                <c:pt idx="22">
                  <c:v>Румунија</c:v>
                </c:pt>
                <c:pt idx="23">
                  <c:v>Словенија</c:v>
                </c:pt>
                <c:pt idx="24">
                  <c:v>Словачка</c:v>
                </c:pt>
                <c:pt idx="25">
                  <c:v>Финска</c:v>
                </c:pt>
                <c:pt idx="26">
                  <c:v>Шведска</c:v>
                </c:pt>
                <c:pt idx="27">
                  <c:v>Исланд</c:v>
                </c:pt>
                <c:pt idx="28">
                  <c:v>Норвешка</c:v>
                </c:pt>
                <c:pt idx="29">
                  <c:v>Швајцарска</c:v>
                </c:pt>
                <c:pt idx="30">
                  <c:v>СРБИЈА</c:v>
                </c:pt>
                <c:pt idx="31">
                  <c:v>Просек ЕУ 27</c:v>
                </c:pt>
              </c:strCache>
            </c:strRef>
          </c:cat>
          <c:val>
            <c:numRef>
              <c:f>nefatalne!$B$11:$B$42</c:f>
              <c:numCache>
                <c:formatCode>#,##0.##########</c:formatCode>
                <c:ptCount val="32"/>
                <c:pt idx="0">
                  <c:v>1497.14</c:v>
                </c:pt>
                <c:pt idx="1">
                  <c:v>79.510000000000005</c:v>
                </c:pt>
                <c:pt idx="2">
                  <c:v>778.96</c:v>
                </c:pt>
                <c:pt idx="3">
                  <c:v>2814.35</c:v>
                </c:pt>
                <c:pt idx="4">
                  <c:v>1573.41</c:v>
                </c:pt>
                <c:pt idx="5">
                  <c:v>940.85</c:v>
                </c:pt>
                <c:pt idx="6">
                  <c:v>688.45</c:v>
                </c:pt>
                <c:pt idx="7">
                  <c:v>117.38</c:v>
                </c:pt>
                <c:pt idx="8">
                  <c:v>2348.08</c:v>
                </c:pt>
                <c:pt idx="9">
                  <c:v>3227.24</c:v>
                </c:pt>
                <c:pt idx="10">
                  <c:v>605.29999999999995</c:v>
                </c:pt>
                <c:pt idx="11">
                  <c:v>1209.49</c:v>
                </c:pt>
                <c:pt idx="12">
                  <c:v>371.62</c:v>
                </c:pt>
                <c:pt idx="13">
                  <c:v>256.45999999999998</c:v>
                </c:pt>
                <c:pt idx="14" formatCode="#,##0">
                  <c:v>343</c:v>
                </c:pt>
                <c:pt idx="15">
                  <c:v>1579.22</c:v>
                </c:pt>
                <c:pt idx="16">
                  <c:v>577.36</c:v>
                </c:pt>
                <c:pt idx="17">
                  <c:v>589.23</c:v>
                </c:pt>
                <c:pt idx="18">
                  <c:v>1072.01</c:v>
                </c:pt>
                <c:pt idx="19">
                  <c:v>1512.72</c:v>
                </c:pt>
                <c:pt idx="20">
                  <c:v>482.75</c:v>
                </c:pt>
                <c:pt idx="21">
                  <c:v>2368.4299999999998</c:v>
                </c:pt>
                <c:pt idx="22">
                  <c:v>50.32</c:v>
                </c:pt>
                <c:pt idx="23">
                  <c:v>1529.13</c:v>
                </c:pt>
                <c:pt idx="24">
                  <c:v>369.84</c:v>
                </c:pt>
                <c:pt idx="25">
                  <c:v>1452.95</c:v>
                </c:pt>
                <c:pt idx="26">
                  <c:v>938.81</c:v>
                </c:pt>
                <c:pt idx="27" formatCode="#,##0">
                  <c:v>0</c:v>
                </c:pt>
                <c:pt idx="28">
                  <c:v>373.79</c:v>
                </c:pt>
                <c:pt idx="29">
                  <c:v>2006.21</c:v>
                </c:pt>
                <c:pt idx="30" formatCode="General">
                  <c:v>748</c:v>
                </c:pt>
                <c:pt idx="31" formatCode="General">
                  <c:v>1516</c:v>
                </c:pt>
              </c:numCache>
            </c:numRef>
          </c:val>
          <c:extLst>
            <c:ext xmlns:c16="http://schemas.microsoft.com/office/drawing/2014/chart" uri="{C3380CC4-5D6E-409C-BE32-E72D297353CC}">
              <c16:uniqueId val="{00000015-5292-44A4-9FB5-E4F66A046F3C}"/>
            </c:ext>
          </c:extLst>
        </c:ser>
        <c:dLbls>
          <c:showLegendKey val="0"/>
          <c:showVal val="0"/>
          <c:showCatName val="0"/>
          <c:showSerName val="0"/>
          <c:showPercent val="0"/>
          <c:showBubbleSize val="0"/>
        </c:dLbls>
        <c:gapWidth val="219"/>
        <c:overlap val="-27"/>
        <c:axId val="424805072"/>
        <c:axId val="85333664"/>
      </c:barChart>
      <c:catAx>
        <c:axId val="424805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5333664"/>
        <c:crosses val="autoZero"/>
        <c:auto val="1"/>
        <c:lblAlgn val="ctr"/>
        <c:lblOffset val="100"/>
        <c:noMultiLvlLbl val="0"/>
      </c:catAx>
      <c:valAx>
        <c:axId val="853336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480507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Sheet1!$G$19</c:f>
              <c:strCache>
                <c:ptCount val="1"/>
                <c:pt idx="0">
                  <c:v>Грађевинарство</c:v>
                </c:pt>
              </c:strCache>
            </c:strRef>
          </c:tx>
          <c:spPr>
            <a:solidFill>
              <a:srgbClr val="92D05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Sheet1!$H$18:$M$18</c:f>
              <c:numCache>
                <c:formatCode>General</c:formatCode>
                <c:ptCount val="6"/>
                <c:pt idx="0">
                  <c:v>2018</c:v>
                </c:pt>
                <c:pt idx="1">
                  <c:v>2019</c:v>
                </c:pt>
                <c:pt idx="2">
                  <c:v>2020</c:v>
                </c:pt>
                <c:pt idx="3">
                  <c:v>2021</c:v>
                </c:pt>
                <c:pt idx="4">
                  <c:v>2022</c:v>
                </c:pt>
                <c:pt idx="5">
                  <c:v>2023</c:v>
                </c:pt>
              </c:numCache>
            </c:numRef>
          </c:cat>
          <c:val>
            <c:numRef>
              <c:f>Sheet1!$H$19:$M$19</c:f>
              <c:numCache>
                <c:formatCode>General</c:formatCode>
                <c:ptCount val="6"/>
                <c:pt idx="0">
                  <c:v>0.34</c:v>
                </c:pt>
                <c:pt idx="1">
                  <c:v>0.25</c:v>
                </c:pt>
                <c:pt idx="2">
                  <c:v>0.32</c:v>
                </c:pt>
                <c:pt idx="3">
                  <c:v>0.54</c:v>
                </c:pt>
                <c:pt idx="4">
                  <c:v>0.56999999999999995</c:v>
                </c:pt>
                <c:pt idx="5">
                  <c:v>0.47499999999999998</c:v>
                </c:pt>
              </c:numCache>
            </c:numRef>
          </c:val>
          <c:extLst>
            <c:ext xmlns:c16="http://schemas.microsoft.com/office/drawing/2014/chart" uri="{C3380CC4-5D6E-409C-BE32-E72D297353CC}">
              <c16:uniqueId val="{00000000-4E50-4B04-812E-C969CD849E87}"/>
            </c:ext>
          </c:extLst>
        </c:ser>
        <c:ser>
          <c:idx val="1"/>
          <c:order val="1"/>
          <c:tx>
            <c:strRef>
              <c:f>Sheet1!$G$20</c:f>
              <c:strCache>
                <c:ptCount val="1"/>
                <c:pt idx="0">
                  <c:v>Пољопривреда, шумарство и рибарство</c:v>
                </c:pt>
              </c:strCache>
            </c:strRef>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Sheet1!$H$18:$M$18</c:f>
              <c:numCache>
                <c:formatCode>General</c:formatCode>
                <c:ptCount val="6"/>
                <c:pt idx="0">
                  <c:v>2018</c:v>
                </c:pt>
                <c:pt idx="1">
                  <c:v>2019</c:v>
                </c:pt>
                <c:pt idx="2">
                  <c:v>2020</c:v>
                </c:pt>
                <c:pt idx="3">
                  <c:v>2021</c:v>
                </c:pt>
                <c:pt idx="4">
                  <c:v>2022</c:v>
                </c:pt>
                <c:pt idx="5">
                  <c:v>2023</c:v>
                </c:pt>
              </c:numCache>
            </c:numRef>
          </c:cat>
          <c:val>
            <c:numRef>
              <c:f>Sheet1!$H$20:$M$20</c:f>
              <c:numCache>
                <c:formatCode>General</c:formatCode>
                <c:ptCount val="6"/>
                <c:pt idx="0">
                  <c:v>0.3</c:v>
                </c:pt>
                <c:pt idx="1">
                  <c:v>0.18</c:v>
                </c:pt>
                <c:pt idx="2">
                  <c:v>0.16</c:v>
                </c:pt>
                <c:pt idx="3">
                  <c:v>7.0000000000000007E-2</c:v>
                </c:pt>
                <c:pt idx="4">
                  <c:v>0.09</c:v>
                </c:pt>
                <c:pt idx="5">
                  <c:v>0.05</c:v>
                </c:pt>
              </c:numCache>
            </c:numRef>
          </c:val>
          <c:extLst>
            <c:ext xmlns:c16="http://schemas.microsoft.com/office/drawing/2014/chart" uri="{C3380CC4-5D6E-409C-BE32-E72D297353CC}">
              <c16:uniqueId val="{00000001-4E50-4B04-812E-C969CD849E87}"/>
            </c:ext>
          </c:extLst>
        </c:ser>
        <c:ser>
          <c:idx val="2"/>
          <c:order val="2"/>
          <c:tx>
            <c:strRef>
              <c:f>Sheet1!$G$21</c:f>
              <c:strCache>
                <c:ptCount val="1"/>
                <c:pt idx="0">
                  <c:v>Индустрија</c:v>
                </c:pt>
              </c:strCache>
            </c:strRef>
          </c:tx>
          <c:spPr>
            <a:solidFill>
              <a:schemeClr val="accent3"/>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Sheet1!$H$18:$M$18</c:f>
              <c:numCache>
                <c:formatCode>General</c:formatCode>
                <c:ptCount val="6"/>
                <c:pt idx="0">
                  <c:v>2018</c:v>
                </c:pt>
                <c:pt idx="1">
                  <c:v>2019</c:v>
                </c:pt>
                <c:pt idx="2">
                  <c:v>2020</c:v>
                </c:pt>
                <c:pt idx="3">
                  <c:v>2021</c:v>
                </c:pt>
                <c:pt idx="4">
                  <c:v>2022</c:v>
                </c:pt>
                <c:pt idx="5">
                  <c:v>2023</c:v>
                </c:pt>
              </c:numCache>
            </c:numRef>
          </c:cat>
          <c:val>
            <c:numRef>
              <c:f>Sheet1!$H$21:$M$21</c:f>
              <c:numCache>
                <c:formatCode>General</c:formatCode>
                <c:ptCount val="6"/>
                <c:pt idx="0">
                  <c:v>0.08</c:v>
                </c:pt>
                <c:pt idx="1">
                  <c:v>0.18</c:v>
                </c:pt>
                <c:pt idx="2">
                  <c:v>0.19</c:v>
                </c:pt>
                <c:pt idx="3">
                  <c:v>0.14000000000000001</c:v>
                </c:pt>
                <c:pt idx="4">
                  <c:v>0.21</c:v>
                </c:pt>
                <c:pt idx="5">
                  <c:v>0.2</c:v>
                </c:pt>
              </c:numCache>
            </c:numRef>
          </c:val>
          <c:extLst>
            <c:ext xmlns:c16="http://schemas.microsoft.com/office/drawing/2014/chart" uri="{C3380CC4-5D6E-409C-BE32-E72D297353CC}">
              <c16:uniqueId val="{00000002-4E50-4B04-812E-C969CD849E87}"/>
            </c:ext>
          </c:extLst>
        </c:ser>
        <c:ser>
          <c:idx val="3"/>
          <c:order val="3"/>
          <c:tx>
            <c:strRef>
              <c:f>Sheet1!$G$22</c:f>
              <c:strCache>
                <c:ptCount val="1"/>
                <c:pt idx="0">
                  <c:v>Остали сектори</c:v>
                </c:pt>
              </c:strCache>
            </c:strRef>
          </c:tx>
          <c:spPr>
            <a:solidFill>
              <a:schemeClr val="accent4"/>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Sheet1!$H$18:$M$18</c:f>
              <c:numCache>
                <c:formatCode>General</c:formatCode>
                <c:ptCount val="6"/>
                <c:pt idx="0">
                  <c:v>2018</c:v>
                </c:pt>
                <c:pt idx="1">
                  <c:v>2019</c:v>
                </c:pt>
                <c:pt idx="2">
                  <c:v>2020</c:v>
                </c:pt>
                <c:pt idx="3">
                  <c:v>2021</c:v>
                </c:pt>
                <c:pt idx="4">
                  <c:v>2022</c:v>
                </c:pt>
                <c:pt idx="5">
                  <c:v>2023</c:v>
                </c:pt>
              </c:numCache>
            </c:numRef>
          </c:cat>
          <c:val>
            <c:numRef>
              <c:f>Sheet1!$H$22:$M$22</c:f>
              <c:numCache>
                <c:formatCode>General</c:formatCode>
                <c:ptCount val="6"/>
                <c:pt idx="0">
                  <c:v>0.28000000000000003</c:v>
                </c:pt>
                <c:pt idx="1">
                  <c:v>0.39</c:v>
                </c:pt>
                <c:pt idx="2">
                  <c:v>0.33</c:v>
                </c:pt>
                <c:pt idx="3">
                  <c:v>0.25</c:v>
                </c:pt>
                <c:pt idx="4">
                  <c:v>0.13</c:v>
                </c:pt>
                <c:pt idx="5">
                  <c:v>0.27500000000000002</c:v>
                </c:pt>
              </c:numCache>
            </c:numRef>
          </c:val>
          <c:extLst>
            <c:ext xmlns:c16="http://schemas.microsoft.com/office/drawing/2014/chart" uri="{C3380CC4-5D6E-409C-BE32-E72D297353CC}">
              <c16:uniqueId val="{00000003-4E50-4B04-812E-C969CD849E87}"/>
            </c:ext>
          </c:extLst>
        </c:ser>
        <c:dLbls>
          <c:showLegendKey val="0"/>
          <c:showVal val="0"/>
          <c:showCatName val="0"/>
          <c:showSerName val="0"/>
          <c:showPercent val="0"/>
          <c:showBubbleSize val="0"/>
        </c:dLbls>
        <c:gapWidth val="150"/>
        <c:overlap val="100"/>
        <c:axId val="491066160"/>
        <c:axId val="491064720"/>
      </c:barChart>
      <c:catAx>
        <c:axId val="491066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1064720"/>
        <c:crosses val="autoZero"/>
        <c:auto val="1"/>
        <c:lblAlgn val="ctr"/>
        <c:lblOffset val="100"/>
        <c:noMultiLvlLbl val="0"/>
      </c:catAx>
      <c:valAx>
        <c:axId val="491064720"/>
        <c:scaling>
          <c:orientation val="minMax"/>
        </c:scaling>
        <c:delete val="1"/>
        <c:axPos val="l"/>
        <c:numFmt formatCode="General" sourceLinked="1"/>
        <c:majorTickMark val="none"/>
        <c:minorTickMark val="none"/>
        <c:tickLblPos val="nextTo"/>
        <c:crossAx val="491066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8141222819117475E-2"/>
          <c:y val="6.1624649859943981E-2"/>
          <c:w val="0.9174847466025533"/>
          <c:h val="0.70126822382496301"/>
        </c:manualLayout>
      </c:layout>
      <c:barChart>
        <c:barDir val="col"/>
        <c:grouping val="stacked"/>
        <c:varyColors val="0"/>
        <c:ser>
          <c:idx val="0"/>
          <c:order val="0"/>
          <c:tx>
            <c:strRef>
              <c:f>Sheet2!$J$23</c:f>
              <c:strCache>
                <c:ptCount val="1"/>
                <c:pt idx="0">
                  <c:v>сам послодавац</c:v>
                </c:pt>
              </c:strCache>
            </c:strRef>
          </c:tx>
          <c:spPr>
            <a:solidFill>
              <a:srgbClr val="92D05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Sheet2!$K$22:$P$22</c:f>
              <c:numCache>
                <c:formatCode>General</c:formatCode>
                <c:ptCount val="6"/>
                <c:pt idx="0">
                  <c:v>2018</c:v>
                </c:pt>
                <c:pt idx="1">
                  <c:v>2019</c:v>
                </c:pt>
                <c:pt idx="2">
                  <c:v>2020</c:v>
                </c:pt>
                <c:pt idx="3">
                  <c:v>2021</c:v>
                </c:pt>
                <c:pt idx="4">
                  <c:v>2022</c:v>
                </c:pt>
                <c:pt idx="5">
                  <c:v>2023</c:v>
                </c:pt>
              </c:numCache>
            </c:numRef>
          </c:cat>
          <c:val>
            <c:numRef>
              <c:f>Sheet2!$K$23:$P$23</c:f>
              <c:numCache>
                <c:formatCode>General</c:formatCode>
                <c:ptCount val="6"/>
                <c:pt idx="0">
                  <c:v>0.26</c:v>
                </c:pt>
                <c:pt idx="1">
                  <c:v>0.27</c:v>
                </c:pt>
                <c:pt idx="2">
                  <c:v>0.28999999999999998</c:v>
                </c:pt>
                <c:pt idx="3">
                  <c:v>0.28000000000000003</c:v>
                </c:pt>
                <c:pt idx="4">
                  <c:v>0.27</c:v>
                </c:pt>
                <c:pt idx="5">
                  <c:v>0.3</c:v>
                </c:pt>
              </c:numCache>
            </c:numRef>
          </c:val>
          <c:extLst>
            <c:ext xmlns:c16="http://schemas.microsoft.com/office/drawing/2014/chart" uri="{C3380CC4-5D6E-409C-BE32-E72D297353CC}">
              <c16:uniqueId val="{00000000-0407-48D6-8600-CA357D60CDB4}"/>
            </c:ext>
          </c:extLst>
        </c:ser>
        <c:ser>
          <c:idx val="1"/>
          <c:order val="1"/>
          <c:tx>
            <c:strRef>
              <c:f>Sheet2!$J$24</c:f>
              <c:strCache>
                <c:ptCount val="1"/>
                <c:pt idx="0">
                  <c:v>ангажовано правно лице или предузетник са лиценцом</c:v>
                </c:pt>
              </c:strCache>
            </c:strRef>
          </c:tx>
          <c:spPr>
            <a:solidFill>
              <a:schemeClr val="accent2"/>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Sheet2!$K$22:$P$22</c:f>
              <c:numCache>
                <c:formatCode>General</c:formatCode>
                <c:ptCount val="6"/>
                <c:pt idx="0">
                  <c:v>2018</c:v>
                </c:pt>
                <c:pt idx="1">
                  <c:v>2019</c:v>
                </c:pt>
                <c:pt idx="2">
                  <c:v>2020</c:v>
                </c:pt>
                <c:pt idx="3">
                  <c:v>2021</c:v>
                </c:pt>
                <c:pt idx="4">
                  <c:v>2022</c:v>
                </c:pt>
                <c:pt idx="5">
                  <c:v>2023</c:v>
                </c:pt>
              </c:numCache>
            </c:numRef>
          </c:cat>
          <c:val>
            <c:numRef>
              <c:f>Sheet2!$K$24:$P$24</c:f>
              <c:numCache>
                <c:formatCode>General</c:formatCode>
                <c:ptCount val="6"/>
                <c:pt idx="0">
                  <c:v>0.52</c:v>
                </c:pt>
                <c:pt idx="1">
                  <c:v>0.54</c:v>
                </c:pt>
                <c:pt idx="2">
                  <c:v>0.55000000000000004</c:v>
                </c:pt>
                <c:pt idx="3">
                  <c:v>0.56999999999999995</c:v>
                </c:pt>
                <c:pt idx="4">
                  <c:v>0.56000000000000005</c:v>
                </c:pt>
                <c:pt idx="5">
                  <c:v>0.53</c:v>
                </c:pt>
              </c:numCache>
            </c:numRef>
          </c:val>
          <c:extLst>
            <c:ext xmlns:c16="http://schemas.microsoft.com/office/drawing/2014/chart" uri="{C3380CC4-5D6E-409C-BE32-E72D297353CC}">
              <c16:uniqueId val="{00000001-0407-48D6-8600-CA357D60CDB4}"/>
            </c:ext>
          </c:extLst>
        </c:ser>
        <c:ser>
          <c:idx val="2"/>
          <c:order val="2"/>
          <c:tx>
            <c:strRef>
              <c:f>Sheet2!$J$25</c:f>
              <c:strCache>
                <c:ptCount val="1"/>
                <c:pt idx="0">
                  <c:v>није уредило организацију</c:v>
                </c:pt>
              </c:strCache>
            </c:strRef>
          </c:tx>
          <c:spPr>
            <a:solidFill>
              <a:schemeClr val="bg1">
                <a:lumMod val="85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Sheet2!$K$22:$P$22</c:f>
              <c:numCache>
                <c:formatCode>General</c:formatCode>
                <c:ptCount val="6"/>
                <c:pt idx="0">
                  <c:v>2018</c:v>
                </c:pt>
                <c:pt idx="1">
                  <c:v>2019</c:v>
                </c:pt>
                <c:pt idx="2">
                  <c:v>2020</c:v>
                </c:pt>
                <c:pt idx="3">
                  <c:v>2021</c:v>
                </c:pt>
                <c:pt idx="4">
                  <c:v>2022</c:v>
                </c:pt>
                <c:pt idx="5">
                  <c:v>2023</c:v>
                </c:pt>
              </c:numCache>
            </c:numRef>
          </c:cat>
          <c:val>
            <c:numRef>
              <c:f>Sheet2!$K$25:$P$25</c:f>
              <c:numCache>
                <c:formatCode>General</c:formatCode>
                <c:ptCount val="6"/>
                <c:pt idx="0">
                  <c:v>0.22</c:v>
                </c:pt>
                <c:pt idx="1">
                  <c:v>0.19</c:v>
                </c:pt>
                <c:pt idx="2">
                  <c:v>0.16</c:v>
                </c:pt>
                <c:pt idx="3">
                  <c:v>0.15</c:v>
                </c:pt>
                <c:pt idx="4">
                  <c:v>0.17</c:v>
                </c:pt>
                <c:pt idx="5">
                  <c:v>0.17</c:v>
                </c:pt>
              </c:numCache>
            </c:numRef>
          </c:val>
          <c:extLst>
            <c:ext xmlns:c16="http://schemas.microsoft.com/office/drawing/2014/chart" uri="{C3380CC4-5D6E-409C-BE32-E72D297353CC}">
              <c16:uniqueId val="{00000002-0407-48D6-8600-CA357D60CDB4}"/>
            </c:ext>
          </c:extLst>
        </c:ser>
        <c:dLbls>
          <c:showLegendKey val="0"/>
          <c:showVal val="0"/>
          <c:showCatName val="0"/>
          <c:showSerName val="0"/>
          <c:showPercent val="0"/>
          <c:showBubbleSize val="0"/>
        </c:dLbls>
        <c:gapWidth val="150"/>
        <c:overlap val="100"/>
        <c:axId val="638845168"/>
        <c:axId val="638845648"/>
      </c:barChart>
      <c:catAx>
        <c:axId val="638845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8845648"/>
        <c:crosses val="autoZero"/>
        <c:auto val="1"/>
        <c:lblAlgn val="ctr"/>
        <c:lblOffset val="100"/>
        <c:noMultiLvlLbl val="0"/>
      </c:catAx>
      <c:valAx>
        <c:axId val="638845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8845168"/>
        <c:crosses val="autoZero"/>
        <c:crossBetween val="between"/>
      </c:valAx>
      <c:spPr>
        <a:noFill/>
        <a:ln>
          <a:noFill/>
        </a:ln>
        <a:effectLst/>
      </c:spPr>
    </c:plotArea>
    <c:legend>
      <c:legendPos val="b"/>
      <c:layout>
        <c:manualLayout>
          <c:xMode val="edge"/>
          <c:yMode val="edge"/>
          <c:x val="2.7441110632276659E-2"/>
          <c:y val="0.85630207988707285"/>
          <c:w val="0.97255888936772339"/>
          <c:h val="0.11656392637767878"/>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8CA1E-2480-43AE-A74A-C0CEA3242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49</Pages>
  <Words>19707</Words>
  <Characters>115386</Characters>
  <Application>Microsoft Office Word</Application>
  <DocSecurity>0</DocSecurity>
  <Lines>961</Lines>
  <Paragraphs>269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Zlatko Petrović</dc:creator>
  <cp:keywords/>
  <dc:description/>
  <cp:lastModifiedBy>Jelena Ljubinkovic</cp:lastModifiedBy>
  <cp:revision>129</cp:revision>
  <cp:lastPrinted>2024-10-16T09:23:00Z</cp:lastPrinted>
  <dcterms:created xsi:type="dcterms:W3CDTF">2024-09-20T07:48:00Z</dcterms:created>
  <dcterms:modified xsi:type="dcterms:W3CDTF">2024-10-17T10:04:00Z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d3671dc005c0672308e93f85147689626daa897e7a2e237d80017c9071b09102</vt:lpwstr>
  </property>
</Properties>
</file>