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1.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0.xml" ContentType="application/vnd.openxmlformats-officedocument.wordprocessingml.header+xml"/>
  <Override PartName="/word/footer13.xml" ContentType="application/vnd.openxmlformats-officedocument.wordprocessingml.footer+xml"/>
  <Override PartName="/word/header11.xml" ContentType="application/vnd.openxmlformats-officedocument.wordprocessingml.header+xml"/>
  <Override PartName="/word/footer14.xml" ContentType="application/vnd.openxmlformats-officedocument.wordprocessingml.footer+xml"/>
  <Override PartName="/word/header12.xml" ContentType="application/vnd.openxmlformats-officedocument.wordprocessingml.header+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4.xml" ContentType="application/vnd.openxmlformats-officedocument.themeOverride+xml"/>
  <Override PartName="/word/drawings/drawing2.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drawings/drawing3.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6.xml" ContentType="application/vnd.openxmlformats-officedocument.themeOverride+xml"/>
  <Override PartName="/word/drawings/drawing4.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7.xml" ContentType="application/vnd.openxmlformats-officedocument.themeOverride+xml"/>
  <Override PartName="/word/drawings/drawing5.xml" ContentType="application/vnd.openxmlformats-officedocument.drawingml.chartshapes+xml"/>
  <Override PartName="/word/charts/chart11.xml" ContentType="application/vnd.openxmlformats-officedocument.drawingml.chart+xml"/>
  <Override PartName="/word/theme/themeOverride8.xml" ContentType="application/vnd.openxmlformats-officedocument.themeOverride+xml"/>
  <Override PartName="/word/drawings/drawing6.xml" ContentType="application/vnd.openxmlformats-officedocument.drawingml.chartshapes+xml"/>
  <Override PartName="/word/charts/chart12.xml" ContentType="application/vnd.openxmlformats-officedocument.drawingml.chart+xml"/>
  <Override PartName="/word/theme/themeOverride9.xml" ContentType="application/vnd.openxmlformats-officedocument.themeOverride+xml"/>
  <Override PartName="/word/drawings/drawing7.xml" ContentType="application/vnd.openxmlformats-officedocument.drawingml.chartshapes+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0.xml" ContentType="application/vnd.openxmlformats-officedocument.themeOverride+xml"/>
  <Override PartName="/word/drawings/drawing8.xml" ContentType="application/vnd.openxmlformats-officedocument.drawingml.chartshapes+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1.xml" ContentType="application/vnd.openxmlformats-officedocument.themeOverride+xml"/>
  <Override PartName="/word/drawings/drawing9.xml" ContentType="application/vnd.openxmlformats-officedocument.drawingml.chartshapes+xml"/>
  <Override PartName="/word/charts/chart15.xml" ContentType="application/vnd.openxmlformats-officedocument.drawingml.chart+xml"/>
  <Override PartName="/word/theme/themeOverride12.xml" ContentType="application/vnd.openxmlformats-officedocument.themeOverride+xml"/>
  <Override PartName="/word/drawings/drawing10.xml" ContentType="application/vnd.openxmlformats-officedocument.drawingml.chartshapes+xml"/>
  <Override PartName="/word/charts/chart16.xml" ContentType="application/vnd.openxmlformats-officedocument.drawingml.chart+xml"/>
  <Override PartName="/word/theme/themeOverride13.xml" ContentType="application/vnd.openxmlformats-officedocument.themeOverride+xml"/>
  <Override PartName="/word/drawings/drawing11.xml" ContentType="application/vnd.openxmlformats-officedocument.drawingml.chartshapes+xml"/>
  <Override PartName="/word/charts/chart17.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4.xml" ContentType="application/vnd.openxmlformats-officedocument.themeOverride+xml"/>
  <Override PartName="/word/charts/chart18.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5.xml" ContentType="application/vnd.openxmlformats-officedocument.themeOverride+xml"/>
  <Override PartName="/word/charts/chart19.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6.xml" ContentType="application/vnd.openxmlformats-officedocument.themeOverride+xml"/>
  <Override PartName="/word/charts/chart20.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7.xml" ContentType="application/vnd.openxmlformats-officedocument.themeOverride+xml"/>
  <Override PartName="/word/charts/chart21.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8.xml" ContentType="application/vnd.openxmlformats-officedocument.themeOverride+xml"/>
  <Override PartName="/word/charts/chart22.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9.xml" ContentType="application/vnd.openxmlformats-officedocument.themeOverride+xml"/>
  <Override PartName="/word/charts/chart23.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20.xml" ContentType="application/vnd.openxmlformats-officedocument.themeOverride+xml"/>
  <Override PartName="/word/charts/chart24.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21.xml" ContentType="application/vnd.openxmlformats-officedocument.themeOverride+xml"/>
  <Override PartName="/word/charts/chart25.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22.xml" ContentType="application/vnd.openxmlformats-officedocument.themeOverride+xml"/>
  <Override PartName="/word/charts/chart26.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23.xml" ContentType="application/vnd.openxmlformats-officedocument.themeOverride+xml"/>
  <Override PartName="/word/charts/chart27.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24.xml" ContentType="application/vnd.openxmlformats-officedocument.themeOverride+xml"/>
  <Override PartName="/word/charts/chart28.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25.xml" ContentType="application/vnd.openxmlformats-officedocument.themeOverride+xml"/>
  <Override PartName="/word/charts/chart29.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6.xml" ContentType="application/vnd.openxmlformats-officedocument.themeOverride+xml"/>
  <Override PartName="/word/charts/chart30.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27.xml" ContentType="application/vnd.openxmlformats-officedocument.themeOverride+xml"/>
  <Override PartName="/word/charts/chart31.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28.xml" ContentType="application/vnd.openxmlformats-officedocument.themeOverride+xml"/>
  <Override PartName="/word/charts/chart32.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29.xml" ContentType="application/vnd.openxmlformats-officedocument.themeOverride+xml"/>
  <Override PartName="/word/charts/chart33.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30.xml" ContentType="application/vnd.openxmlformats-officedocument.themeOverride+xml"/>
  <Override PartName="/word/charts/chart34.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31.xml" ContentType="application/vnd.openxmlformats-officedocument.themeOverride+xml"/>
  <Override PartName="/word/drawings/drawing12.xml" ContentType="application/vnd.openxmlformats-officedocument.drawingml.chartshapes+xml"/>
  <Override PartName="/word/charts/chart35.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32.xml" ContentType="application/vnd.openxmlformats-officedocument.themeOverride+xml"/>
  <Override PartName="/word/charts/chart36.xml" ContentType="application/vnd.openxmlformats-officedocument.drawingml.chart+xml"/>
  <Override PartName="/word/charts/style32.xml" ContentType="application/vnd.ms-office.chartstyle+xml"/>
  <Override PartName="/word/charts/colors32.xml" ContentType="application/vnd.ms-office.chartcolorstyle+xml"/>
  <Override PartName="/word/theme/themeOverride33.xml" ContentType="application/vnd.openxmlformats-officedocument.themeOverride+xml"/>
  <Override PartName="/word/charts/chart37.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34.xml" ContentType="application/vnd.openxmlformats-officedocument.themeOverride+xml"/>
  <Override PartName="/word/charts/chart38.xml" ContentType="application/vnd.openxmlformats-officedocument.drawingml.chart+xml"/>
  <Override PartName="/word/charts/style34.xml" ContentType="application/vnd.ms-office.chartstyle+xml"/>
  <Override PartName="/word/charts/colors34.xml" ContentType="application/vnd.ms-office.chartcolorstyle+xml"/>
  <Override PartName="/word/theme/themeOverride35.xml" ContentType="application/vnd.openxmlformats-officedocument.themeOverride+xml"/>
  <Override PartName="/word/charts/chart39.xml" ContentType="application/vnd.openxmlformats-officedocument.drawingml.chart+xml"/>
  <Override PartName="/word/charts/style35.xml" ContentType="application/vnd.ms-office.chartstyle+xml"/>
  <Override PartName="/word/charts/colors35.xml" ContentType="application/vnd.ms-office.chartcolorstyle+xml"/>
  <Override PartName="/word/theme/themeOverride36.xml" ContentType="application/vnd.openxmlformats-officedocument.themeOverride+xml"/>
  <Override PartName="/word/footer15.xml" ContentType="application/vnd.openxmlformats-officedocument.wordprocessingml.footer+xml"/>
  <Override PartName="/word/header13.xml" ContentType="application/vnd.openxmlformats-officedocument.wordprocessingml.header+xml"/>
  <Override PartName="/word/charts/chart40.xml" ContentType="application/vnd.openxmlformats-officedocument.drawingml.chart+xml"/>
  <Override PartName="/word/charts/style36.xml" ContentType="application/vnd.ms-office.chartstyle+xml"/>
  <Override PartName="/word/charts/colors36.xml" ContentType="application/vnd.ms-office.chartcolorstyle+xml"/>
  <Override PartName="/word/theme/themeOverride37.xml" ContentType="application/vnd.openxmlformats-officedocument.themeOverride+xml"/>
  <Override PartName="/word/drawings/drawing13.xml" ContentType="application/vnd.openxmlformats-officedocument.drawingml.chartshapes+xml"/>
  <Override PartName="/word/charts/chart41.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38.xml" ContentType="application/vnd.openxmlformats-officedocument.themeOverride+xml"/>
  <Override PartName="/word/drawings/drawing14.xml" ContentType="application/vnd.openxmlformats-officedocument.drawingml.chartshapes+xml"/>
  <Override PartName="/word/charts/chart42.xml" ContentType="application/vnd.openxmlformats-officedocument.drawingml.chart+xml"/>
  <Override PartName="/word/charts/style38.xml" ContentType="application/vnd.ms-office.chartstyle+xml"/>
  <Override PartName="/word/charts/colors38.xml" ContentType="application/vnd.ms-office.chartcolorstyle+xml"/>
  <Override PartName="/word/theme/themeOverride39.xml" ContentType="application/vnd.openxmlformats-officedocument.themeOverride+xml"/>
  <Override PartName="/word/charts/chart43.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40.xml" ContentType="application/vnd.openxmlformats-officedocument.themeOverride+xml"/>
  <Override PartName="/word/drawings/drawing15.xml" ContentType="application/vnd.openxmlformats-officedocument.drawingml.chartshapes+xml"/>
  <Override PartName="/word/charts/chart44.xml" ContentType="application/vnd.openxmlformats-officedocument.drawingml.chart+xml"/>
  <Override PartName="/word/charts/style40.xml" ContentType="application/vnd.ms-office.chartstyle+xml"/>
  <Override PartName="/word/charts/colors40.xml" ContentType="application/vnd.ms-office.chartcolorstyle+xml"/>
  <Override PartName="/word/theme/themeOverride41.xml" ContentType="application/vnd.openxmlformats-officedocument.themeOverride+xml"/>
  <Override PartName="/word/charts/chart45.xml" ContentType="application/vnd.openxmlformats-officedocument.drawingml.chart+xml"/>
  <Override PartName="/word/theme/themeOverride42.xml" ContentType="application/vnd.openxmlformats-officedocument.themeOverride+xml"/>
  <Override PartName="/word/drawings/drawing16.xml" ContentType="application/vnd.openxmlformats-officedocument.drawingml.chartshapes+xml"/>
  <Override PartName="/word/charts/chart46.xml" ContentType="application/vnd.openxmlformats-officedocument.drawingml.chart+xml"/>
  <Override PartName="/word/charts/style41.xml" ContentType="application/vnd.ms-office.chartstyle+xml"/>
  <Override PartName="/word/charts/colors41.xml" ContentType="application/vnd.ms-office.chartcolorstyle+xml"/>
  <Override PartName="/word/theme/themeOverride43.xml" ContentType="application/vnd.openxmlformats-officedocument.themeOverride+xml"/>
  <Override PartName="/word/charts/chart47.xml" ContentType="application/vnd.openxmlformats-officedocument.drawingml.chart+xml"/>
  <Override PartName="/word/charts/style42.xml" ContentType="application/vnd.ms-office.chartstyle+xml"/>
  <Override PartName="/word/charts/colors42.xml" ContentType="application/vnd.ms-office.chartcolorstyle+xml"/>
  <Override PartName="/word/theme/themeOverride44.xml" ContentType="application/vnd.openxmlformats-officedocument.themeOverride+xml"/>
  <Override PartName="/word/charts/chart48.xml" ContentType="application/vnd.openxmlformats-officedocument.drawingml.chart+xml"/>
  <Override PartName="/word/charts/style43.xml" ContentType="application/vnd.ms-office.chartstyle+xml"/>
  <Override PartName="/word/charts/colors43.xml" ContentType="application/vnd.ms-office.chartcolorstyle+xml"/>
  <Override PartName="/word/theme/themeOverride45.xml" ContentType="application/vnd.openxmlformats-officedocument.themeOverride+xml"/>
  <Override PartName="/word/charts/chart49.xml" ContentType="application/vnd.openxmlformats-officedocument.drawingml.chart+xml"/>
  <Override PartName="/word/charts/style44.xml" ContentType="application/vnd.ms-office.chartstyle+xml"/>
  <Override PartName="/word/charts/colors44.xml" ContentType="application/vnd.ms-office.chartcolorstyle+xml"/>
  <Override PartName="/word/theme/themeOverride46.xml" ContentType="application/vnd.openxmlformats-officedocument.themeOverride+xml"/>
  <Override PartName="/word/charts/chart50.xml" ContentType="application/vnd.openxmlformats-officedocument.drawingml.chart+xml"/>
  <Override PartName="/word/charts/style45.xml" ContentType="application/vnd.ms-office.chartstyle+xml"/>
  <Override PartName="/word/charts/colors45.xml" ContentType="application/vnd.ms-office.chartcolorstyle+xml"/>
  <Override PartName="/word/theme/themeOverride47.xml" ContentType="application/vnd.openxmlformats-officedocument.themeOverride+xml"/>
  <Override PartName="/word/drawings/drawing17.xml" ContentType="application/vnd.openxmlformats-officedocument.drawingml.chartshapes+xml"/>
  <Override PartName="/word/charts/chart51.xml" ContentType="application/vnd.openxmlformats-officedocument.drawingml.chart+xml"/>
  <Override PartName="/word/charts/style46.xml" ContentType="application/vnd.ms-office.chartstyle+xml"/>
  <Override PartName="/word/charts/colors46.xml" ContentType="application/vnd.ms-office.chartcolorstyle+xml"/>
  <Override PartName="/word/theme/themeOverride48.xml" ContentType="application/vnd.openxmlformats-officedocument.themeOverride+xml"/>
  <Override PartName="/word/drawings/drawing18.xml" ContentType="application/vnd.openxmlformats-officedocument.drawingml.chartshapes+xml"/>
  <Override PartName="/word/charts/chart52.xml" ContentType="application/vnd.openxmlformats-officedocument.drawingml.chart+xml"/>
  <Override PartName="/word/charts/style47.xml" ContentType="application/vnd.ms-office.chartstyle+xml"/>
  <Override PartName="/word/charts/colors47.xml" ContentType="application/vnd.ms-office.chartcolorstyle+xml"/>
  <Override PartName="/word/theme/themeOverride49.xml" ContentType="application/vnd.openxmlformats-officedocument.themeOverride+xml"/>
  <Override PartName="/word/charts/chart53.xml" ContentType="application/vnd.openxmlformats-officedocument.drawingml.chart+xml"/>
  <Override PartName="/word/theme/themeOverride50.xml" ContentType="application/vnd.openxmlformats-officedocument.themeOverride+xml"/>
  <Override PartName="/word/charts/chart54.xml" ContentType="application/vnd.openxmlformats-officedocument.drawingml.chart+xml"/>
  <Override PartName="/word/charts/style48.xml" ContentType="application/vnd.ms-office.chartstyle+xml"/>
  <Override PartName="/word/charts/colors48.xml" ContentType="application/vnd.ms-office.chartcolorstyle+xml"/>
  <Override PartName="/word/theme/themeOverride51.xml" ContentType="application/vnd.openxmlformats-officedocument.themeOverride+xml"/>
  <Override PartName="/word/drawings/drawing19.xml" ContentType="application/vnd.openxmlformats-officedocument.drawingml.chartshapes+xml"/>
  <Override PartName="/word/charts/chart55.xml" ContentType="application/vnd.openxmlformats-officedocument.drawingml.chart+xml"/>
  <Override PartName="/word/charts/style49.xml" ContentType="application/vnd.ms-office.chartstyle+xml"/>
  <Override PartName="/word/charts/colors49.xml" ContentType="application/vnd.ms-office.chartcolorstyle+xml"/>
  <Override PartName="/word/drawings/drawing20.xml" ContentType="application/vnd.openxmlformats-officedocument.drawingml.chartshapes+xml"/>
  <Override PartName="/word/footer16.xml" ContentType="application/vnd.openxmlformats-officedocument.wordprocessingml.footer+xml"/>
  <Override PartName="/word/header14.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charts/chart56.xml" ContentType="application/vnd.openxmlformats-officedocument.drawingml.chart+xml"/>
  <Override PartName="/word/charts/style50.xml" ContentType="application/vnd.ms-office.chartstyle+xml"/>
  <Override PartName="/word/charts/colors50.xml" ContentType="application/vnd.ms-office.chartcolorstyle+xml"/>
  <Override PartName="/word/theme/themeOverride52.xml" ContentType="application/vnd.openxmlformats-officedocument.themeOverride+xml"/>
  <Override PartName="/word/header24.xml" ContentType="application/vnd.openxmlformats-officedocument.wordprocessingml.header+xml"/>
  <Override PartName="/word/header25.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0.xml" ContentType="application/vnd.openxmlformats-officedocument.wordprocessingml.header+xml"/>
  <Override PartName="/word/charts/chart57.xml" ContentType="application/vnd.openxmlformats-officedocument.drawingml.chart+xml"/>
  <Override PartName="/word/charts/style51.xml" ContentType="application/vnd.ms-office.chartstyle+xml"/>
  <Override PartName="/word/charts/colors51.xml" ContentType="application/vnd.ms-office.chartcolorstyle+xml"/>
  <Override PartName="/word/theme/themeOverride53.xml" ContentType="application/vnd.openxmlformats-officedocument.themeOverride+xml"/>
  <Override PartName="/word/drawings/drawing21.xml" ContentType="application/vnd.openxmlformats-officedocument.drawingml.chartshapes+xml"/>
  <Override PartName="/word/charts/chart58.xml" ContentType="application/vnd.openxmlformats-officedocument.drawingml.chart+xml"/>
  <Override PartName="/word/charts/style52.xml" ContentType="application/vnd.ms-office.chartstyle+xml"/>
  <Override PartName="/word/charts/colors52.xml" ContentType="application/vnd.ms-office.chartcolorstyle+xml"/>
  <Override PartName="/word/theme/themeOverride54.xml" ContentType="application/vnd.openxmlformats-officedocument.themeOverride+xml"/>
  <Override PartName="/word/drawings/drawing22.xml" ContentType="application/vnd.openxmlformats-officedocument.drawingml.chartshapes+xml"/>
  <Override PartName="/word/charts/chart59.xml" ContentType="application/vnd.openxmlformats-officedocument.drawingml.chart+xml"/>
  <Override PartName="/word/charts/style53.xml" ContentType="application/vnd.ms-office.chartstyle+xml"/>
  <Override PartName="/word/charts/colors53.xml" ContentType="application/vnd.ms-office.chartcolorstyle+xml"/>
  <Override PartName="/word/theme/themeOverride55.xml" ContentType="application/vnd.openxmlformats-officedocument.themeOverride+xml"/>
  <Override PartName="/word/header31.xml" ContentType="application/vnd.openxmlformats-officedocument.wordprocessingml.header+xml"/>
  <Override PartName="/word/header32.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5.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6.xml" ContentType="application/vnd.openxmlformats-officedocument.wordprocessingml.header+xml"/>
  <Override PartName="/word/charts/chart60.xml" ContentType="application/vnd.openxmlformats-officedocument.drawingml.chart+xml"/>
  <Override PartName="/word/theme/themeOverride56.xml" ContentType="application/vnd.openxmlformats-officedocument.themeOverride+xml"/>
  <Override PartName="/word/drawings/drawing23.xml" ContentType="application/vnd.openxmlformats-officedocument.drawingml.chartshapes+xml"/>
  <Override PartName="/word/header37.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0.xml" ContentType="application/vnd.openxmlformats-officedocument.wordprocessingml.header+xml"/>
  <Override PartName="/word/charts/chart61.xml" ContentType="application/vnd.openxmlformats-officedocument.drawingml.chart+xml"/>
  <Override PartName="/word/charts/style54.xml" ContentType="application/vnd.ms-office.chartstyle+xml"/>
  <Override PartName="/word/charts/colors54.xml" ContentType="application/vnd.ms-office.chartcolorstyle+xml"/>
  <Override PartName="/word/theme/themeOverride57.xml" ContentType="application/vnd.openxmlformats-officedocument.themeOverride+xml"/>
  <Override PartName="/word/header41.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4.xml" ContentType="application/vnd.openxmlformats-officedocument.wordprocessingml.header+xml"/>
  <Override PartName="/word/charts/chart62.xml" ContentType="application/vnd.openxmlformats-officedocument.drawingml.chart+xml"/>
  <Override PartName="/word/charts/style55.xml" ContentType="application/vnd.ms-office.chartstyle+xml"/>
  <Override PartName="/word/charts/colors55.xml" ContentType="application/vnd.ms-office.chartcolorstyle+xml"/>
  <Override PartName="/word/theme/themeOverride58.xml" ContentType="application/vnd.openxmlformats-officedocument.themeOverride+xml"/>
  <Override PartName="/word/charts/chart63.xml" ContentType="application/vnd.openxmlformats-officedocument.drawingml.chart+xml"/>
  <Override PartName="/word/charts/style56.xml" ContentType="application/vnd.ms-office.chartstyle+xml"/>
  <Override PartName="/word/charts/colors56.xml" ContentType="application/vnd.ms-office.chartcolorstyle+xml"/>
  <Override PartName="/word/theme/themeOverride59.xml" ContentType="application/vnd.openxmlformats-officedocument.themeOverride+xml"/>
  <Override PartName="/word/charts/chart64.xml" ContentType="application/vnd.openxmlformats-officedocument.drawingml.chart+xml"/>
  <Override PartName="/word/charts/style57.xml" ContentType="application/vnd.ms-office.chartstyle+xml"/>
  <Override PartName="/word/charts/colors57.xml" ContentType="application/vnd.ms-office.chartcolorstyle+xml"/>
  <Override PartName="/word/theme/themeOverride60.xml" ContentType="application/vnd.openxmlformats-officedocument.themeOverride+xml"/>
  <Override PartName="/word/drawings/drawing24.xml" ContentType="application/vnd.openxmlformats-officedocument.drawingml.chartshapes+xml"/>
  <Override PartName="/word/charts/chart65.xml" ContentType="application/vnd.openxmlformats-officedocument.drawingml.chart+xml"/>
  <Override PartName="/word/charts/style58.xml" ContentType="application/vnd.ms-office.chartstyle+xml"/>
  <Override PartName="/word/charts/colors58.xml" ContentType="application/vnd.ms-office.chartcolorstyle+xml"/>
  <Override PartName="/word/theme/themeOverride61.xml" ContentType="application/vnd.openxmlformats-officedocument.themeOverride+xml"/>
  <Override PartName="/word/header45.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6.xml" ContentType="application/vnd.openxmlformats-officedocument.wordprocessingml.header+xml"/>
  <Override PartName="/word/charts/chart66.xml" ContentType="application/vnd.openxmlformats-officedocument.drawingml.chart+xml"/>
  <Override PartName="/word/charts/style59.xml" ContentType="application/vnd.ms-office.chartstyle+xml"/>
  <Override PartName="/word/charts/colors59.xml" ContentType="application/vnd.ms-office.chartcolorstyle+xml"/>
  <Override PartName="/word/theme/themeOverride62.xml" ContentType="application/vnd.openxmlformats-officedocument.themeOverride+xml"/>
  <Override PartName="/word/drawings/drawing25.xml" ContentType="application/vnd.openxmlformats-officedocument.drawingml.chartshapes+xml"/>
  <Override PartName="/word/charts/chart67.xml" ContentType="application/vnd.openxmlformats-officedocument.drawingml.chart+xml"/>
  <Override PartName="/word/charts/style60.xml" ContentType="application/vnd.ms-office.chartstyle+xml"/>
  <Override PartName="/word/charts/colors60.xml" ContentType="application/vnd.ms-office.chartcolorstyle+xml"/>
  <Override PartName="/word/theme/themeOverride63.xml" ContentType="application/vnd.openxmlformats-officedocument.themeOverride+xml"/>
  <Override PartName="/word/drawings/drawing26.xml" ContentType="application/vnd.openxmlformats-officedocument.drawingml.chartshapes+xml"/>
  <Override PartName="/word/charts/chart68.xml" ContentType="application/vnd.openxmlformats-officedocument.drawingml.chart+xml"/>
  <Override PartName="/word/theme/themeOverride64.xml" ContentType="application/vnd.openxmlformats-officedocument.themeOverride+xml"/>
  <Override PartName="/word/drawings/drawing27.xml" ContentType="application/vnd.openxmlformats-officedocument.drawingml.chartshapes+xml"/>
  <Override PartName="/word/header47.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50.xml" ContentType="application/vnd.openxmlformats-officedocument.wordprocessingml.header+xml"/>
  <Override PartName="/word/charts/chart69.xml" ContentType="application/vnd.openxmlformats-officedocument.drawingml.chart+xml"/>
  <Override PartName="/word/charts/style61.xml" ContentType="application/vnd.ms-office.chartstyle+xml"/>
  <Override PartName="/word/charts/colors61.xml" ContentType="application/vnd.ms-office.chartcolorstyle+xml"/>
  <Override PartName="/word/theme/themeOverride65.xml" ContentType="application/vnd.openxmlformats-officedocument.themeOverride+xml"/>
  <Override PartName="/word/charts/chart70.xml" ContentType="application/vnd.openxmlformats-officedocument.drawingml.chart+xml"/>
  <Override PartName="/word/charts/style62.xml" ContentType="application/vnd.ms-office.chartstyle+xml"/>
  <Override PartName="/word/charts/colors62.xml" ContentType="application/vnd.ms-office.chartcolorstyle+xml"/>
  <Override PartName="/word/theme/themeOverride66.xml" ContentType="application/vnd.openxmlformats-officedocument.themeOverride+xml"/>
  <Override PartName="/word/charts/chart71.xml" ContentType="application/vnd.openxmlformats-officedocument.drawingml.chart+xml"/>
  <Override PartName="/word/charts/style63.xml" ContentType="application/vnd.ms-office.chartstyle+xml"/>
  <Override PartName="/word/charts/colors63.xml" ContentType="application/vnd.ms-office.chartcolorstyle+xml"/>
  <Override PartName="/word/theme/themeOverride67.xml" ContentType="application/vnd.openxmlformats-officedocument.themeOverride+xml"/>
  <Override PartName="/word/drawings/drawing28.xml" ContentType="application/vnd.openxmlformats-officedocument.drawingml.chartshapes+xml"/>
  <Override PartName="/word/charts/chart72.xml" ContentType="application/vnd.openxmlformats-officedocument.drawingml.chart+xml"/>
  <Override PartName="/word/theme/themeOverride68.xml" ContentType="application/vnd.openxmlformats-officedocument.themeOverride+xml"/>
  <Override PartName="/word/charts/chart73.xml" ContentType="application/vnd.openxmlformats-officedocument.drawingml.chart+xml"/>
  <Override PartName="/word/theme/themeOverride69.xml" ContentType="application/vnd.openxmlformats-officedocument.themeOverride+xml"/>
  <Override PartName="/word/charts/chart74.xml" ContentType="application/vnd.openxmlformats-officedocument.drawingml.chart+xml"/>
  <Override PartName="/word/theme/themeOverride70.xml" ContentType="application/vnd.openxmlformats-officedocument.themeOverride+xml"/>
  <Override PartName="/word/header51.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charts/chart75.xml" ContentType="application/vnd.openxmlformats-officedocument.drawingml.chart+xml"/>
  <Override PartName="/word/theme/themeOverride71.xml" ContentType="application/vnd.openxmlformats-officedocument.themeOverride+xml"/>
  <Override PartName="/word/charts/chart76.xml" ContentType="application/vnd.openxmlformats-officedocument.drawingml.chart+xml"/>
  <Override PartName="/word/theme/themeOverride72.xml" ContentType="application/vnd.openxmlformats-officedocument.themeOverride+xml"/>
  <Override PartName="/word/charts/chart77.xml" ContentType="application/vnd.openxmlformats-officedocument.drawingml.chart+xml"/>
  <Override PartName="/word/charts/style64.xml" ContentType="application/vnd.ms-office.chartstyle+xml"/>
  <Override PartName="/word/charts/colors64.xml" ContentType="application/vnd.ms-office.chartcolorstyle+xml"/>
  <Override PartName="/word/theme/themeOverride73.xml" ContentType="application/vnd.openxmlformats-officedocument.themeOverride+xml"/>
  <Override PartName="/word/footer55.xml" ContentType="application/vnd.openxmlformats-officedocument.wordprocessingml.footer+xml"/>
  <Override PartName="/word/header52.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5E259F" w14:textId="20532134" w:rsidR="00724929" w:rsidRPr="00671E8F" w:rsidRDefault="00724929" w:rsidP="003C3685">
      <w:pPr>
        <w:spacing w:before="240"/>
        <w:ind w:firstLine="720"/>
        <w:rPr>
          <w:rFonts w:cstheme="minorHAnsi"/>
          <w:sz w:val="48"/>
          <w:szCs w:val="64"/>
        </w:rPr>
      </w:pPr>
      <w:r w:rsidRPr="00671E8F">
        <w:rPr>
          <w:rFonts w:ascii="Calibri" w:eastAsia="Calibri" w:hAnsi="Calibri" w:cs="Calibri"/>
          <w:bCs/>
          <w:szCs w:val="72"/>
        </w:rPr>
        <w:t>На основу члана 27в став 1. и члана 31. став 1. тачка 1) подтач</w:t>
      </w:r>
      <w:r w:rsidR="00F73643" w:rsidRPr="00671E8F">
        <w:rPr>
          <w:rFonts w:ascii="Calibri" w:eastAsia="Calibri" w:hAnsi="Calibri" w:cs="Calibri"/>
          <w:bCs/>
          <w:szCs w:val="72"/>
        </w:rPr>
        <w:t>.</w:t>
      </w:r>
      <w:r w:rsidRPr="00671E8F">
        <w:rPr>
          <w:rFonts w:ascii="Calibri" w:eastAsia="Calibri" w:hAnsi="Calibri" w:cs="Calibri"/>
          <w:bCs/>
          <w:szCs w:val="72"/>
        </w:rPr>
        <w:t xml:space="preserve"> (</w:t>
      </w:r>
      <w:r w:rsidR="00C04B30" w:rsidRPr="00671E8F">
        <w:rPr>
          <w:rFonts w:ascii="Calibri" w:eastAsia="Calibri" w:hAnsi="Calibri" w:cs="Calibri"/>
          <w:bCs/>
          <w:szCs w:val="72"/>
        </w:rPr>
        <w:t>12</w:t>
      </w:r>
      <w:r w:rsidRPr="00671E8F">
        <w:rPr>
          <w:rFonts w:ascii="Calibri" w:eastAsia="Calibri" w:hAnsi="Calibri" w:cs="Calibri"/>
          <w:bCs/>
          <w:szCs w:val="72"/>
        </w:rPr>
        <w:t xml:space="preserve">) </w:t>
      </w:r>
      <w:r w:rsidR="00C04B30" w:rsidRPr="00671E8F">
        <w:rPr>
          <w:rFonts w:ascii="Calibri" w:eastAsia="Calibri" w:hAnsi="Calibri" w:cs="Calibri"/>
          <w:bCs/>
          <w:szCs w:val="72"/>
        </w:rPr>
        <w:t xml:space="preserve">и (13) </w:t>
      </w:r>
      <w:r w:rsidRPr="00671E8F">
        <w:rPr>
          <w:rFonts w:ascii="Calibri" w:eastAsia="Calibri" w:hAnsi="Calibri" w:cs="Calibri"/>
          <w:bCs/>
          <w:szCs w:val="72"/>
        </w:rPr>
        <w:t>Закона о буџетском систему („Службени гласник РС”, бр. 54/09, 73/10, 101/10, 101/11, 93/12, 62/13, 63/13 – исправка, 108/13, 142/14, 68/15 – др. закон, 103/15, 99/16, 113/17, 95/18, 31/19, 72/19, 149/20, 118/21, 118/21 – др. закон, 138/22</w:t>
      </w:r>
      <w:r w:rsidRPr="00671E8F">
        <w:t xml:space="preserve"> </w:t>
      </w:r>
      <w:r w:rsidRPr="00671E8F">
        <w:rPr>
          <w:rFonts w:ascii="Calibri" w:eastAsia="Calibri" w:hAnsi="Calibri" w:cs="Calibri"/>
          <w:bCs/>
          <w:szCs w:val="72"/>
        </w:rPr>
        <w:t>и 92/23)</w:t>
      </w:r>
      <w:r w:rsidRPr="00671E8F">
        <w:rPr>
          <w:rFonts w:cstheme="minorHAnsi"/>
          <w:bCs/>
          <w:szCs w:val="72"/>
        </w:rPr>
        <w:t>,</w:t>
      </w:r>
    </w:p>
    <w:p w14:paraId="75D6330E" w14:textId="77777777" w:rsidR="00724929" w:rsidRPr="00671E8F" w:rsidRDefault="00724929" w:rsidP="003C3685">
      <w:pPr>
        <w:ind w:firstLine="720"/>
        <w:rPr>
          <w:rFonts w:cstheme="minorHAnsi"/>
          <w:bCs/>
          <w:szCs w:val="72"/>
        </w:rPr>
      </w:pPr>
      <w:r w:rsidRPr="00671E8F">
        <w:rPr>
          <w:rFonts w:cstheme="minorHAnsi"/>
          <w:bCs/>
          <w:szCs w:val="72"/>
        </w:rPr>
        <w:t>Влада усваја</w:t>
      </w:r>
    </w:p>
    <w:p w14:paraId="35718850" w14:textId="77777777" w:rsidR="00724929" w:rsidRPr="00671E8F" w:rsidRDefault="00724929" w:rsidP="008420D4">
      <w:pPr>
        <w:spacing w:after="0" w:line="240" w:lineRule="auto"/>
        <w:jc w:val="center"/>
        <w:rPr>
          <w:rFonts w:cstheme="minorHAnsi"/>
          <w:b/>
          <w:bCs/>
          <w:sz w:val="26"/>
          <w:szCs w:val="26"/>
        </w:rPr>
      </w:pPr>
      <w:r w:rsidRPr="00671E8F">
        <w:rPr>
          <w:rFonts w:cstheme="minorHAnsi"/>
          <w:b/>
          <w:bCs/>
          <w:sz w:val="26"/>
          <w:szCs w:val="26"/>
        </w:rPr>
        <w:t>РЕВИДИРАНУ ФИСКАЛНУ СТРАТЕГИЈУ</w:t>
      </w:r>
    </w:p>
    <w:p w14:paraId="5F873203" w14:textId="77777777" w:rsidR="00724929" w:rsidRPr="00671E8F" w:rsidRDefault="00724929" w:rsidP="008420D4">
      <w:pPr>
        <w:spacing w:after="0" w:line="240" w:lineRule="auto"/>
        <w:jc w:val="center"/>
        <w:rPr>
          <w:rFonts w:cstheme="minorHAnsi"/>
          <w:b/>
          <w:bCs/>
          <w:sz w:val="26"/>
          <w:szCs w:val="26"/>
        </w:rPr>
      </w:pPr>
      <w:r w:rsidRPr="00671E8F">
        <w:rPr>
          <w:rFonts w:cstheme="minorHAnsi"/>
          <w:b/>
          <w:bCs/>
          <w:sz w:val="26"/>
          <w:szCs w:val="26"/>
        </w:rPr>
        <w:t>ЗА 2025. ГОДИНУ СА ПРОЈЕКЦИЈАМА ЗА 2026. И 2027. ГОДИНУ</w:t>
      </w:r>
    </w:p>
    <w:p w14:paraId="60968BD5" w14:textId="77777777" w:rsidR="00724929" w:rsidRPr="00671E8F" w:rsidRDefault="00724929" w:rsidP="008420D4">
      <w:pPr>
        <w:spacing w:after="0" w:line="240" w:lineRule="auto"/>
        <w:jc w:val="center"/>
        <w:rPr>
          <w:rFonts w:cstheme="minorHAnsi"/>
          <w:b/>
          <w:bCs/>
          <w:sz w:val="24"/>
          <w:szCs w:val="72"/>
        </w:rPr>
      </w:pPr>
    </w:p>
    <w:p w14:paraId="0A7F560E" w14:textId="77777777" w:rsidR="00724929" w:rsidRPr="00671E8F" w:rsidRDefault="00724929" w:rsidP="00D20C27">
      <w:pPr>
        <w:pStyle w:val="Heading1"/>
        <w:jc w:val="center"/>
        <w:rPr>
          <w:rFonts w:asciiTheme="minorHAnsi" w:hAnsiTheme="minorHAnsi" w:cstheme="minorHAnsi"/>
          <w:b/>
          <w:sz w:val="26"/>
          <w:szCs w:val="26"/>
        </w:rPr>
      </w:pPr>
      <w:bookmarkStart w:id="0" w:name="_Toc146277910"/>
      <w:bookmarkStart w:id="1" w:name="_Toc148431263"/>
      <w:bookmarkStart w:id="2" w:name="_Toc181190962"/>
      <w:r w:rsidRPr="00671E8F">
        <w:rPr>
          <w:rFonts w:asciiTheme="minorHAnsi" w:hAnsiTheme="minorHAnsi" w:cstheme="minorHAnsi"/>
          <w:b/>
          <w:sz w:val="26"/>
          <w:szCs w:val="26"/>
        </w:rPr>
        <w:t>I. МАКРОЕКОНОМСКИ ОКВИР ЗА ПЕРИОД ОД 2025. ДО 2027. ГОДИНЕ</w:t>
      </w:r>
      <w:bookmarkEnd w:id="0"/>
      <w:bookmarkEnd w:id="1"/>
      <w:bookmarkEnd w:id="2"/>
    </w:p>
    <w:p w14:paraId="52150B3C" w14:textId="77777777" w:rsidR="00724929" w:rsidRPr="00671E8F" w:rsidRDefault="00724929" w:rsidP="00087CD9">
      <w:pPr>
        <w:spacing w:after="120"/>
        <w:jc w:val="center"/>
        <w:rPr>
          <w:rFonts w:cstheme="minorHAnsi"/>
          <w:color w:val="2F5496" w:themeColor="accent1" w:themeShade="BF"/>
          <w:sz w:val="18"/>
        </w:rPr>
      </w:pPr>
    </w:p>
    <w:p w14:paraId="0C5CE6D3" w14:textId="77777777" w:rsidR="00724929" w:rsidRPr="00671E8F" w:rsidRDefault="00724929" w:rsidP="00D20C27">
      <w:pPr>
        <w:pStyle w:val="Heading2"/>
        <w:jc w:val="center"/>
        <w:rPr>
          <w:rFonts w:asciiTheme="minorHAnsi" w:hAnsiTheme="minorHAnsi" w:cstheme="minorHAnsi"/>
          <w:b/>
          <w:sz w:val="24"/>
        </w:rPr>
      </w:pPr>
      <w:bookmarkStart w:id="3" w:name="_Toc146277911"/>
      <w:bookmarkStart w:id="4" w:name="_Toc148431264"/>
      <w:bookmarkStart w:id="5" w:name="_Toc181190963"/>
      <w:r w:rsidRPr="00671E8F">
        <w:rPr>
          <w:rFonts w:asciiTheme="minorHAnsi" w:hAnsiTheme="minorHAnsi" w:cstheme="minorHAnsi"/>
          <w:b/>
          <w:sz w:val="22"/>
        </w:rPr>
        <w:t xml:space="preserve">1. </w:t>
      </w:r>
      <w:r w:rsidRPr="00671E8F">
        <w:rPr>
          <w:rFonts w:asciiTheme="minorHAnsi" w:hAnsiTheme="minorHAnsi" w:cstheme="minorHAnsi"/>
          <w:b/>
          <w:sz w:val="24"/>
        </w:rPr>
        <w:t>Општи оквир и главни циљеви и смернице економске политике</w:t>
      </w:r>
      <w:bookmarkEnd w:id="3"/>
      <w:bookmarkEnd w:id="4"/>
      <w:bookmarkEnd w:id="5"/>
    </w:p>
    <w:p w14:paraId="630FE0F3" w14:textId="77777777" w:rsidR="00724929" w:rsidRPr="00671E8F" w:rsidRDefault="00724929" w:rsidP="000E0EDA">
      <w:pPr>
        <w:rPr>
          <w:rFonts w:cstheme="minorHAnsi"/>
          <w:color w:val="auto"/>
          <w:sz w:val="18"/>
          <w:highlight w:val="darkGray"/>
        </w:rPr>
      </w:pPr>
    </w:p>
    <w:p w14:paraId="7335C23C" w14:textId="77777777" w:rsidR="00724929" w:rsidRPr="00671E8F" w:rsidRDefault="00724929" w:rsidP="000E0EDA">
      <w:pPr>
        <w:rPr>
          <w:rFonts w:cstheme="minorHAnsi"/>
          <w:color w:val="auto"/>
          <w:sz w:val="18"/>
          <w:highlight w:val="darkGray"/>
        </w:rPr>
        <w:sectPr w:rsidR="00724929" w:rsidRPr="00671E8F" w:rsidSect="00E80636">
          <w:footerReference w:type="default" r:id="rId8"/>
          <w:headerReference w:type="first" r:id="rId9"/>
          <w:pgSz w:w="12240" w:h="15840" w:code="1"/>
          <w:pgMar w:top="1440" w:right="1440" w:bottom="1440" w:left="1440" w:header="720" w:footer="720" w:gutter="0"/>
          <w:pgNumType w:start="1"/>
          <w:cols w:space="720"/>
          <w:titlePg/>
          <w:docGrid w:linePitch="360"/>
        </w:sectPr>
      </w:pPr>
    </w:p>
    <w:p w14:paraId="70697094" w14:textId="04B67AB3" w:rsidR="00724929" w:rsidRPr="00671E8F" w:rsidRDefault="00724929" w:rsidP="000E0EDA">
      <w:pPr>
        <w:rPr>
          <w:rFonts w:ascii="Calibri" w:eastAsia="Calibri" w:hAnsi="Calibri" w:cs="Calibri"/>
          <w:bCs/>
          <w:color w:val="0070C0"/>
          <w:szCs w:val="72"/>
        </w:rPr>
      </w:pPr>
      <w:r w:rsidRPr="00671E8F">
        <w:rPr>
          <w:rFonts w:ascii="Calibri" w:eastAsia="Calibri" w:hAnsi="Calibri" w:cs="Calibri"/>
          <w:b/>
          <w:bCs/>
          <w:color w:val="0070C0"/>
          <w:szCs w:val="72"/>
        </w:rPr>
        <w:t>Привредна активност у Србији показала је довољну отпорност и поред изазовног глобалног и регионалног окружења.</w:t>
      </w:r>
      <w:r w:rsidR="003272A7" w:rsidRPr="00671E8F">
        <w:rPr>
          <w:rFonts w:ascii="Calibri" w:eastAsia="Calibri" w:hAnsi="Calibri" w:cs="Calibri"/>
          <w:bCs/>
          <w:color w:val="0070C0"/>
          <w:szCs w:val="72"/>
        </w:rPr>
        <w:t xml:space="preserve"> Кумулативни раст бруто домаћег производа (у даљем тексту: БДП) </w:t>
      </w:r>
      <w:r w:rsidRPr="00671E8F">
        <w:rPr>
          <w:rFonts w:ascii="Calibri" w:eastAsia="Calibri" w:hAnsi="Calibri" w:cs="Calibri"/>
          <w:bCs/>
          <w:color w:val="0070C0"/>
          <w:szCs w:val="72"/>
        </w:rPr>
        <w:t>од 18,3% у периоду од 2020. до 2024. године у великој мери је подржан домаћом тражњом, инвестицијама у кључне инфраструктурне секторе и стабилизацијом инфлације, која се сада налази у оквиру циљаног опсега Народне банке Србије. Макроекономска кретања у 2024.</w:t>
      </w:r>
      <w:r w:rsidR="005C233B" w:rsidRPr="00671E8F">
        <w:rPr>
          <w:rFonts w:ascii="Calibri" w:eastAsia="Calibri" w:hAnsi="Calibri" w:cs="Calibri"/>
          <w:bCs/>
          <w:color w:val="0070C0"/>
          <w:szCs w:val="72"/>
        </w:rPr>
        <w:t xml:space="preserve"> години</w:t>
      </w:r>
      <w:r w:rsidRPr="00671E8F">
        <w:rPr>
          <w:rFonts w:ascii="Calibri" w:eastAsia="Calibri" w:hAnsi="Calibri" w:cs="Calibri"/>
          <w:bCs/>
          <w:color w:val="0070C0"/>
          <w:szCs w:val="72"/>
        </w:rPr>
        <w:t xml:space="preserve"> у складу су са проценама представљеним у пролећној Фискалној стратегији. Према прелиминарним п</w:t>
      </w:r>
      <w:r w:rsidR="00EE4782" w:rsidRPr="00671E8F">
        <w:rPr>
          <w:rFonts w:ascii="Calibri" w:eastAsia="Calibri" w:hAnsi="Calibri" w:cs="Calibri"/>
          <w:bCs/>
          <w:color w:val="0070C0"/>
          <w:szCs w:val="72"/>
        </w:rPr>
        <w:t>роценама</w:t>
      </w:r>
      <w:r w:rsidRPr="00671E8F">
        <w:rPr>
          <w:rFonts w:ascii="Calibri" w:eastAsia="Calibri" w:hAnsi="Calibri" w:cs="Calibri"/>
          <w:bCs/>
          <w:color w:val="0070C0"/>
          <w:szCs w:val="72"/>
        </w:rPr>
        <w:t xml:space="preserve">, привредни раст у 2024. години износиће 3,8%, тржиште рада је стабилно, а инфлација је на опадајућој путањи. </w:t>
      </w:r>
    </w:p>
    <w:p w14:paraId="1810D67A" w14:textId="1F681290" w:rsidR="00724929" w:rsidRPr="00671E8F" w:rsidRDefault="00724929" w:rsidP="000E0EDA">
      <w:pPr>
        <w:rPr>
          <w:rFonts w:ascii="Calibri" w:eastAsia="Calibri" w:hAnsi="Calibri" w:cs="Calibri"/>
          <w:bCs/>
          <w:color w:val="0070C0"/>
          <w:szCs w:val="72"/>
        </w:rPr>
      </w:pPr>
      <w:r w:rsidRPr="00671E8F">
        <w:rPr>
          <w:rFonts w:ascii="Calibri" w:eastAsia="Calibri" w:hAnsi="Calibri" w:cs="Calibri"/>
          <w:b/>
          <w:bCs/>
          <w:color w:val="0070C0"/>
          <w:szCs w:val="72"/>
        </w:rPr>
        <w:t>Главни приоритет Владе Републике Србије остаје одржавање макроекономске стабилности, уз стварање услова за динамичнији економски развој у будућности.</w:t>
      </w:r>
      <w:r w:rsidRPr="00671E8F">
        <w:rPr>
          <w:rFonts w:ascii="Calibri" w:eastAsia="Calibri" w:hAnsi="Calibri" w:cs="Calibri"/>
          <w:bCs/>
          <w:color w:val="0070C0"/>
          <w:szCs w:val="72"/>
        </w:rPr>
        <w:t xml:space="preserve"> Овај циљ се остварује кроз стратешка јавна улагања у инфраструктуру, модернизацију индустрије и транзицију ка зеленој економији. Упркос изазовима и израженој глобалној фрагментацији, Србија је успела да очува макроекономску стабилност захваљујући диверсификацији производње и извоза и значајном приливу страних директних инвестиција</w:t>
      </w:r>
      <w:r w:rsidR="00ED41DC" w:rsidRPr="00671E8F">
        <w:rPr>
          <w:rFonts w:ascii="Calibri" w:eastAsia="Calibri" w:hAnsi="Calibri" w:cs="Calibri"/>
          <w:bCs/>
          <w:color w:val="0070C0"/>
          <w:szCs w:val="72"/>
        </w:rPr>
        <w:t xml:space="preserve"> (у даљем тексту: СДИ)</w:t>
      </w:r>
      <w:r w:rsidRPr="00671E8F">
        <w:rPr>
          <w:rFonts w:ascii="Calibri" w:eastAsia="Calibri" w:hAnsi="Calibri" w:cs="Calibri"/>
          <w:bCs/>
          <w:color w:val="0070C0"/>
          <w:szCs w:val="72"/>
        </w:rPr>
        <w:t>. Финансијски систем Србије је сигуран, са инвестиционим кредитним рејтингом, уз значајне заштитне механизме, укључујући високе девизне резерве, депозите јавног сектора и низак јавни дуг у поређењу са европским просеком.</w:t>
      </w:r>
    </w:p>
    <w:p w14:paraId="5900D1C6" w14:textId="04CF19ED" w:rsidR="00724929" w:rsidRPr="00671E8F" w:rsidRDefault="00724929">
      <w:pPr>
        <w:rPr>
          <w:rFonts w:ascii="Calibri" w:eastAsia="Calibri" w:hAnsi="Calibri" w:cs="Calibri"/>
          <w:bCs/>
          <w:i/>
          <w:color w:val="0070C0"/>
          <w:szCs w:val="72"/>
        </w:rPr>
      </w:pPr>
      <w:r w:rsidRPr="00671E8F">
        <w:rPr>
          <w:rFonts w:ascii="Calibri" w:eastAsia="Calibri" w:hAnsi="Calibri" w:cs="Calibri"/>
          <w:b/>
          <w:bCs/>
          <w:color w:val="0070C0"/>
          <w:szCs w:val="72"/>
        </w:rPr>
        <w:t>У средњем року очекујемо убрзање раста</w:t>
      </w:r>
      <w:r w:rsidRPr="00671E8F">
        <w:rPr>
          <w:rFonts w:ascii="Calibri" w:eastAsia="Calibri" w:hAnsi="Calibri" w:cs="Calibri"/>
          <w:bCs/>
          <w:color w:val="0070C0"/>
          <w:szCs w:val="72"/>
        </w:rPr>
        <w:t>. Основни сценарио макроекономских кретања предвиђа просечни годишњи раст привреде од 4,4%. Према средњорочној макроекономској пројекцији кумулативна стопа раста у периоду од 2025. до 2027. године износиће 13,7%. Раст ће бити вођен домаћом тражњом. Даљи раст запослености и зарада подржаће приватну потрошњу, док ће инвестициони раст бити подстакнут реализацијом пројеката у секторима транспорта, енергетике и комуналне инфраструктуре. Значајне јавне инвестиције предвиђене су програмом „</w:t>
      </w:r>
      <w:r w:rsidRPr="00671E8F">
        <w:rPr>
          <w:rFonts w:ascii="Calibri" w:eastAsia="Calibri" w:hAnsi="Calibri" w:cs="Calibri"/>
          <w:bCs/>
          <w:i/>
          <w:color w:val="0070C0"/>
          <w:szCs w:val="72"/>
        </w:rPr>
        <w:t>Скок у будућност – Србија 2027</w:t>
      </w:r>
      <w:r w:rsidRPr="00671E8F">
        <w:rPr>
          <w:rFonts w:ascii="Calibri" w:eastAsia="Calibri" w:hAnsi="Calibri" w:cs="Calibri"/>
          <w:bCs/>
          <w:color w:val="0070C0"/>
          <w:szCs w:val="72"/>
        </w:rPr>
        <w:t>” посебно уочи домаћинства Специјализованој светској изложби 2027. године са темом „</w:t>
      </w:r>
      <w:r w:rsidRPr="00671E8F">
        <w:rPr>
          <w:rFonts w:ascii="Calibri" w:eastAsia="Calibri" w:hAnsi="Calibri" w:cs="Calibri"/>
          <w:bCs/>
          <w:i/>
          <w:color w:val="0070C0"/>
          <w:szCs w:val="72"/>
        </w:rPr>
        <w:t>Игра за човечанство: спорт и музика за све”.</w:t>
      </w:r>
    </w:p>
    <w:p w14:paraId="0F7C6F66" w14:textId="5A3C3681" w:rsidR="00724929" w:rsidRPr="00671E8F" w:rsidRDefault="00724929">
      <w:pPr>
        <w:rPr>
          <w:rFonts w:ascii="Calibri" w:eastAsia="Calibri" w:hAnsi="Calibri" w:cs="Calibri"/>
          <w:bCs/>
          <w:color w:val="0070C0"/>
          <w:szCs w:val="72"/>
        </w:rPr>
      </w:pPr>
      <w:r w:rsidRPr="00671E8F">
        <w:rPr>
          <w:rFonts w:ascii="Calibri" w:eastAsia="Calibri" w:hAnsi="Calibri" w:cs="Calibri"/>
          <w:b/>
          <w:bCs/>
          <w:color w:val="0070C0"/>
          <w:szCs w:val="72"/>
        </w:rPr>
        <w:t xml:space="preserve">Влада Републике Србије посвећена је одржању фискалне дисциплине у средњем року. </w:t>
      </w:r>
      <w:r w:rsidRPr="00671E8F">
        <w:rPr>
          <w:rFonts w:ascii="Calibri" w:eastAsia="Calibri" w:hAnsi="Calibri" w:cs="Calibri"/>
          <w:bCs/>
          <w:color w:val="0070C0"/>
          <w:szCs w:val="72"/>
        </w:rPr>
        <w:t>Циљани фискални дефицити у наредним годинама обезбеђују опадајућу путању јавног дуга. Предвиђени фискални дефицит у наредном средњорочном периоду, износ</w:t>
      </w:r>
      <w:r w:rsidR="003272A7" w:rsidRPr="00671E8F">
        <w:rPr>
          <w:rFonts w:ascii="Calibri" w:eastAsia="Calibri" w:hAnsi="Calibri" w:cs="Calibri"/>
          <w:bCs/>
          <w:color w:val="0070C0"/>
          <w:szCs w:val="72"/>
        </w:rPr>
        <w:t>и 3,0 одсто БДП</w:t>
      </w:r>
      <w:r w:rsidRPr="00671E8F">
        <w:rPr>
          <w:rFonts w:ascii="Calibri" w:eastAsia="Calibri" w:hAnsi="Calibri" w:cs="Calibri"/>
          <w:bCs/>
          <w:color w:val="0070C0"/>
          <w:szCs w:val="72"/>
        </w:rPr>
        <w:t>, отварајући простор за финансирање важних инвестицио</w:t>
      </w:r>
      <w:r w:rsidR="00793531" w:rsidRPr="00671E8F">
        <w:rPr>
          <w:rFonts w:ascii="Calibri" w:eastAsia="Calibri" w:hAnsi="Calibri" w:cs="Calibri"/>
          <w:bCs/>
          <w:color w:val="0070C0"/>
          <w:szCs w:val="72"/>
        </w:rPr>
        <w:t>н</w:t>
      </w:r>
      <w:r w:rsidRPr="00671E8F">
        <w:rPr>
          <w:rFonts w:ascii="Calibri" w:eastAsia="Calibri" w:hAnsi="Calibri" w:cs="Calibri"/>
          <w:bCs/>
          <w:color w:val="0070C0"/>
          <w:szCs w:val="72"/>
        </w:rPr>
        <w:t xml:space="preserve">их пројеката у оквиру развојног плана „Скок у будућност – Србија 2027”, као и финансирање јачања националне безбедности. Програм „Скок у будућност – Србија 2027” представља централни оквир за убрзану модернизацију инфраструктуре, са циљем да Србија постане кључна дестинација за инвестиције у областима као што су енергетика, транспорт и </w:t>
      </w:r>
      <w:r w:rsidRPr="00671E8F">
        <w:rPr>
          <w:rFonts w:ascii="Calibri" w:eastAsia="Calibri" w:hAnsi="Calibri" w:cs="Calibri"/>
          <w:bCs/>
          <w:color w:val="0070C0"/>
          <w:szCs w:val="72"/>
        </w:rPr>
        <w:lastRenderedPageBreak/>
        <w:t>дигитализација. Јавни дуг сектора државе на крају средњорочног периода износиће 46,5% БДП. Како би се у потпуности реализовао инвестициони циклус примена компоненте ограничења фискалног дефицита у оквиру фискалног правила одлаже се до 2029. године.</w:t>
      </w:r>
    </w:p>
    <w:p w14:paraId="33CA670F" w14:textId="4AF30873" w:rsidR="00724929" w:rsidRPr="00671E8F" w:rsidRDefault="00724929" w:rsidP="000E0EDA">
      <w:pPr>
        <w:rPr>
          <w:rFonts w:ascii="Calibri" w:eastAsia="Calibri" w:hAnsi="Calibri" w:cs="Calibri"/>
          <w:bCs/>
          <w:color w:val="0070C0"/>
          <w:szCs w:val="72"/>
        </w:rPr>
      </w:pPr>
      <w:r w:rsidRPr="00671E8F">
        <w:rPr>
          <w:rFonts w:ascii="Calibri" w:eastAsia="Calibri" w:hAnsi="Calibri" w:cs="Calibri"/>
          <w:b/>
          <w:bCs/>
          <w:color w:val="0070C0"/>
          <w:szCs w:val="72"/>
        </w:rPr>
        <w:t xml:space="preserve">Привреда Србије, као и економије других земаља у региону са сличним нивоом развоја, суочава се са бројним неизвесностима. </w:t>
      </w:r>
      <w:r w:rsidRPr="00671E8F">
        <w:rPr>
          <w:rFonts w:ascii="Calibri" w:eastAsia="Calibri" w:hAnsi="Calibri" w:cs="Calibri"/>
          <w:bCs/>
          <w:color w:val="0070C0"/>
          <w:szCs w:val="72"/>
        </w:rPr>
        <w:t>Ипак, ризици пројекцијe из ове Фискалне стратегије оцењени су као уравнотежени. Главни ризици на међународном плану укључују неизвесност глобалног раста, продужено присуство базне инфлације и даље рестриктивне мере монетарне политике водећих централних банака. Додатни фактори ризика су геополитичке тензије и цене енергената и сировина. У ширем контексту, геополитичка фрагментација и зелена транзиција представљају и изазове и могућности за дубљу интеграцију Србије у европске и глобалне економске токове. Србија ће наставити да јача своје трговинске и инвестиционе односе са Европском унијом и другим значајним партнерима, унапређујући продуктивност у кључним с</w:t>
      </w:r>
      <w:r w:rsidR="00884D36" w:rsidRPr="00671E8F">
        <w:rPr>
          <w:rFonts w:ascii="Calibri" w:eastAsia="Calibri" w:hAnsi="Calibri" w:cs="Calibri"/>
          <w:bCs/>
          <w:color w:val="0070C0"/>
          <w:szCs w:val="72"/>
        </w:rPr>
        <w:t xml:space="preserve">екторима попут производње, ИКТ </w:t>
      </w:r>
      <w:r w:rsidRPr="00671E8F">
        <w:rPr>
          <w:rFonts w:ascii="Calibri" w:eastAsia="Calibri" w:hAnsi="Calibri" w:cs="Calibri"/>
          <w:bCs/>
          <w:color w:val="0070C0"/>
          <w:szCs w:val="72"/>
        </w:rPr>
        <w:t xml:space="preserve">и енергетике. </w:t>
      </w:r>
    </w:p>
    <w:p w14:paraId="78FC63A6" w14:textId="6C213A55" w:rsidR="008B0A33" w:rsidRPr="00671E8F" w:rsidRDefault="00724929" w:rsidP="008B0A33">
      <w:pPr>
        <w:rPr>
          <w:rFonts w:ascii="Calibri" w:eastAsia="Calibri" w:hAnsi="Calibri" w:cs="Calibri"/>
          <w:bCs/>
          <w:color w:val="0070C0"/>
          <w:szCs w:val="72"/>
        </w:rPr>
      </w:pPr>
      <w:r w:rsidRPr="00671E8F">
        <w:rPr>
          <w:rFonts w:ascii="Calibri" w:eastAsia="Calibri" w:hAnsi="Calibri" w:cs="Calibri"/>
          <w:b/>
          <w:bCs/>
          <w:color w:val="0070C0"/>
          <w:szCs w:val="72"/>
        </w:rPr>
        <w:t>Србија има значајне резерве за заштиту од неизвесности.</w:t>
      </w:r>
      <w:r w:rsidRPr="00671E8F">
        <w:rPr>
          <w:rFonts w:ascii="Calibri" w:eastAsia="Calibri" w:hAnsi="Calibri" w:cs="Calibri"/>
          <w:bCs/>
          <w:color w:val="0070C0"/>
          <w:szCs w:val="72"/>
        </w:rPr>
        <w:t xml:space="preserve"> Високе девизне резерве и депозити јавног сектора, релативно ни</w:t>
      </w:r>
      <w:r w:rsidR="00B22A08" w:rsidRPr="00671E8F">
        <w:rPr>
          <w:rFonts w:ascii="Calibri" w:eastAsia="Calibri" w:hAnsi="Calibri" w:cs="Calibri"/>
          <w:bCs/>
          <w:color w:val="0070C0"/>
          <w:szCs w:val="72"/>
        </w:rPr>
        <w:t>зак</w:t>
      </w:r>
      <w:r w:rsidRPr="00671E8F">
        <w:rPr>
          <w:rFonts w:ascii="Calibri" w:eastAsia="Calibri" w:hAnsi="Calibri" w:cs="Calibri"/>
          <w:bCs/>
          <w:color w:val="0070C0"/>
          <w:szCs w:val="72"/>
        </w:rPr>
        <w:t xml:space="preserve"> јавни дуг, одрживе динамике спољног и јавног дуга, као и добро капитализован и ликвидан банкарски систем представљају добру резерву у случају реализације појединих негативних ризика. Такође, Србија је атрактивна дестинациј</w:t>
      </w:r>
      <w:r w:rsidR="001E5D13" w:rsidRPr="00671E8F">
        <w:rPr>
          <w:rFonts w:ascii="Calibri" w:eastAsia="Calibri" w:hAnsi="Calibri" w:cs="Calibri"/>
          <w:bCs/>
          <w:color w:val="0070C0"/>
          <w:szCs w:val="72"/>
        </w:rPr>
        <w:t>а за СДИ</w:t>
      </w:r>
      <w:r w:rsidRPr="00671E8F">
        <w:rPr>
          <w:rFonts w:ascii="Calibri" w:eastAsia="Calibri" w:hAnsi="Calibri" w:cs="Calibri"/>
          <w:bCs/>
          <w:color w:val="0070C0"/>
          <w:szCs w:val="72"/>
        </w:rPr>
        <w:t>, што одражава њену снажну макроекономску позицију. Аранжман из предострожности са Међународним монетарним фондом пружа додатну сигурност кроз дефинисање адекватних економских политика и структурних реформи у циљу бржег привредног раста и јачања отпорности привреде.</w:t>
      </w:r>
      <w:r w:rsidR="008B0A33" w:rsidRPr="00671E8F">
        <w:rPr>
          <w:rFonts w:ascii="Calibri" w:eastAsia="Calibri" w:hAnsi="Calibri" w:cs="Calibri"/>
          <w:bCs/>
          <w:color w:val="0070C0"/>
          <w:szCs w:val="72"/>
        </w:rPr>
        <w:t xml:space="preserve"> По окончању тренутног аранжмана, договорен је наставак сарадње кроз Инструмент за координацију политика (PCI) који ће бити нефинансијског карактера и који ће трајати наредне три године. Нови аранжман је јасан сигнал да је економска политика у средњем року усмерена ка убрзаном расту, развоју и модернизацији, уз очување макроекономске стабилности.</w:t>
      </w:r>
    </w:p>
    <w:p w14:paraId="76E07D77" w14:textId="77777777" w:rsidR="00724929" w:rsidRPr="00671E8F" w:rsidRDefault="00724929" w:rsidP="000E0EDA">
      <w:pPr>
        <w:rPr>
          <w:rFonts w:ascii="Calibri" w:eastAsia="Calibri" w:hAnsi="Calibri" w:cs="Calibri"/>
          <w:bCs/>
          <w:color w:val="0070C0"/>
          <w:szCs w:val="72"/>
        </w:rPr>
      </w:pPr>
    </w:p>
    <w:p w14:paraId="1D3A4853" w14:textId="77777777" w:rsidR="00724929" w:rsidRPr="00671E8F" w:rsidRDefault="00724929" w:rsidP="000E0EDA">
      <w:pPr>
        <w:rPr>
          <w:rFonts w:ascii="Calibri" w:eastAsia="Calibri" w:hAnsi="Calibri" w:cs="Calibri"/>
          <w:bCs/>
          <w:color w:val="0070C0"/>
          <w:szCs w:val="72"/>
        </w:rPr>
      </w:pPr>
    </w:p>
    <w:p w14:paraId="5FF56900" w14:textId="77777777" w:rsidR="00724929" w:rsidRPr="00671E8F" w:rsidRDefault="00724929" w:rsidP="000E0EDA">
      <w:pPr>
        <w:rPr>
          <w:rFonts w:ascii="Calibri" w:eastAsia="Calibri" w:hAnsi="Calibri" w:cs="Calibri"/>
          <w:bCs/>
          <w:color w:val="0070C0"/>
          <w:szCs w:val="72"/>
        </w:rPr>
        <w:sectPr w:rsidR="00724929" w:rsidRPr="00671E8F" w:rsidSect="000E0EDA">
          <w:headerReference w:type="even" r:id="rId10"/>
          <w:headerReference w:type="default" r:id="rId11"/>
          <w:footerReference w:type="even" r:id="rId12"/>
          <w:footerReference w:type="default" r:id="rId13"/>
          <w:headerReference w:type="first" r:id="rId14"/>
          <w:footerReference w:type="first" r:id="rId15"/>
          <w:type w:val="continuous"/>
          <w:pgSz w:w="12240" w:h="15840" w:code="1"/>
          <w:pgMar w:top="1440" w:right="1440" w:bottom="1440" w:left="1440" w:header="720" w:footer="720" w:gutter="0"/>
          <w:cols w:num="2" w:space="720"/>
          <w:titlePg/>
          <w:docGrid w:linePitch="360"/>
        </w:sectPr>
      </w:pPr>
    </w:p>
    <w:p w14:paraId="64C9FE76" w14:textId="77777777" w:rsidR="00724929" w:rsidRPr="00671E8F" w:rsidRDefault="00724929" w:rsidP="000E0EDA">
      <w:pPr>
        <w:rPr>
          <w:rFonts w:ascii="Calibri" w:eastAsia="Calibri" w:hAnsi="Calibri" w:cs="Calibri"/>
          <w:bCs/>
          <w:color w:val="0070C0"/>
          <w:szCs w:val="72"/>
        </w:rPr>
      </w:pPr>
    </w:p>
    <w:p w14:paraId="4DFE8F8C" w14:textId="7CACADEB" w:rsidR="000353A6" w:rsidRPr="00671E8F" w:rsidRDefault="000353A6" w:rsidP="00AD6DF6"/>
    <w:p w14:paraId="07991A8B" w14:textId="54EC1170" w:rsidR="000353A6" w:rsidRPr="00671E8F" w:rsidRDefault="000353A6" w:rsidP="00AD6DF6"/>
    <w:p w14:paraId="7F65DFC8" w14:textId="4D36980D" w:rsidR="000353A6" w:rsidRPr="00671E8F" w:rsidRDefault="000353A6" w:rsidP="00AD6DF6"/>
    <w:p w14:paraId="42741BA4" w14:textId="7EF34D4B" w:rsidR="000353A6" w:rsidRPr="00671E8F" w:rsidRDefault="000353A6" w:rsidP="00AD6DF6"/>
    <w:p w14:paraId="56E94429" w14:textId="38284CBC" w:rsidR="000353A6" w:rsidRPr="00671E8F" w:rsidRDefault="000353A6" w:rsidP="00AD6DF6"/>
    <w:p w14:paraId="7D149C96" w14:textId="39098F48" w:rsidR="000353A6" w:rsidRPr="00671E8F" w:rsidRDefault="000353A6" w:rsidP="00AD6DF6"/>
    <w:p w14:paraId="3ECA80F7" w14:textId="74A24B0A" w:rsidR="000353A6" w:rsidRPr="00671E8F" w:rsidRDefault="000353A6" w:rsidP="00AD6DF6"/>
    <w:p w14:paraId="1125B745" w14:textId="0AD4553C" w:rsidR="000353A6" w:rsidRPr="00671E8F" w:rsidRDefault="000353A6" w:rsidP="00AD6DF6"/>
    <w:p w14:paraId="0ED69D4A" w14:textId="7F28D4C5" w:rsidR="000353A6" w:rsidRPr="00671E8F" w:rsidRDefault="000353A6" w:rsidP="00AD6DF6"/>
    <w:p w14:paraId="5C778F16" w14:textId="183AE6C7" w:rsidR="000353A6" w:rsidRPr="00671E8F" w:rsidRDefault="000353A6" w:rsidP="00AD6DF6"/>
    <w:p w14:paraId="26B426E1" w14:textId="17866A28" w:rsidR="000353A6" w:rsidRPr="00671E8F" w:rsidRDefault="000353A6" w:rsidP="00AD6DF6"/>
    <w:p w14:paraId="1AA33CA0" w14:textId="45FEED0C" w:rsidR="000353A6" w:rsidRPr="00671E8F" w:rsidRDefault="000353A6" w:rsidP="00AD6DF6"/>
    <w:p w14:paraId="1ACF2CBC" w14:textId="57804FF9" w:rsidR="000353A6" w:rsidRPr="00671E8F" w:rsidRDefault="000353A6" w:rsidP="00AD6DF6"/>
    <w:p w14:paraId="78F0D92C" w14:textId="71BD3CFC" w:rsidR="000353A6" w:rsidRPr="00671E8F" w:rsidRDefault="000353A6" w:rsidP="000353A6">
      <w:pPr>
        <w:spacing w:after="0"/>
        <w:jc w:val="left"/>
        <w:rPr>
          <w:rFonts w:ascii="Calibri" w:eastAsia="Calibri" w:hAnsi="Calibri" w:cs="Calibri"/>
          <w:bCs/>
          <w:color w:val="FF0000"/>
          <w:sz w:val="16"/>
          <w:szCs w:val="72"/>
        </w:rPr>
        <w:sectPr w:rsidR="000353A6" w:rsidRPr="00671E8F" w:rsidSect="000353A6">
          <w:headerReference w:type="default" r:id="rId16"/>
          <w:footerReference w:type="default" r:id="rId17"/>
          <w:headerReference w:type="first" r:id="rId18"/>
          <w:footerReference w:type="first" r:id="rId19"/>
          <w:type w:val="continuous"/>
          <w:pgSz w:w="12240" w:h="15840" w:code="1"/>
          <w:pgMar w:top="1440" w:right="1440" w:bottom="1440" w:left="1440" w:header="720" w:footer="720" w:gutter="0"/>
          <w:cols w:space="720"/>
          <w:titlePg/>
          <w:docGrid w:linePitch="360"/>
        </w:sectPr>
      </w:pPr>
      <w:bookmarkStart w:id="6" w:name="_Toc86923728"/>
      <w:bookmarkStart w:id="7" w:name="_Toc119654150"/>
    </w:p>
    <w:p w14:paraId="4AC85DD3" w14:textId="77777777" w:rsidR="000353A6" w:rsidRPr="00671E8F" w:rsidRDefault="000353A6" w:rsidP="000353A6">
      <w:pPr>
        <w:pStyle w:val="Heading2"/>
        <w:jc w:val="center"/>
        <w:rPr>
          <w:rFonts w:asciiTheme="minorHAnsi" w:hAnsiTheme="minorHAnsi" w:cstheme="minorHAnsi"/>
          <w:b/>
          <w:bCs/>
          <w:color w:val="002060"/>
          <w:sz w:val="24"/>
        </w:rPr>
      </w:pPr>
      <w:bookmarkStart w:id="8" w:name="_Toc146277912"/>
      <w:bookmarkStart w:id="9" w:name="_Toc148431265"/>
      <w:bookmarkStart w:id="10" w:name="_Toc181190964"/>
      <w:r w:rsidRPr="00671E8F">
        <w:rPr>
          <w:rFonts w:asciiTheme="minorHAnsi" w:hAnsiTheme="minorHAnsi" w:cstheme="minorHAnsi"/>
          <w:b/>
          <w:bCs/>
          <w:color w:val="002060"/>
          <w:sz w:val="24"/>
        </w:rPr>
        <w:lastRenderedPageBreak/>
        <w:t>2. Процене међународног економског окружења</w:t>
      </w:r>
      <w:bookmarkEnd w:id="8"/>
      <w:bookmarkEnd w:id="9"/>
      <w:bookmarkEnd w:id="10"/>
    </w:p>
    <w:p w14:paraId="03C456C6" w14:textId="77777777" w:rsidR="000353A6" w:rsidRPr="00671E8F" w:rsidRDefault="000353A6" w:rsidP="000353A6">
      <w:pPr>
        <w:rPr>
          <w:color w:val="FF0000"/>
        </w:rPr>
      </w:pPr>
      <w:r w:rsidRPr="00671E8F">
        <w:rPr>
          <w:rFonts w:cstheme="minorHAnsi"/>
          <w:b/>
          <w:noProof/>
          <w:color w:val="FF0000"/>
          <w:sz w:val="24"/>
          <w:lang w:val="en-US"/>
        </w:rPr>
        <mc:AlternateContent>
          <mc:Choice Requires="wps">
            <w:drawing>
              <wp:anchor distT="0" distB="0" distL="114300" distR="114300" simplePos="0" relativeHeight="251691520" behindDoc="1" locked="0" layoutInCell="1" allowOverlap="1" wp14:anchorId="1F769829" wp14:editId="5628E230">
                <wp:simplePos x="0" y="0"/>
                <wp:positionH relativeFrom="margin">
                  <wp:posOffset>-102358</wp:posOffset>
                </wp:positionH>
                <wp:positionV relativeFrom="paragraph">
                  <wp:posOffset>203843</wp:posOffset>
                </wp:positionV>
                <wp:extent cx="6139815" cy="5322627"/>
                <wp:effectExtent l="0" t="0" r="0" b="0"/>
                <wp:wrapNone/>
                <wp:docPr id="63" name="Rectangle 63"/>
                <wp:cNvGraphicFramePr/>
                <a:graphic xmlns:a="http://schemas.openxmlformats.org/drawingml/2006/main">
                  <a:graphicData uri="http://schemas.microsoft.com/office/word/2010/wordprocessingShape">
                    <wps:wsp>
                      <wps:cNvSpPr/>
                      <wps:spPr>
                        <a:xfrm>
                          <a:off x="0" y="0"/>
                          <a:ext cx="6139815" cy="5322627"/>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6AE310" id="Rectangle 63" o:spid="_x0000_s1026" style="position:absolute;margin-left:-8.05pt;margin-top:16.05pt;width:483.45pt;height:419.1pt;z-index:-251624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" fillcolor="#d8d8d8 [2732]" stroked="f" strokeweight="1pt">
                <v:fill r:id="rId28" o:title="" color2="white [3212]" type="pattern"/>
                <w10:wrap anchorx="margin"/>
              </v:rect>
            </w:pict>
          </mc:Fallback>
        </mc:AlternateContent>
      </w:r>
    </w:p>
    <w:p w14:paraId="1E41ABB8" w14:textId="77777777" w:rsidR="000353A6" w:rsidRPr="00671E8F" w:rsidRDefault="000353A6" w:rsidP="000353A6">
      <w:pPr>
        <w:spacing w:after="240"/>
        <w:rPr>
          <w:rFonts w:cstheme="minorHAnsi"/>
          <w:bCs/>
          <w:color w:val="FF0000"/>
          <w:szCs w:val="72"/>
        </w:rPr>
        <w:sectPr w:rsidR="000353A6" w:rsidRPr="00671E8F" w:rsidSect="000353A6">
          <w:headerReference w:type="even" r:id="rId29"/>
          <w:headerReference w:type="default" r:id="rId30"/>
          <w:footerReference w:type="even" r:id="rId31"/>
          <w:footerReference w:type="default" r:id="rId32"/>
          <w:footerReference w:type="first" r:id="rId33"/>
          <w:type w:val="continuous"/>
          <w:pgSz w:w="12240" w:h="15840" w:code="1"/>
          <w:pgMar w:top="1440" w:right="1440" w:bottom="1440" w:left="1440" w:header="720" w:footer="720" w:gutter="0"/>
          <w:cols w:space="720"/>
          <w:titlePg/>
          <w:docGrid w:linePitch="360"/>
        </w:sectPr>
      </w:pPr>
    </w:p>
    <w:p w14:paraId="586577C0" w14:textId="44A3F404" w:rsidR="000353A6" w:rsidRPr="00671E8F" w:rsidRDefault="00322EC0" w:rsidP="00320F36">
      <w:pPr>
        <w:spacing w:after="80"/>
        <w:rPr>
          <w:color w:val="0070C0"/>
        </w:rPr>
      </w:pPr>
      <w:r w:rsidRPr="00671E8F">
        <w:rPr>
          <w:color w:val="0070C0"/>
        </w:rPr>
        <w:t>Упркос глобалним изазовима</w:t>
      </w:r>
      <w:r w:rsidR="000353A6" w:rsidRPr="00671E8F">
        <w:rPr>
          <w:color w:val="0070C0"/>
        </w:rPr>
        <w:t xml:space="preserve"> светска привреда је </w:t>
      </w:r>
      <w:r w:rsidRPr="00671E8F">
        <w:rPr>
          <w:color w:val="0070C0"/>
        </w:rPr>
        <w:t>показала значајну</w:t>
      </w:r>
      <w:r w:rsidR="000353A6" w:rsidRPr="00671E8F">
        <w:rPr>
          <w:color w:val="0070C0"/>
        </w:rPr>
        <w:t xml:space="preserve"> отпорн</w:t>
      </w:r>
      <w:r w:rsidRPr="00671E8F">
        <w:rPr>
          <w:color w:val="0070C0"/>
        </w:rPr>
        <w:t>ост</w:t>
      </w:r>
      <w:r w:rsidR="000353A6" w:rsidRPr="00671E8F">
        <w:rPr>
          <w:color w:val="0070C0"/>
        </w:rPr>
        <w:t xml:space="preserve"> т</w:t>
      </w:r>
      <w:r w:rsidRPr="00671E8F">
        <w:rPr>
          <w:color w:val="0070C0"/>
        </w:rPr>
        <w:t>оком периода успоравања</w:t>
      </w:r>
      <w:r w:rsidR="000353A6" w:rsidRPr="00671E8F">
        <w:rPr>
          <w:color w:val="0070C0"/>
        </w:rPr>
        <w:t xml:space="preserve"> инфлације. Томе je допринела експанзивна фискална политика и опоравак приватне потрошње, подржано акумулираном штедњом током периода пандемије, растом запослености и доходака, као и већом партиципацијом радне снаге на тржишту рада.</w:t>
      </w:r>
      <w:r w:rsidR="000353A6" w:rsidRPr="00671E8F">
        <w:rPr>
          <w:rFonts w:cstheme="minorHAnsi"/>
          <w:bCs/>
          <w:color w:val="0070C0"/>
          <w:szCs w:val="72"/>
        </w:rPr>
        <w:t xml:space="preserve"> </w:t>
      </w:r>
      <w:r w:rsidR="000353A6" w:rsidRPr="00671E8F">
        <w:rPr>
          <w:color w:val="0070C0"/>
        </w:rPr>
        <w:t xml:space="preserve">Према </w:t>
      </w:r>
      <w:r w:rsidRPr="00671E8F">
        <w:rPr>
          <w:color w:val="0070C0"/>
        </w:rPr>
        <w:t>октобарским</w:t>
      </w:r>
      <w:r w:rsidR="000353A6" w:rsidRPr="00671E8F">
        <w:rPr>
          <w:color w:val="0070C0"/>
        </w:rPr>
        <w:t xml:space="preserve"> проценама ММФ, очекује се да ће глобална економија наставити да расте по стопи од 3,2% и током 2024. и 2025. године, </w:t>
      </w:r>
      <w:r w:rsidRPr="00671E8F">
        <w:rPr>
          <w:color w:val="0070C0"/>
        </w:rPr>
        <w:t>што је непромењено у односу на претходна очекивања.</w:t>
      </w:r>
      <w:r w:rsidR="000353A6" w:rsidRPr="00671E8F">
        <w:rPr>
          <w:color w:val="0070C0"/>
        </w:rPr>
        <w:t xml:space="preserve"> </w:t>
      </w:r>
      <w:r w:rsidRPr="00671E8F">
        <w:rPr>
          <w:color w:val="0070C0"/>
        </w:rPr>
        <w:t xml:space="preserve">Међутим, дошло је до значајних ревизија </w:t>
      </w:r>
      <w:r w:rsidR="00943E8F" w:rsidRPr="00671E8F">
        <w:rPr>
          <w:color w:val="0070C0"/>
        </w:rPr>
        <w:t>по појединим регионима.</w:t>
      </w:r>
      <w:r w:rsidRPr="00671E8F">
        <w:rPr>
          <w:color w:val="0070C0"/>
        </w:rPr>
        <w:t xml:space="preserve"> </w:t>
      </w:r>
      <w:r w:rsidR="003A114A" w:rsidRPr="00671E8F">
        <w:rPr>
          <w:color w:val="0070C0"/>
        </w:rPr>
        <w:t>П</w:t>
      </w:r>
      <w:r w:rsidRPr="00671E8F">
        <w:rPr>
          <w:color w:val="0070C0"/>
        </w:rPr>
        <w:t xml:space="preserve">обољшани </w:t>
      </w:r>
      <w:r w:rsidR="003A114A" w:rsidRPr="00671E8F">
        <w:rPr>
          <w:color w:val="0070C0"/>
        </w:rPr>
        <w:t xml:space="preserve">су </w:t>
      </w:r>
      <w:r w:rsidR="00943E8F" w:rsidRPr="00671E8F">
        <w:rPr>
          <w:color w:val="0070C0"/>
        </w:rPr>
        <w:t>изгледи за раст привреде САД</w:t>
      </w:r>
      <w:r w:rsidRPr="00671E8F">
        <w:rPr>
          <w:color w:val="0070C0"/>
        </w:rPr>
        <w:t xml:space="preserve"> </w:t>
      </w:r>
      <w:r w:rsidR="003D6F03" w:rsidRPr="00671E8F">
        <w:rPr>
          <w:color w:val="0070C0"/>
        </w:rPr>
        <w:t xml:space="preserve">услед јаче од очекиване домаће тражње, као и отпорности тржишта рада. Са друге стране, </w:t>
      </w:r>
      <w:r w:rsidRPr="00671E8F">
        <w:rPr>
          <w:color w:val="0070C0"/>
        </w:rPr>
        <w:t xml:space="preserve">процене за друге развијене економије, нарочито за највеће европске земље, </w:t>
      </w:r>
      <w:r w:rsidR="003D6F03" w:rsidRPr="00671E8F">
        <w:rPr>
          <w:color w:val="0070C0"/>
        </w:rPr>
        <w:t xml:space="preserve">су </w:t>
      </w:r>
      <w:r w:rsidRPr="00671E8F">
        <w:rPr>
          <w:color w:val="0070C0"/>
        </w:rPr>
        <w:t>ревидиране наниже</w:t>
      </w:r>
      <w:r w:rsidR="003D6F03" w:rsidRPr="00671E8F">
        <w:rPr>
          <w:color w:val="0070C0"/>
        </w:rPr>
        <w:t>, као последица</w:t>
      </w:r>
      <w:r w:rsidR="003A114A" w:rsidRPr="00671E8F">
        <w:rPr>
          <w:color w:val="0070C0"/>
        </w:rPr>
        <w:t xml:space="preserve"> пре свега</w:t>
      </w:r>
      <w:r w:rsidR="003D6F03" w:rsidRPr="00671E8F">
        <w:rPr>
          <w:color w:val="0070C0"/>
        </w:rPr>
        <w:t xml:space="preserve"> структурних проблема</w:t>
      </w:r>
      <w:r w:rsidR="003A114A" w:rsidRPr="00671E8F">
        <w:rPr>
          <w:color w:val="0070C0"/>
        </w:rPr>
        <w:t xml:space="preserve"> у прерађивачкој индустрији и још увек рестриктивних монетарних</w:t>
      </w:r>
      <w:r w:rsidR="003F1425" w:rsidRPr="00671E8F">
        <w:rPr>
          <w:color w:val="0070C0"/>
        </w:rPr>
        <w:t xml:space="preserve"> услов</w:t>
      </w:r>
      <w:r w:rsidR="003A114A" w:rsidRPr="00671E8F">
        <w:rPr>
          <w:color w:val="0070C0"/>
        </w:rPr>
        <w:t xml:space="preserve">а. </w:t>
      </w:r>
      <w:r w:rsidR="000353A6" w:rsidRPr="00671E8F">
        <w:rPr>
          <w:color w:val="0070C0"/>
        </w:rPr>
        <w:t xml:space="preserve">Ефектуирања рестриктивних мера монетарне политике из претходног периода, попуштања трошковних притисака на </w:t>
      </w:r>
      <w:r w:rsidR="00BA7EC0" w:rsidRPr="00671E8F">
        <w:rPr>
          <w:color w:val="0070C0"/>
        </w:rPr>
        <w:t>тржишту</w:t>
      </w:r>
      <w:r w:rsidR="000353A6" w:rsidRPr="00671E8F">
        <w:rPr>
          <w:color w:val="0070C0"/>
        </w:rPr>
        <w:t xml:space="preserve"> рада, као и пад цена добара</w:t>
      </w:r>
      <w:r w:rsidR="00184D15" w:rsidRPr="00671E8F">
        <w:rPr>
          <w:color w:val="0070C0"/>
        </w:rPr>
        <w:t>,</w:t>
      </w:r>
      <w:r w:rsidR="000353A6" w:rsidRPr="00671E8F">
        <w:rPr>
          <w:color w:val="0070C0"/>
        </w:rPr>
        <w:t xml:space="preserve"> нарочито цена енергената</w:t>
      </w:r>
      <w:r w:rsidR="00184D15" w:rsidRPr="00671E8F">
        <w:rPr>
          <w:color w:val="0070C0"/>
        </w:rPr>
        <w:t>,</w:t>
      </w:r>
      <w:r w:rsidR="000353A6" w:rsidRPr="00671E8F">
        <w:rPr>
          <w:color w:val="0070C0"/>
        </w:rPr>
        <w:t xml:space="preserve"> резултирали су снажним дезинфлаторним трендовима. Процењује се да ће глобална инфлација успорити са 6,</w:t>
      </w:r>
      <w:r w:rsidR="00047557" w:rsidRPr="00671E8F">
        <w:rPr>
          <w:color w:val="0070C0"/>
        </w:rPr>
        <w:t>7</w:t>
      </w:r>
      <w:r w:rsidR="000353A6" w:rsidRPr="00671E8F">
        <w:rPr>
          <w:color w:val="0070C0"/>
        </w:rPr>
        <w:t>% у 2023. години на 5,</w:t>
      </w:r>
      <w:r w:rsidR="00047557" w:rsidRPr="00671E8F">
        <w:rPr>
          <w:color w:val="0070C0"/>
        </w:rPr>
        <w:t>8</w:t>
      </w:r>
      <w:r w:rsidR="000353A6" w:rsidRPr="00671E8F">
        <w:rPr>
          <w:color w:val="0070C0"/>
        </w:rPr>
        <w:t>% у 2024. и 4,</w:t>
      </w:r>
      <w:r w:rsidR="00047557" w:rsidRPr="00671E8F">
        <w:rPr>
          <w:color w:val="0070C0"/>
        </w:rPr>
        <w:t>3</w:t>
      </w:r>
      <w:r w:rsidR="000353A6" w:rsidRPr="00671E8F">
        <w:rPr>
          <w:color w:val="0070C0"/>
        </w:rPr>
        <w:t>% у 2025. години, при чему ће базна инфлација опадати спорије од укупне инфлације</w:t>
      </w:r>
      <w:r w:rsidR="00047557" w:rsidRPr="00671E8F">
        <w:rPr>
          <w:color w:val="0070C0"/>
        </w:rPr>
        <w:t>, услед и даље високе инфлације у сектору услуга</w:t>
      </w:r>
      <w:r w:rsidR="000353A6" w:rsidRPr="00671E8F">
        <w:rPr>
          <w:color w:val="0070C0"/>
        </w:rPr>
        <w:t xml:space="preserve">. </w:t>
      </w:r>
      <w:r w:rsidR="00320F36" w:rsidRPr="00671E8F">
        <w:rPr>
          <w:color w:val="0070C0"/>
        </w:rPr>
        <w:t xml:space="preserve">Ако се испостави да је базна инфлација отпорнија него што се очекује, потрошачи би могли </w:t>
      </w:r>
      <w:r w:rsidR="00184D15" w:rsidRPr="00671E8F">
        <w:rPr>
          <w:color w:val="0070C0"/>
        </w:rPr>
        <w:t xml:space="preserve">прилагодити </w:t>
      </w:r>
      <w:r w:rsidR="00320F36" w:rsidRPr="00671E8F">
        <w:rPr>
          <w:color w:val="0070C0"/>
        </w:rPr>
        <w:t xml:space="preserve">своја краткорочна инфлаторна очекивања, што би се одразило на спорије ублажавање монетарне политике. </w:t>
      </w:r>
      <w:r w:rsidR="00184D15" w:rsidRPr="00671E8F">
        <w:rPr>
          <w:color w:val="0070C0"/>
        </w:rPr>
        <w:t>Ипак, к</w:t>
      </w:r>
      <w:r w:rsidR="009740C5" w:rsidRPr="00671E8F">
        <w:rPr>
          <w:color w:val="0070C0"/>
        </w:rPr>
        <w:t xml:space="preserve">ако се инфлација приближава циљевима централних банака, и каматне стопе </w:t>
      </w:r>
      <w:r w:rsidR="00BA7EC0" w:rsidRPr="00671E8F">
        <w:rPr>
          <w:color w:val="0070C0"/>
        </w:rPr>
        <w:t>конвергирају</w:t>
      </w:r>
      <w:r w:rsidR="009740C5" w:rsidRPr="00671E8F">
        <w:rPr>
          <w:color w:val="0070C0"/>
        </w:rPr>
        <w:t xml:space="preserve"> ка својим природним нивоима, очекује се да ће се фокус прилагођавања пребацити на фискалну политику. </w:t>
      </w:r>
      <w:r w:rsidR="009E3207" w:rsidRPr="00671E8F">
        <w:rPr>
          <w:color w:val="0070C0"/>
        </w:rPr>
        <w:t xml:space="preserve">Фискални дефицити и јавни дуг су и даље значајно изнад пред-пандемијског нивоа, уз високе трошкове финансирања, који у многим земљама и даље расту. </w:t>
      </w:r>
      <w:r w:rsidR="00FB4232" w:rsidRPr="00671E8F">
        <w:rPr>
          <w:color w:val="0070C0"/>
        </w:rPr>
        <w:t>Н</w:t>
      </w:r>
      <w:r w:rsidR="000353A6" w:rsidRPr="00671E8F">
        <w:rPr>
          <w:color w:val="0070C0"/>
        </w:rPr>
        <w:t xml:space="preserve">еопходно </w:t>
      </w:r>
      <w:r w:rsidR="00FB4232" w:rsidRPr="00671E8F">
        <w:rPr>
          <w:color w:val="0070C0"/>
        </w:rPr>
        <w:t>ће бити</w:t>
      </w:r>
      <w:r w:rsidR="000353A6" w:rsidRPr="00671E8F">
        <w:rPr>
          <w:color w:val="0070C0"/>
        </w:rPr>
        <w:t xml:space="preserve"> постепено заоштравање фискалне политике и </w:t>
      </w:r>
      <w:r w:rsidR="00FB4232" w:rsidRPr="00671E8F">
        <w:rPr>
          <w:color w:val="0070C0"/>
        </w:rPr>
        <w:t>усмереност</w:t>
      </w:r>
      <w:r w:rsidR="000353A6" w:rsidRPr="00671E8F">
        <w:rPr>
          <w:color w:val="0070C0"/>
        </w:rPr>
        <w:t xml:space="preserve"> на </w:t>
      </w:r>
      <w:r w:rsidR="00BA7EC0" w:rsidRPr="00671E8F">
        <w:rPr>
          <w:color w:val="0070C0"/>
        </w:rPr>
        <w:t>спровођење</w:t>
      </w:r>
      <w:r w:rsidR="000353A6" w:rsidRPr="00671E8F">
        <w:rPr>
          <w:color w:val="0070C0"/>
        </w:rPr>
        <w:t xml:space="preserve"> средњорочне фискалне консолидације у циљу осигурања одрживости јавног дуга</w:t>
      </w:r>
      <w:r w:rsidR="009E3207" w:rsidRPr="00671E8F">
        <w:rPr>
          <w:color w:val="0070C0"/>
        </w:rPr>
        <w:t xml:space="preserve"> и стабилности јавних финансија, као и </w:t>
      </w:r>
      <w:r w:rsidR="000353A6" w:rsidRPr="00671E8F">
        <w:rPr>
          <w:color w:val="0070C0"/>
        </w:rPr>
        <w:t>за обнову фискалних резерви које би ојачале отпорност на евентуалне будуће шокове</w:t>
      </w:r>
      <w:r w:rsidR="009E3207" w:rsidRPr="00671E8F">
        <w:rPr>
          <w:color w:val="0070C0"/>
        </w:rPr>
        <w:t>.</w:t>
      </w:r>
    </w:p>
    <w:p w14:paraId="4316655C" w14:textId="5FD50658" w:rsidR="000353A6" w:rsidRPr="00671E8F" w:rsidRDefault="000353A6" w:rsidP="001232FD">
      <w:pPr>
        <w:spacing w:after="600"/>
        <w:rPr>
          <w:color w:val="0070C0"/>
        </w:rPr>
        <w:sectPr w:rsidR="000353A6" w:rsidRPr="00671E8F" w:rsidSect="000353A6">
          <w:type w:val="continuous"/>
          <w:pgSz w:w="12240" w:h="15840"/>
          <w:pgMar w:top="1440" w:right="1440" w:bottom="1440" w:left="1440" w:header="708" w:footer="708" w:gutter="0"/>
          <w:cols w:num="2" w:space="708"/>
          <w:docGrid w:linePitch="360"/>
        </w:sectPr>
      </w:pPr>
      <w:r w:rsidRPr="00671E8F">
        <w:rPr>
          <w:color w:val="0070C0"/>
        </w:rPr>
        <w:t>Фактори који ће у значајној мери одредити путању будућег раста зависе од брзине и темпа креирања нових фискалних резерви за случај будућих шокова, реформи које подстичу продуктивност, као и улагања у људски капитал, зелену и</w:t>
      </w:r>
      <w:r w:rsidR="007A1E20" w:rsidRPr="00671E8F">
        <w:rPr>
          <w:color w:val="0070C0"/>
        </w:rPr>
        <w:t xml:space="preserve"> дигиталну транзицију. Потребна </w:t>
      </w:r>
      <w:r w:rsidRPr="00671E8F">
        <w:rPr>
          <w:color w:val="0070C0"/>
        </w:rPr>
        <w:t xml:space="preserve">је мултилатерална сарадња како би се ограничили трошкови и ризици геоекономске фрагментације и климатских промена, убрзао прелазак на зелену енергију и </w:t>
      </w:r>
      <w:r w:rsidR="001232FD" w:rsidRPr="00671E8F">
        <w:rPr>
          <w:color w:val="0070C0"/>
        </w:rPr>
        <w:t>подстакло реструктурирање дуга.</w:t>
      </w:r>
    </w:p>
    <w:p w14:paraId="4D3B5815" w14:textId="0A7EFE78" w:rsidR="000353A6" w:rsidRPr="00671E8F" w:rsidRDefault="000353A6" w:rsidP="000353A6">
      <w:pPr>
        <w:jc w:val="left"/>
        <w:rPr>
          <w:rFonts w:cstheme="minorHAnsi"/>
          <w:b/>
          <w:color w:val="002060"/>
          <w:sz w:val="22"/>
        </w:rPr>
      </w:pPr>
      <w:r w:rsidRPr="00671E8F">
        <w:rPr>
          <w:rFonts w:cstheme="minorHAnsi"/>
          <w:b/>
          <w:color w:val="002060"/>
          <w:sz w:val="22"/>
        </w:rPr>
        <w:t>Макроекономске процене Међународног монетарног фонда (ММФ)</w:t>
      </w:r>
    </w:p>
    <w:p w14:paraId="6BA344E7" w14:textId="54146326" w:rsidR="000353A6" w:rsidRPr="00671E8F" w:rsidRDefault="000353A6" w:rsidP="001232FD">
      <w:pPr>
        <w:rPr>
          <w:rFonts w:cstheme="minorHAnsi"/>
          <w:bCs/>
          <w:iCs/>
          <w:szCs w:val="18"/>
        </w:rPr>
        <w:sectPr w:rsidR="000353A6" w:rsidRPr="00671E8F" w:rsidSect="000353A6">
          <w:type w:val="continuous"/>
          <w:pgSz w:w="12240" w:h="15840"/>
          <w:pgMar w:top="1440" w:right="1440" w:bottom="1440" w:left="1440" w:header="708" w:footer="708" w:gutter="0"/>
          <w:cols w:num="2" w:space="708"/>
          <w:docGrid w:linePitch="360"/>
        </w:sectPr>
      </w:pPr>
      <w:r w:rsidRPr="00671E8F">
        <w:rPr>
          <w:rFonts w:cstheme="minorHAnsi"/>
          <w:bCs/>
          <w:iCs/>
          <w:szCs w:val="18"/>
        </w:rPr>
        <w:t>Упркос вишеструким шоковима који су последњих година обликовали глобалне економске трендове – пандемија, ратови, климатске катастрофе, инфлација и заоштравање глобалних финансијских услова –</w:t>
      </w:r>
      <w:r w:rsidR="00BA7EC0" w:rsidRPr="00671E8F">
        <w:rPr>
          <w:rFonts w:cstheme="minorHAnsi"/>
          <w:bCs/>
          <w:iCs/>
          <w:szCs w:val="18"/>
        </w:rPr>
        <w:t xml:space="preserve"> </w:t>
      </w:r>
      <w:r w:rsidRPr="00671E8F">
        <w:rPr>
          <w:rFonts w:cstheme="minorHAnsi"/>
          <w:bCs/>
          <w:iCs/>
          <w:szCs w:val="18"/>
        </w:rPr>
        <w:t xml:space="preserve">финансијски и економски изгледи </w:t>
      </w:r>
      <w:r w:rsidR="00BA7EC0" w:rsidRPr="00671E8F">
        <w:rPr>
          <w:rFonts w:cstheme="minorHAnsi"/>
          <w:bCs/>
          <w:iCs/>
          <w:szCs w:val="18"/>
        </w:rPr>
        <w:t xml:space="preserve">у међународном окружењу </w:t>
      </w:r>
      <w:r w:rsidRPr="00671E8F">
        <w:rPr>
          <w:rFonts w:cstheme="minorHAnsi"/>
          <w:bCs/>
          <w:iCs/>
          <w:szCs w:val="18"/>
        </w:rPr>
        <w:t xml:space="preserve">су се </w:t>
      </w:r>
      <w:r w:rsidR="0015584F" w:rsidRPr="00671E8F">
        <w:rPr>
          <w:rFonts w:cstheme="minorHAnsi"/>
          <w:bCs/>
          <w:iCs/>
          <w:szCs w:val="18"/>
        </w:rPr>
        <w:t>стабилизовали</w:t>
      </w:r>
      <w:r w:rsidRPr="00671E8F">
        <w:rPr>
          <w:rFonts w:cstheme="minorHAnsi"/>
          <w:bCs/>
          <w:iCs/>
          <w:szCs w:val="18"/>
        </w:rPr>
        <w:t xml:space="preserve">. Према </w:t>
      </w:r>
      <w:r w:rsidR="0015584F" w:rsidRPr="00671E8F">
        <w:rPr>
          <w:rFonts w:cstheme="minorHAnsi"/>
          <w:bCs/>
          <w:iCs/>
          <w:szCs w:val="18"/>
        </w:rPr>
        <w:t xml:space="preserve">октобарским </w:t>
      </w:r>
      <w:r w:rsidRPr="00671E8F">
        <w:rPr>
          <w:rFonts w:cstheme="minorHAnsi"/>
          <w:bCs/>
          <w:iCs/>
          <w:szCs w:val="18"/>
        </w:rPr>
        <w:t>проценама ММФ, г</w:t>
      </w:r>
      <w:r w:rsidR="0015584F" w:rsidRPr="00671E8F">
        <w:rPr>
          <w:rFonts w:cstheme="minorHAnsi"/>
          <w:bCs/>
          <w:iCs/>
          <w:szCs w:val="18"/>
        </w:rPr>
        <w:t>лобални економски раст је у 2024. години износиће</w:t>
      </w:r>
      <w:r w:rsidRPr="00671E8F">
        <w:rPr>
          <w:rFonts w:cstheme="minorHAnsi"/>
          <w:bCs/>
          <w:iCs/>
          <w:szCs w:val="18"/>
        </w:rPr>
        <w:t xml:space="preserve"> 3,2% и очекује се да ће настав</w:t>
      </w:r>
      <w:r w:rsidR="0015584F" w:rsidRPr="00671E8F">
        <w:rPr>
          <w:rFonts w:cstheme="minorHAnsi"/>
          <w:bCs/>
          <w:iCs/>
          <w:szCs w:val="18"/>
        </w:rPr>
        <w:t xml:space="preserve">ити истом </w:t>
      </w:r>
      <w:r w:rsidR="0015584F" w:rsidRPr="00671E8F">
        <w:rPr>
          <w:rFonts w:cstheme="minorHAnsi"/>
          <w:bCs/>
          <w:iCs/>
          <w:szCs w:val="18"/>
        </w:rPr>
        <w:t xml:space="preserve">динамиком и у 2025. години, што је непромењено у односу на претходна очекивања. </w:t>
      </w:r>
      <w:r w:rsidRPr="00671E8F">
        <w:rPr>
          <w:rFonts w:cstheme="minorHAnsi"/>
          <w:bCs/>
          <w:iCs/>
          <w:szCs w:val="18"/>
        </w:rPr>
        <w:t>Ипак, темпо експанзије је низак у по</w:t>
      </w:r>
      <w:r w:rsidR="00C812ED" w:rsidRPr="00671E8F">
        <w:rPr>
          <w:rFonts w:cstheme="minorHAnsi"/>
          <w:bCs/>
          <w:iCs/>
          <w:szCs w:val="18"/>
        </w:rPr>
        <w:t>ређењу с историјским трендови</w:t>
      </w:r>
      <w:r w:rsidR="000F7F33" w:rsidRPr="00671E8F">
        <w:rPr>
          <w:rFonts w:cstheme="minorHAnsi"/>
          <w:bCs/>
          <w:iCs/>
          <w:szCs w:val="18"/>
        </w:rPr>
        <w:t>ма</w:t>
      </w:r>
      <w:r w:rsidRPr="00671E8F">
        <w:rPr>
          <w:rFonts w:cstheme="minorHAnsi"/>
          <w:bCs/>
          <w:iCs/>
          <w:szCs w:val="18"/>
        </w:rPr>
        <w:t>, како због краткорочних фактора као што су и даље високи трошкови задуживања и смањење фискалне подршке, тако и због дугорочних ефеката изазваних пандемијом COVID-19 и сукобом у Украјин</w:t>
      </w:r>
      <w:r w:rsidR="00452B6F" w:rsidRPr="00671E8F">
        <w:rPr>
          <w:rFonts w:cstheme="minorHAnsi"/>
          <w:bCs/>
          <w:iCs/>
          <w:szCs w:val="18"/>
        </w:rPr>
        <w:t>и, слабог раста продуктивности,</w:t>
      </w:r>
      <w:r w:rsidRPr="00671E8F">
        <w:rPr>
          <w:rFonts w:cstheme="minorHAnsi"/>
          <w:bCs/>
          <w:iCs/>
          <w:szCs w:val="18"/>
        </w:rPr>
        <w:t xml:space="preserve"> рас</w:t>
      </w:r>
      <w:r w:rsidR="00793531" w:rsidRPr="00671E8F">
        <w:rPr>
          <w:rFonts w:cstheme="minorHAnsi"/>
          <w:bCs/>
          <w:iCs/>
          <w:szCs w:val="18"/>
        </w:rPr>
        <w:t>тућег геоекономског фрагментирањ</w:t>
      </w:r>
      <w:r w:rsidRPr="00671E8F">
        <w:rPr>
          <w:rFonts w:cstheme="minorHAnsi"/>
          <w:bCs/>
          <w:iCs/>
          <w:szCs w:val="18"/>
        </w:rPr>
        <w:t>а и пов</w:t>
      </w:r>
      <w:r w:rsidR="001232FD" w:rsidRPr="00671E8F">
        <w:rPr>
          <w:rFonts w:cstheme="minorHAnsi"/>
          <w:bCs/>
          <w:iCs/>
          <w:szCs w:val="18"/>
        </w:rPr>
        <w:t>ећања регионалних неједнакости.</w:t>
      </w:r>
      <w:r w:rsidR="00984A71" w:rsidRPr="00671E8F">
        <w:rPr>
          <w:rFonts w:cstheme="minorHAnsi"/>
          <w:bCs/>
          <w:iCs/>
          <w:szCs w:val="18"/>
        </w:rPr>
        <w:t xml:space="preserve"> </w:t>
      </w:r>
    </w:p>
    <w:p w14:paraId="7197333F" w14:textId="77777777" w:rsidR="000353A6" w:rsidRPr="00671E8F" w:rsidRDefault="000353A6">
      <w:pPr>
        <w:rPr>
          <w:color w:val="FF0000"/>
        </w:rPr>
      </w:pPr>
      <w:r w:rsidRPr="00671E8F">
        <w:rPr>
          <w:color w:val="FF0000"/>
        </w:rPr>
        <w:br w:type="page"/>
      </w:r>
    </w:p>
    <w:tbl>
      <w:tblPr>
        <w:tblStyle w:val="TableGrid"/>
        <w:tblW w:w="500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61"/>
        <w:gridCol w:w="1042"/>
        <w:gridCol w:w="1042"/>
        <w:gridCol w:w="1042"/>
        <w:gridCol w:w="1042"/>
        <w:gridCol w:w="1042"/>
      </w:tblGrid>
      <w:tr w:rsidR="003A1286" w:rsidRPr="00671E8F" w14:paraId="53DC502B" w14:textId="77777777" w:rsidTr="0022579F">
        <w:trPr>
          <w:trHeight w:val="351"/>
        </w:trPr>
        <w:tc>
          <w:tcPr>
            <w:tcW w:w="5000" w:type="pct"/>
            <w:gridSpan w:val="6"/>
            <w:tcBorders>
              <w:bottom w:val="single" w:sz="4" w:space="0" w:color="002060"/>
            </w:tcBorders>
            <w:vAlign w:val="center"/>
          </w:tcPr>
          <w:p w14:paraId="4F2EDCE0" w14:textId="77777777" w:rsidR="003A1286" w:rsidRPr="00671E8F" w:rsidRDefault="003A1286" w:rsidP="0022579F">
            <w:pPr>
              <w:jc w:val="center"/>
              <w:rPr>
                <w:rFonts w:cstheme="minorHAnsi"/>
                <w:b/>
              </w:rPr>
            </w:pPr>
            <w:r w:rsidRPr="00671E8F">
              <w:rPr>
                <w:rFonts w:cstheme="minorHAnsi"/>
                <w:b/>
              </w:rPr>
              <w:lastRenderedPageBreak/>
              <w:t>Табела 1. Међународно окружење – макроекономски показатељи</w:t>
            </w:r>
          </w:p>
        </w:tc>
      </w:tr>
      <w:tr w:rsidR="003A1286" w:rsidRPr="00671E8F" w14:paraId="7CC3F85C" w14:textId="77777777" w:rsidTr="0022579F">
        <w:trPr>
          <w:trHeight w:val="180"/>
        </w:trPr>
        <w:tc>
          <w:tcPr>
            <w:tcW w:w="2220"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45FC76CF" w14:textId="77777777" w:rsidR="003A1286" w:rsidRPr="00671E8F" w:rsidRDefault="003A1286" w:rsidP="0022579F">
            <w:pPr>
              <w:rPr>
                <w:rFonts w:cstheme="minorHAnsi"/>
                <w:sz w:val="18"/>
              </w:rPr>
            </w:pP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0166C057" w14:textId="77777777" w:rsidR="003A1286" w:rsidRPr="00671E8F" w:rsidRDefault="003A1286" w:rsidP="0022579F">
            <w:pPr>
              <w:jc w:val="center"/>
              <w:rPr>
                <w:rFonts w:cstheme="minorHAnsi"/>
                <w:sz w:val="18"/>
              </w:rPr>
            </w:pPr>
            <w:r w:rsidRPr="00671E8F">
              <w:rPr>
                <w:rFonts w:cstheme="minorHAnsi"/>
                <w:sz w:val="18"/>
              </w:rPr>
              <w:t>2023</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5DED749D" w14:textId="77777777" w:rsidR="003A1286" w:rsidRPr="00671E8F" w:rsidRDefault="003A1286" w:rsidP="0022579F">
            <w:pPr>
              <w:jc w:val="center"/>
              <w:rPr>
                <w:rFonts w:cstheme="minorHAnsi"/>
                <w:sz w:val="18"/>
              </w:rPr>
            </w:pPr>
            <w:r w:rsidRPr="00671E8F">
              <w:rPr>
                <w:rFonts w:cstheme="minorHAnsi"/>
                <w:sz w:val="18"/>
              </w:rPr>
              <w:t>2024</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799F8EEA" w14:textId="77777777" w:rsidR="003A1286" w:rsidRPr="00671E8F" w:rsidRDefault="003A1286" w:rsidP="0022579F">
            <w:pPr>
              <w:jc w:val="center"/>
              <w:rPr>
                <w:rFonts w:cstheme="minorHAnsi"/>
                <w:sz w:val="18"/>
              </w:rPr>
            </w:pPr>
            <w:r w:rsidRPr="00671E8F">
              <w:rPr>
                <w:rFonts w:cstheme="minorHAnsi"/>
                <w:sz w:val="18"/>
              </w:rPr>
              <w:t>2025</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793A912E" w14:textId="77777777" w:rsidR="003A1286" w:rsidRPr="00671E8F" w:rsidRDefault="003A1286" w:rsidP="0022579F">
            <w:pPr>
              <w:jc w:val="center"/>
              <w:rPr>
                <w:rFonts w:cstheme="minorHAnsi"/>
                <w:sz w:val="18"/>
              </w:rPr>
            </w:pPr>
            <w:r w:rsidRPr="00671E8F">
              <w:rPr>
                <w:rFonts w:cstheme="minorHAnsi"/>
                <w:sz w:val="18"/>
              </w:rPr>
              <w:t>2026</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56E07A62" w14:textId="77777777" w:rsidR="003A1286" w:rsidRPr="00671E8F" w:rsidRDefault="003A1286" w:rsidP="0022579F">
            <w:pPr>
              <w:jc w:val="center"/>
              <w:rPr>
                <w:rFonts w:cstheme="minorHAnsi"/>
                <w:sz w:val="18"/>
              </w:rPr>
            </w:pPr>
            <w:r w:rsidRPr="00671E8F">
              <w:rPr>
                <w:rFonts w:cstheme="minorHAnsi"/>
                <w:sz w:val="18"/>
              </w:rPr>
              <w:t>2027</w:t>
            </w:r>
          </w:p>
        </w:tc>
      </w:tr>
      <w:tr w:rsidR="003A1286" w:rsidRPr="00671E8F" w14:paraId="742232E2" w14:textId="77777777" w:rsidTr="0022579F">
        <w:trPr>
          <w:trHeight w:val="190"/>
        </w:trPr>
        <w:tc>
          <w:tcPr>
            <w:tcW w:w="2220" w:type="pct"/>
            <w:tcBorders>
              <w:top w:val="single" w:sz="2" w:space="0" w:color="FFFFFF" w:themeColor="background1"/>
              <w:left w:val="single" w:sz="2" w:space="0" w:color="FFFFFF" w:themeColor="background1"/>
              <w:bottom w:val="single" w:sz="2" w:space="0" w:color="FFFFFF" w:themeColor="background1"/>
            </w:tcBorders>
            <w:shd w:val="clear" w:color="auto" w:fill="E7E6E6" w:themeFill="background2"/>
          </w:tcPr>
          <w:p w14:paraId="051BDDCF" w14:textId="77777777" w:rsidR="003A1286" w:rsidRPr="00671E8F" w:rsidRDefault="003A1286" w:rsidP="0022579F">
            <w:pPr>
              <w:rPr>
                <w:rFonts w:cstheme="minorHAnsi"/>
                <w:sz w:val="18"/>
              </w:rPr>
            </w:pPr>
            <w:r w:rsidRPr="00671E8F">
              <w:rPr>
                <w:rFonts w:cstheme="minorHAnsi"/>
                <w:sz w:val="18"/>
              </w:rPr>
              <w:t>Реални раст БДП</w:t>
            </w:r>
            <w:r w:rsidRPr="00671E8F">
              <w:rPr>
                <w:rFonts w:cstheme="minorHAnsi"/>
                <w:sz w:val="18"/>
                <w:vertAlign w:val="superscript"/>
              </w:rPr>
              <w:t>1</w:t>
            </w:r>
            <w:r w:rsidRPr="00671E8F">
              <w:rPr>
                <w:rFonts w:cstheme="minorHAnsi"/>
                <w:sz w:val="18"/>
              </w:rPr>
              <w:t>, %</w:t>
            </w:r>
          </w:p>
        </w:tc>
        <w:tc>
          <w:tcPr>
            <w:tcW w:w="556" w:type="pct"/>
            <w:tcBorders>
              <w:top w:val="single" w:sz="2" w:space="0" w:color="FFFFFF" w:themeColor="background1"/>
              <w:bottom w:val="single" w:sz="2" w:space="0" w:color="FFFFFF" w:themeColor="background1"/>
            </w:tcBorders>
            <w:shd w:val="clear" w:color="auto" w:fill="E7E6E6" w:themeFill="background2"/>
          </w:tcPr>
          <w:p w14:paraId="1918EF65" w14:textId="77777777" w:rsidR="003A1286" w:rsidRPr="00671E8F" w:rsidRDefault="003A1286" w:rsidP="0022579F">
            <w:pPr>
              <w:rPr>
                <w:rFonts w:cstheme="minorHAnsi"/>
                <w:sz w:val="18"/>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6CA4BB13" w14:textId="77777777" w:rsidR="003A1286" w:rsidRPr="00671E8F" w:rsidRDefault="003A1286" w:rsidP="0022579F">
            <w:pPr>
              <w:rPr>
                <w:rFonts w:cstheme="minorHAnsi"/>
                <w:sz w:val="18"/>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06A9A963" w14:textId="77777777" w:rsidR="003A1286" w:rsidRPr="00671E8F" w:rsidRDefault="003A1286" w:rsidP="0022579F">
            <w:pPr>
              <w:rPr>
                <w:rFonts w:cstheme="minorHAnsi"/>
                <w:sz w:val="18"/>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35D3FA94" w14:textId="77777777" w:rsidR="003A1286" w:rsidRPr="00671E8F" w:rsidRDefault="003A1286" w:rsidP="0022579F">
            <w:pPr>
              <w:rPr>
                <w:rFonts w:cstheme="minorHAnsi"/>
                <w:sz w:val="18"/>
              </w:rPr>
            </w:pPr>
          </w:p>
        </w:tc>
        <w:tc>
          <w:tcPr>
            <w:tcW w:w="556" w:type="pct"/>
            <w:tcBorders>
              <w:top w:val="single" w:sz="2" w:space="0" w:color="FFFFFF" w:themeColor="background1"/>
              <w:bottom w:val="single" w:sz="2" w:space="0" w:color="FFFFFF" w:themeColor="background1"/>
              <w:right w:val="single" w:sz="2" w:space="0" w:color="FFFFFF" w:themeColor="background1"/>
            </w:tcBorders>
            <w:shd w:val="clear" w:color="auto" w:fill="E7E6E6" w:themeFill="background2"/>
          </w:tcPr>
          <w:p w14:paraId="2040E1C6" w14:textId="77777777" w:rsidR="003A1286" w:rsidRPr="00671E8F" w:rsidRDefault="003A1286" w:rsidP="0022579F">
            <w:pPr>
              <w:rPr>
                <w:rFonts w:cstheme="minorHAnsi"/>
                <w:sz w:val="18"/>
              </w:rPr>
            </w:pPr>
          </w:p>
        </w:tc>
      </w:tr>
      <w:tr w:rsidR="003A1286" w:rsidRPr="00671E8F" w14:paraId="4AABC4AF" w14:textId="77777777" w:rsidTr="0022579F">
        <w:trPr>
          <w:trHeight w:val="190"/>
        </w:trPr>
        <w:tc>
          <w:tcPr>
            <w:tcW w:w="2220" w:type="pct"/>
            <w:tcBorders>
              <w:top w:val="single" w:sz="2" w:space="0" w:color="FFFFFF" w:themeColor="background1"/>
            </w:tcBorders>
          </w:tcPr>
          <w:p w14:paraId="5F06ECA7" w14:textId="77777777" w:rsidR="003A1286" w:rsidRPr="00671E8F" w:rsidRDefault="003A1286" w:rsidP="0022579F">
            <w:pPr>
              <w:ind w:left="255"/>
              <w:rPr>
                <w:rFonts w:cstheme="minorHAnsi"/>
                <w:sz w:val="18"/>
              </w:rPr>
            </w:pPr>
            <w:r w:rsidRPr="00671E8F">
              <w:rPr>
                <w:rFonts w:cstheme="minorHAnsi"/>
                <w:sz w:val="18"/>
              </w:rPr>
              <w:t>Свет укупно</w:t>
            </w:r>
          </w:p>
        </w:tc>
        <w:tc>
          <w:tcPr>
            <w:tcW w:w="556" w:type="pct"/>
            <w:tcBorders>
              <w:top w:val="single" w:sz="2" w:space="0" w:color="FFFFFF" w:themeColor="background1"/>
            </w:tcBorders>
            <w:vAlign w:val="center"/>
          </w:tcPr>
          <w:p w14:paraId="27B1B9E1"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3,3</w:t>
            </w:r>
          </w:p>
        </w:tc>
        <w:tc>
          <w:tcPr>
            <w:tcW w:w="556" w:type="pct"/>
            <w:tcBorders>
              <w:top w:val="single" w:sz="2" w:space="0" w:color="FFFFFF" w:themeColor="background1"/>
            </w:tcBorders>
            <w:vAlign w:val="center"/>
          </w:tcPr>
          <w:p w14:paraId="6834C633"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3,2</w:t>
            </w:r>
          </w:p>
        </w:tc>
        <w:tc>
          <w:tcPr>
            <w:tcW w:w="556" w:type="pct"/>
            <w:tcBorders>
              <w:top w:val="single" w:sz="2" w:space="0" w:color="FFFFFF" w:themeColor="background1"/>
            </w:tcBorders>
            <w:vAlign w:val="center"/>
          </w:tcPr>
          <w:p w14:paraId="4BA48E1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3,2</w:t>
            </w:r>
          </w:p>
        </w:tc>
        <w:tc>
          <w:tcPr>
            <w:tcW w:w="556" w:type="pct"/>
            <w:tcBorders>
              <w:top w:val="single" w:sz="2" w:space="0" w:color="FFFFFF" w:themeColor="background1"/>
            </w:tcBorders>
            <w:vAlign w:val="center"/>
          </w:tcPr>
          <w:p w14:paraId="02EBA9A1" w14:textId="77777777" w:rsidR="003A1286" w:rsidRPr="00671E8F" w:rsidRDefault="003A1286" w:rsidP="0022579F">
            <w:pPr>
              <w:jc w:val="center"/>
              <w:rPr>
                <w:rFonts w:cstheme="minorHAnsi"/>
                <w:sz w:val="18"/>
                <w:szCs w:val="18"/>
              </w:rPr>
            </w:pPr>
            <w:r w:rsidRPr="00671E8F">
              <w:rPr>
                <w:rFonts w:cstheme="minorHAnsi"/>
                <w:sz w:val="18"/>
                <w:szCs w:val="18"/>
              </w:rPr>
              <w:t>3,3</w:t>
            </w:r>
          </w:p>
        </w:tc>
        <w:tc>
          <w:tcPr>
            <w:tcW w:w="556" w:type="pct"/>
            <w:tcBorders>
              <w:top w:val="single" w:sz="2" w:space="0" w:color="FFFFFF" w:themeColor="background1"/>
            </w:tcBorders>
            <w:vAlign w:val="center"/>
          </w:tcPr>
          <w:p w14:paraId="25D72B7B" w14:textId="77777777" w:rsidR="003A1286" w:rsidRPr="00671E8F" w:rsidRDefault="003A1286" w:rsidP="0022579F">
            <w:pPr>
              <w:jc w:val="center"/>
              <w:rPr>
                <w:rFonts w:cstheme="minorHAnsi"/>
                <w:sz w:val="18"/>
                <w:szCs w:val="18"/>
              </w:rPr>
            </w:pPr>
            <w:r w:rsidRPr="00671E8F">
              <w:rPr>
                <w:rFonts w:cstheme="minorHAnsi"/>
                <w:sz w:val="18"/>
                <w:szCs w:val="18"/>
              </w:rPr>
              <w:t>3,2</w:t>
            </w:r>
          </w:p>
        </w:tc>
      </w:tr>
      <w:tr w:rsidR="003A1286" w:rsidRPr="00671E8F" w14:paraId="76C7C5BD" w14:textId="77777777" w:rsidTr="0022579F">
        <w:trPr>
          <w:trHeight w:val="180"/>
        </w:trPr>
        <w:tc>
          <w:tcPr>
            <w:tcW w:w="2220" w:type="pct"/>
          </w:tcPr>
          <w:p w14:paraId="3AA5447E" w14:textId="77777777" w:rsidR="003A1286" w:rsidRPr="00671E8F" w:rsidRDefault="003A1286" w:rsidP="0022579F">
            <w:pPr>
              <w:ind w:left="255"/>
              <w:rPr>
                <w:rFonts w:cstheme="minorHAnsi"/>
                <w:sz w:val="18"/>
              </w:rPr>
            </w:pPr>
            <w:r w:rsidRPr="00671E8F">
              <w:rPr>
                <w:rFonts w:cstheme="minorHAnsi"/>
                <w:sz w:val="18"/>
              </w:rPr>
              <w:t>Развијене економије</w:t>
            </w:r>
          </w:p>
        </w:tc>
        <w:tc>
          <w:tcPr>
            <w:tcW w:w="556" w:type="pct"/>
            <w:vAlign w:val="center"/>
          </w:tcPr>
          <w:p w14:paraId="7141643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1,7</w:t>
            </w:r>
          </w:p>
        </w:tc>
        <w:tc>
          <w:tcPr>
            <w:tcW w:w="556" w:type="pct"/>
            <w:vAlign w:val="center"/>
          </w:tcPr>
          <w:p w14:paraId="74AEBF5D"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1,8</w:t>
            </w:r>
          </w:p>
        </w:tc>
        <w:tc>
          <w:tcPr>
            <w:tcW w:w="556" w:type="pct"/>
            <w:vAlign w:val="center"/>
          </w:tcPr>
          <w:p w14:paraId="6EF038E9"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1,8</w:t>
            </w:r>
          </w:p>
        </w:tc>
        <w:tc>
          <w:tcPr>
            <w:tcW w:w="556" w:type="pct"/>
            <w:vAlign w:val="center"/>
          </w:tcPr>
          <w:p w14:paraId="10C432AA" w14:textId="77777777" w:rsidR="003A1286" w:rsidRPr="00671E8F" w:rsidRDefault="003A1286" w:rsidP="0022579F">
            <w:pPr>
              <w:jc w:val="center"/>
              <w:rPr>
                <w:rFonts w:cstheme="minorHAnsi"/>
                <w:sz w:val="18"/>
                <w:szCs w:val="18"/>
              </w:rPr>
            </w:pPr>
            <w:r w:rsidRPr="00671E8F">
              <w:rPr>
                <w:rFonts w:cstheme="minorHAnsi"/>
                <w:sz w:val="18"/>
                <w:szCs w:val="18"/>
              </w:rPr>
              <w:t>1,8</w:t>
            </w:r>
          </w:p>
        </w:tc>
        <w:tc>
          <w:tcPr>
            <w:tcW w:w="556" w:type="pct"/>
            <w:vAlign w:val="center"/>
          </w:tcPr>
          <w:p w14:paraId="51D86C83" w14:textId="77777777" w:rsidR="003A1286" w:rsidRPr="00671E8F" w:rsidRDefault="003A1286" w:rsidP="0022579F">
            <w:pPr>
              <w:jc w:val="center"/>
              <w:rPr>
                <w:rFonts w:cstheme="minorHAnsi"/>
                <w:sz w:val="18"/>
                <w:szCs w:val="18"/>
              </w:rPr>
            </w:pPr>
            <w:r w:rsidRPr="00671E8F">
              <w:rPr>
                <w:rFonts w:cstheme="minorHAnsi"/>
                <w:sz w:val="18"/>
                <w:szCs w:val="18"/>
              </w:rPr>
              <w:t>1,7</w:t>
            </w:r>
          </w:p>
        </w:tc>
      </w:tr>
      <w:tr w:rsidR="003A1286" w:rsidRPr="00671E8F" w14:paraId="464BDC8A" w14:textId="77777777" w:rsidTr="0022579F">
        <w:trPr>
          <w:trHeight w:val="190"/>
        </w:trPr>
        <w:tc>
          <w:tcPr>
            <w:tcW w:w="2220" w:type="pct"/>
          </w:tcPr>
          <w:p w14:paraId="68F9CFEE" w14:textId="77777777" w:rsidR="003A1286" w:rsidRPr="00671E8F" w:rsidRDefault="003A1286" w:rsidP="0022579F">
            <w:pPr>
              <w:ind w:left="615" w:hanging="180"/>
              <w:rPr>
                <w:rFonts w:cstheme="minorHAnsi"/>
                <w:sz w:val="18"/>
              </w:rPr>
            </w:pPr>
            <w:r w:rsidRPr="00671E8F">
              <w:rPr>
                <w:rFonts w:cstheme="minorHAnsi"/>
                <w:sz w:val="18"/>
              </w:rPr>
              <w:t>САД</w:t>
            </w:r>
          </w:p>
        </w:tc>
        <w:tc>
          <w:tcPr>
            <w:tcW w:w="556" w:type="pct"/>
            <w:vAlign w:val="center"/>
          </w:tcPr>
          <w:p w14:paraId="52AAC96F"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2,9</w:t>
            </w:r>
          </w:p>
        </w:tc>
        <w:tc>
          <w:tcPr>
            <w:tcW w:w="556" w:type="pct"/>
            <w:vAlign w:val="center"/>
          </w:tcPr>
          <w:p w14:paraId="7CFE775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2,8</w:t>
            </w:r>
          </w:p>
        </w:tc>
        <w:tc>
          <w:tcPr>
            <w:tcW w:w="556" w:type="pct"/>
            <w:vAlign w:val="center"/>
          </w:tcPr>
          <w:p w14:paraId="49356ADF"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2,2</w:t>
            </w:r>
          </w:p>
        </w:tc>
        <w:tc>
          <w:tcPr>
            <w:tcW w:w="556" w:type="pct"/>
            <w:vAlign w:val="center"/>
          </w:tcPr>
          <w:p w14:paraId="2151C940" w14:textId="77777777" w:rsidR="003A1286" w:rsidRPr="00671E8F" w:rsidRDefault="003A1286" w:rsidP="0022579F">
            <w:pPr>
              <w:jc w:val="center"/>
              <w:rPr>
                <w:rFonts w:cstheme="minorHAnsi"/>
                <w:sz w:val="18"/>
                <w:szCs w:val="18"/>
              </w:rPr>
            </w:pPr>
            <w:r w:rsidRPr="00671E8F">
              <w:rPr>
                <w:rFonts w:cstheme="minorHAnsi"/>
                <w:sz w:val="18"/>
                <w:szCs w:val="18"/>
              </w:rPr>
              <w:t>2,0</w:t>
            </w:r>
          </w:p>
        </w:tc>
        <w:tc>
          <w:tcPr>
            <w:tcW w:w="556" w:type="pct"/>
            <w:vAlign w:val="center"/>
          </w:tcPr>
          <w:p w14:paraId="59A266BA" w14:textId="77777777" w:rsidR="003A1286" w:rsidRPr="00671E8F" w:rsidRDefault="003A1286" w:rsidP="0022579F">
            <w:pPr>
              <w:jc w:val="center"/>
              <w:rPr>
                <w:rFonts w:cstheme="minorHAnsi"/>
                <w:sz w:val="18"/>
                <w:szCs w:val="18"/>
              </w:rPr>
            </w:pPr>
            <w:r w:rsidRPr="00671E8F">
              <w:rPr>
                <w:rFonts w:cstheme="minorHAnsi"/>
                <w:sz w:val="18"/>
                <w:szCs w:val="18"/>
              </w:rPr>
              <w:t>2,1</w:t>
            </w:r>
          </w:p>
        </w:tc>
      </w:tr>
      <w:tr w:rsidR="003A1286" w:rsidRPr="00671E8F" w14:paraId="35756C56" w14:textId="77777777" w:rsidTr="0022579F">
        <w:trPr>
          <w:trHeight w:val="180"/>
        </w:trPr>
        <w:tc>
          <w:tcPr>
            <w:tcW w:w="2220" w:type="pct"/>
          </w:tcPr>
          <w:p w14:paraId="67587458" w14:textId="77777777" w:rsidR="003A1286" w:rsidRPr="00671E8F" w:rsidRDefault="003A1286" w:rsidP="0022579F">
            <w:pPr>
              <w:ind w:left="615" w:hanging="180"/>
              <w:rPr>
                <w:rFonts w:cstheme="minorHAnsi"/>
                <w:sz w:val="18"/>
              </w:rPr>
            </w:pPr>
            <w:r w:rsidRPr="00671E8F">
              <w:rPr>
                <w:rFonts w:cstheme="minorHAnsi"/>
                <w:sz w:val="18"/>
              </w:rPr>
              <w:t>Еврозона</w:t>
            </w:r>
          </w:p>
        </w:tc>
        <w:tc>
          <w:tcPr>
            <w:tcW w:w="556" w:type="pct"/>
            <w:vAlign w:val="center"/>
          </w:tcPr>
          <w:p w14:paraId="4774487B"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0,4</w:t>
            </w:r>
          </w:p>
        </w:tc>
        <w:tc>
          <w:tcPr>
            <w:tcW w:w="556" w:type="pct"/>
            <w:vAlign w:val="center"/>
          </w:tcPr>
          <w:p w14:paraId="530D81D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0,8</w:t>
            </w:r>
          </w:p>
        </w:tc>
        <w:tc>
          <w:tcPr>
            <w:tcW w:w="556" w:type="pct"/>
            <w:vAlign w:val="center"/>
          </w:tcPr>
          <w:p w14:paraId="483A987A"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1,2</w:t>
            </w:r>
          </w:p>
        </w:tc>
        <w:tc>
          <w:tcPr>
            <w:tcW w:w="556" w:type="pct"/>
            <w:vAlign w:val="center"/>
          </w:tcPr>
          <w:p w14:paraId="0AF860D5" w14:textId="77777777" w:rsidR="003A1286" w:rsidRPr="00671E8F" w:rsidRDefault="003A1286" w:rsidP="0022579F">
            <w:pPr>
              <w:jc w:val="center"/>
              <w:rPr>
                <w:rFonts w:cstheme="minorHAnsi"/>
                <w:sz w:val="18"/>
                <w:szCs w:val="18"/>
              </w:rPr>
            </w:pPr>
            <w:r w:rsidRPr="00671E8F">
              <w:rPr>
                <w:rFonts w:cstheme="minorHAnsi"/>
                <w:sz w:val="18"/>
                <w:szCs w:val="18"/>
              </w:rPr>
              <w:t>1,5</w:t>
            </w:r>
          </w:p>
        </w:tc>
        <w:tc>
          <w:tcPr>
            <w:tcW w:w="556" w:type="pct"/>
            <w:vAlign w:val="center"/>
          </w:tcPr>
          <w:p w14:paraId="75A77D0E" w14:textId="77777777" w:rsidR="003A1286" w:rsidRPr="00671E8F" w:rsidRDefault="003A1286" w:rsidP="0022579F">
            <w:pPr>
              <w:jc w:val="center"/>
              <w:rPr>
                <w:rFonts w:cstheme="minorHAnsi"/>
                <w:sz w:val="18"/>
                <w:szCs w:val="18"/>
              </w:rPr>
            </w:pPr>
            <w:r w:rsidRPr="00671E8F">
              <w:rPr>
                <w:rFonts w:cstheme="minorHAnsi"/>
                <w:sz w:val="18"/>
                <w:szCs w:val="18"/>
              </w:rPr>
              <w:t>1,4</w:t>
            </w:r>
          </w:p>
        </w:tc>
      </w:tr>
      <w:tr w:rsidR="003A1286" w:rsidRPr="00671E8F" w14:paraId="387CE635" w14:textId="77777777" w:rsidTr="0022579F">
        <w:trPr>
          <w:trHeight w:val="190"/>
        </w:trPr>
        <w:tc>
          <w:tcPr>
            <w:tcW w:w="2220" w:type="pct"/>
          </w:tcPr>
          <w:p w14:paraId="74C9E898" w14:textId="77777777" w:rsidR="003A1286" w:rsidRPr="00671E8F" w:rsidRDefault="003A1286" w:rsidP="0022579F">
            <w:pPr>
              <w:ind w:left="345" w:hanging="90"/>
              <w:rPr>
                <w:rFonts w:cstheme="minorHAnsi"/>
                <w:sz w:val="18"/>
              </w:rPr>
            </w:pPr>
            <w:r w:rsidRPr="00671E8F">
              <w:rPr>
                <w:rFonts w:cstheme="minorHAnsi"/>
                <w:sz w:val="18"/>
              </w:rPr>
              <w:t>Земље у успону</w:t>
            </w:r>
          </w:p>
        </w:tc>
        <w:tc>
          <w:tcPr>
            <w:tcW w:w="556" w:type="pct"/>
            <w:vAlign w:val="center"/>
          </w:tcPr>
          <w:p w14:paraId="00ED08C2"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4,4</w:t>
            </w:r>
          </w:p>
        </w:tc>
        <w:tc>
          <w:tcPr>
            <w:tcW w:w="556" w:type="pct"/>
            <w:vAlign w:val="center"/>
          </w:tcPr>
          <w:p w14:paraId="20759F91"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4,2</w:t>
            </w:r>
          </w:p>
        </w:tc>
        <w:tc>
          <w:tcPr>
            <w:tcW w:w="556" w:type="pct"/>
            <w:vAlign w:val="center"/>
          </w:tcPr>
          <w:p w14:paraId="5B77542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4,2</w:t>
            </w:r>
          </w:p>
        </w:tc>
        <w:tc>
          <w:tcPr>
            <w:tcW w:w="556" w:type="pct"/>
            <w:vAlign w:val="center"/>
          </w:tcPr>
          <w:p w14:paraId="0BE3E5F3" w14:textId="77777777" w:rsidR="003A1286" w:rsidRPr="00671E8F" w:rsidRDefault="003A1286" w:rsidP="0022579F">
            <w:pPr>
              <w:jc w:val="center"/>
              <w:rPr>
                <w:rFonts w:cstheme="minorHAnsi"/>
                <w:sz w:val="18"/>
                <w:szCs w:val="18"/>
              </w:rPr>
            </w:pPr>
            <w:r w:rsidRPr="00671E8F">
              <w:rPr>
                <w:rFonts w:cstheme="minorHAnsi"/>
                <w:sz w:val="18"/>
                <w:szCs w:val="18"/>
              </w:rPr>
              <w:t>4,2</w:t>
            </w:r>
          </w:p>
        </w:tc>
        <w:tc>
          <w:tcPr>
            <w:tcW w:w="556" w:type="pct"/>
            <w:vAlign w:val="center"/>
          </w:tcPr>
          <w:p w14:paraId="40F9569F" w14:textId="77777777" w:rsidR="003A1286" w:rsidRPr="00671E8F" w:rsidRDefault="003A1286" w:rsidP="0022579F">
            <w:pPr>
              <w:jc w:val="center"/>
              <w:rPr>
                <w:rFonts w:cstheme="minorHAnsi"/>
                <w:sz w:val="18"/>
                <w:szCs w:val="18"/>
              </w:rPr>
            </w:pPr>
            <w:r w:rsidRPr="00671E8F">
              <w:rPr>
                <w:rFonts w:cstheme="minorHAnsi"/>
                <w:sz w:val="18"/>
                <w:szCs w:val="18"/>
              </w:rPr>
              <w:t>4,0</w:t>
            </w:r>
          </w:p>
        </w:tc>
      </w:tr>
      <w:tr w:rsidR="003A1286" w:rsidRPr="00671E8F" w14:paraId="66EDDCDF" w14:textId="77777777" w:rsidTr="0022579F">
        <w:trPr>
          <w:trHeight w:val="180"/>
        </w:trPr>
        <w:tc>
          <w:tcPr>
            <w:tcW w:w="2220" w:type="pct"/>
          </w:tcPr>
          <w:p w14:paraId="2A984DEE" w14:textId="77777777" w:rsidR="003A1286" w:rsidRPr="00671E8F" w:rsidRDefault="003A1286" w:rsidP="0022579F">
            <w:pPr>
              <w:ind w:left="615" w:hanging="180"/>
              <w:rPr>
                <w:rFonts w:cstheme="minorHAnsi"/>
                <w:sz w:val="18"/>
              </w:rPr>
            </w:pPr>
            <w:r w:rsidRPr="00671E8F">
              <w:rPr>
                <w:rFonts w:cstheme="minorHAnsi"/>
                <w:sz w:val="18"/>
              </w:rPr>
              <w:t>Кина</w:t>
            </w:r>
          </w:p>
        </w:tc>
        <w:tc>
          <w:tcPr>
            <w:tcW w:w="556" w:type="pct"/>
            <w:vAlign w:val="center"/>
          </w:tcPr>
          <w:p w14:paraId="2FF272A9"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5,2</w:t>
            </w:r>
          </w:p>
        </w:tc>
        <w:tc>
          <w:tcPr>
            <w:tcW w:w="556" w:type="pct"/>
            <w:vAlign w:val="center"/>
          </w:tcPr>
          <w:p w14:paraId="03259703"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4,8</w:t>
            </w:r>
          </w:p>
        </w:tc>
        <w:tc>
          <w:tcPr>
            <w:tcW w:w="556" w:type="pct"/>
            <w:vAlign w:val="center"/>
          </w:tcPr>
          <w:p w14:paraId="541F0ADB"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4,5</w:t>
            </w:r>
          </w:p>
        </w:tc>
        <w:tc>
          <w:tcPr>
            <w:tcW w:w="556" w:type="pct"/>
            <w:vAlign w:val="center"/>
          </w:tcPr>
          <w:p w14:paraId="45F05950" w14:textId="77777777" w:rsidR="003A1286" w:rsidRPr="00671E8F" w:rsidRDefault="003A1286" w:rsidP="0022579F">
            <w:pPr>
              <w:jc w:val="center"/>
              <w:rPr>
                <w:rFonts w:cstheme="minorHAnsi"/>
                <w:sz w:val="18"/>
                <w:szCs w:val="18"/>
              </w:rPr>
            </w:pPr>
            <w:r w:rsidRPr="00671E8F">
              <w:rPr>
                <w:rFonts w:cstheme="minorHAnsi"/>
                <w:sz w:val="18"/>
                <w:szCs w:val="18"/>
              </w:rPr>
              <w:t>4,1</w:t>
            </w:r>
          </w:p>
        </w:tc>
        <w:tc>
          <w:tcPr>
            <w:tcW w:w="556" w:type="pct"/>
            <w:vAlign w:val="center"/>
          </w:tcPr>
          <w:p w14:paraId="309F362B" w14:textId="77777777" w:rsidR="003A1286" w:rsidRPr="00671E8F" w:rsidRDefault="003A1286" w:rsidP="0022579F">
            <w:pPr>
              <w:jc w:val="center"/>
              <w:rPr>
                <w:rFonts w:cstheme="minorHAnsi"/>
                <w:sz w:val="18"/>
                <w:szCs w:val="18"/>
              </w:rPr>
            </w:pPr>
            <w:r w:rsidRPr="00671E8F">
              <w:rPr>
                <w:rFonts w:cstheme="minorHAnsi"/>
                <w:sz w:val="18"/>
                <w:szCs w:val="18"/>
              </w:rPr>
              <w:t>3,6</w:t>
            </w:r>
          </w:p>
        </w:tc>
      </w:tr>
      <w:tr w:rsidR="003A1286" w:rsidRPr="00671E8F" w14:paraId="16EF6829" w14:textId="77777777" w:rsidTr="0022579F">
        <w:trPr>
          <w:trHeight w:val="190"/>
        </w:trPr>
        <w:tc>
          <w:tcPr>
            <w:tcW w:w="2220" w:type="pct"/>
          </w:tcPr>
          <w:p w14:paraId="4E3F3B44" w14:textId="77777777" w:rsidR="003A1286" w:rsidRPr="00671E8F" w:rsidRDefault="003A1286" w:rsidP="0022579F">
            <w:pPr>
              <w:ind w:left="615" w:hanging="180"/>
              <w:rPr>
                <w:rFonts w:cstheme="minorHAnsi"/>
                <w:sz w:val="18"/>
              </w:rPr>
            </w:pPr>
            <w:r w:rsidRPr="00671E8F">
              <w:rPr>
                <w:rFonts w:cstheme="minorHAnsi"/>
                <w:sz w:val="18"/>
              </w:rPr>
              <w:t xml:space="preserve">Русија </w:t>
            </w:r>
          </w:p>
        </w:tc>
        <w:tc>
          <w:tcPr>
            <w:tcW w:w="556" w:type="pct"/>
            <w:vAlign w:val="center"/>
          </w:tcPr>
          <w:p w14:paraId="6AD17AE3"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3,6</w:t>
            </w:r>
          </w:p>
        </w:tc>
        <w:tc>
          <w:tcPr>
            <w:tcW w:w="556" w:type="pct"/>
            <w:vAlign w:val="center"/>
          </w:tcPr>
          <w:p w14:paraId="016458D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3,6</w:t>
            </w:r>
          </w:p>
        </w:tc>
        <w:tc>
          <w:tcPr>
            <w:tcW w:w="556" w:type="pct"/>
            <w:vAlign w:val="center"/>
          </w:tcPr>
          <w:p w14:paraId="01B10C0C"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1,3</w:t>
            </w:r>
          </w:p>
        </w:tc>
        <w:tc>
          <w:tcPr>
            <w:tcW w:w="556" w:type="pct"/>
            <w:vAlign w:val="center"/>
          </w:tcPr>
          <w:p w14:paraId="0027D6F8" w14:textId="77777777" w:rsidR="003A1286" w:rsidRPr="00671E8F" w:rsidRDefault="003A1286" w:rsidP="0022579F">
            <w:pPr>
              <w:jc w:val="center"/>
              <w:rPr>
                <w:rFonts w:cstheme="minorHAnsi"/>
                <w:sz w:val="18"/>
                <w:szCs w:val="18"/>
              </w:rPr>
            </w:pPr>
            <w:r w:rsidRPr="00671E8F">
              <w:rPr>
                <w:rFonts w:cstheme="minorHAnsi"/>
                <w:sz w:val="18"/>
                <w:szCs w:val="18"/>
              </w:rPr>
              <w:t>1,2</w:t>
            </w:r>
          </w:p>
        </w:tc>
        <w:tc>
          <w:tcPr>
            <w:tcW w:w="556" w:type="pct"/>
            <w:vAlign w:val="center"/>
          </w:tcPr>
          <w:p w14:paraId="136EA653" w14:textId="77777777" w:rsidR="003A1286" w:rsidRPr="00671E8F" w:rsidRDefault="003A1286" w:rsidP="0022579F">
            <w:pPr>
              <w:jc w:val="center"/>
              <w:rPr>
                <w:rFonts w:cstheme="minorHAnsi"/>
                <w:sz w:val="18"/>
                <w:szCs w:val="18"/>
              </w:rPr>
            </w:pPr>
            <w:r w:rsidRPr="00671E8F">
              <w:rPr>
                <w:rFonts w:cstheme="minorHAnsi"/>
                <w:sz w:val="18"/>
                <w:szCs w:val="18"/>
              </w:rPr>
              <w:t>1,2</w:t>
            </w:r>
          </w:p>
        </w:tc>
      </w:tr>
      <w:tr w:rsidR="003A1286" w:rsidRPr="00671E8F" w14:paraId="48341F0C" w14:textId="77777777" w:rsidTr="0022579F">
        <w:trPr>
          <w:trHeight w:val="180"/>
        </w:trPr>
        <w:tc>
          <w:tcPr>
            <w:tcW w:w="2220" w:type="pct"/>
          </w:tcPr>
          <w:p w14:paraId="797BB2E0" w14:textId="77777777" w:rsidR="003A1286" w:rsidRPr="00671E8F" w:rsidRDefault="003A1286" w:rsidP="0022579F">
            <w:pPr>
              <w:ind w:left="345" w:hanging="90"/>
              <w:rPr>
                <w:rFonts w:cstheme="minorHAnsi"/>
                <w:sz w:val="18"/>
              </w:rPr>
            </w:pPr>
            <w:r w:rsidRPr="00671E8F">
              <w:rPr>
                <w:rFonts w:cstheme="minorHAnsi"/>
                <w:sz w:val="18"/>
              </w:rPr>
              <w:t>Раст светске трговине, %</w:t>
            </w:r>
          </w:p>
        </w:tc>
        <w:tc>
          <w:tcPr>
            <w:tcW w:w="556" w:type="pct"/>
            <w:vAlign w:val="center"/>
          </w:tcPr>
          <w:p w14:paraId="198A2E3E" w14:textId="596F32F3"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0</w:t>
            </w:r>
            <w:r w:rsidR="00125397" w:rsidRPr="00671E8F">
              <w:rPr>
                <w:rFonts w:eastAsia="Times New Roman" w:cstheme="minorHAnsi"/>
                <w:sz w:val="18"/>
                <w:szCs w:val="18"/>
                <w:lang w:eastAsia="en-GB"/>
              </w:rPr>
              <w:t>,8</w:t>
            </w:r>
          </w:p>
        </w:tc>
        <w:tc>
          <w:tcPr>
            <w:tcW w:w="556" w:type="pct"/>
            <w:vAlign w:val="center"/>
          </w:tcPr>
          <w:p w14:paraId="651CC58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3,1</w:t>
            </w:r>
          </w:p>
        </w:tc>
        <w:tc>
          <w:tcPr>
            <w:tcW w:w="556" w:type="pct"/>
            <w:vAlign w:val="center"/>
          </w:tcPr>
          <w:p w14:paraId="1BD2D76A"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3,4</w:t>
            </w:r>
          </w:p>
        </w:tc>
        <w:tc>
          <w:tcPr>
            <w:tcW w:w="556" w:type="pct"/>
            <w:vAlign w:val="center"/>
          </w:tcPr>
          <w:p w14:paraId="029EAB4B" w14:textId="77777777" w:rsidR="003A1286" w:rsidRPr="00671E8F" w:rsidRDefault="003A1286" w:rsidP="0022579F">
            <w:pPr>
              <w:jc w:val="center"/>
              <w:rPr>
                <w:rFonts w:cstheme="minorHAnsi"/>
                <w:sz w:val="18"/>
                <w:szCs w:val="18"/>
              </w:rPr>
            </w:pPr>
            <w:r w:rsidRPr="00671E8F">
              <w:rPr>
                <w:rFonts w:cstheme="minorHAnsi"/>
                <w:sz w:val="18"/>
                <w:szCs w:val="18"/>
              </w:rPr>
              <w:t>3,4</w:t>
            </w:r>
          </w:p>
        </w:tc>
        <w:tc>
          <w:tcPr>
            <w:tcW w:w="556" w:type="pct"/>
            <w:vAlign w:val="center"/>
          </w:tcPr>
          <w:p w14:paraId="1C1E0F0D" w14:textId="77777777" w:rsidR="003A1286" w:rsidRPr="00671E8F" w:rsidRDefault="003A1286" w:rsidP="0022579F">
            <w:pPr>
              <w:jc w:val="center"/>
              <w:rPr>
                <w:rFonts w:cstheme="minorHAnsi"/>
                <w:sz w:val="18"/>
                <w:szCs w:val="18"/>
              </w:rPr>
            </w:pPr>
            <w:r w:rsidRPr="00671E8F">
              <w:rPr>
                <w:rFonts w:cstheme="minorHAnsi"/>
                <w:sz w:val="18"/>
                <w:szCs w:val="18"/>
              </w:rPr>
              <w:t>3,3</w:t>
            </w:r>
          </w:p>
        </w:tc>
      </w:tr>
      <w:tr w:rsidR="003A1286" w:rsidRPr="00671E8F" w14:paraId="17261B03" w14:textId="77777777" w:rsidTr="0022579F">
        <w:trPr>
          <w:trHeight w:val="190"/>
        </w:trPr>
        <w:tc>
          <w:tcPr>
            <w:tcW w:w="2220" w:type="pct"/>
            <w:shd w:val="clear" w:color="auto" w:fill="E7E6E6" w:themeFill="background2"/>
          </w:tcPr>
          <w:p w14:paraId="1297D81E" w14:textId="77777777" w:rsidR="003A1286" w:rsidRPr="00671E8F" w:rsidRDefault="003A1286" w:rsidP="0022579F">
            <w:pPr>
              <w:rPr>
                <w:rFonts w:cstheme="minorHAnsi"/>
                <w:sz w:val="18"/>
              </w:rPr>
            </w:pPr>
            <w:r w:rsidRPr="00671E8F">
              <w:rPr>
                <w:rFonts w:cstheme="minorHAnsi"/>
                <w:sz w:val="18"/>
              </w:rPr>
              <w:t>Стопа незапослености, %</w:t>
            </w:r>
          </w:p>
        </w:tc>
        <w:tc>
          <w:tcPr>
            <w:tcW w:w="556" w:type="pct"/>
            <w:shd w:val="clear" w:color="auto" w:fill="E7E6E6" w:themeFill="background2"/>
          </w:tcPr>
          <w:p w14:paraId="664AB8AF" w14:textId="77777777" w:rsidR="003A1286" w:rsidRPr="00671E8F" w:rsidRDefault="003A1286" w:rsidP="0022579F">
            <w:pPr>
              <w:rPr>
                <w:rFonts w:cstheme="minorHAnsi"/>
                <w:sz w:val="18"/>
                <w:szCs w:val="18"/>
              </w:rPr>
            </w:pPr>
          </w:p>
        </w:tc>
        <w:tc>
          <w:tcPr>
            <w:tcW w:w="556" w:type="pct"/>
            <w:shd w:val="clear" w:color="auto" w:fill="E7E6E6" w:themeFill="background2"/>
          </w:tcPr>
          <w:p w14:paraId="5B9BFDD8" w14:textId="77777777" w:rsidR="003A1286" w:rsidRPr="00671E8F" w:rsidRDefault="003A1286" w:rsidP="0022579F">
            <w:pPr>
              <w:rPr>
                <w:rFonts w:cstheme="minorHAnsi"/>
                <w:sz w:val="18"/>
                <w:szCs w:val="18"/>
              </w:rPr>
            </w:pPr>
          </w:p>
        </w:tc>
        <w:tc>
          <w:tcPr>
            <w:tcW w:w="556" w:type="pct"/>
            <w:shd w:val="clear" w:color="auto" w:fill="E7E6E6" w:themeFill="background2"/>
          </w:tcPr>
          <w:p w14:paraId="0A66335E" w14:textId="77777777" w:rsidR="003A1286" w:rsidRPr="00671E8F" w:rsidRDefault="003A1286" w:rsidP="0022579F">
            <w:pPr>
              <w:rPr>
                <w:rFonts w:cstheme="minorHAnsi"/>
                <w:sz w:val="18"/>
                <w:szCs w:val="18"/>
              </w:rPr>
            </w:pPr>
          </w:p>
        </w:tc>
        <w:tc>
          <w:tcPr>
            <w:tcW w:w="556" w:type="pct"/>
            <w:shd w:val="clear" w:color="auto" w:fill="E7E6E6" w:themeFill="background2"/>
          </w:tcPr>
          <w:p w14:paraId="0DCD6635" w14:textId="77777777" w:rsidR="003A1286" w:rsidRPr="00671E8F" w:rsidRDefault="003A1286" w:rsidP="0022579F">
            <w:pPr>
              <w:rPr>
                <w:rFonts w:cstheme="minorHAnsi"/>
                <w:sz w:val="18"/>
                <w:szCs w:val="18"/>
              </w:rPr>
            </w:pPr>
          </w:p>
        </w:tc>
        <w:tc>
          <w:tcPr>
            <w:tcW w:w="556" w:type="pct"/>
            <w:shd w:val="clear" w:color="auto" w:fill="E7E6E6" w:themeFill="background2"/>
          </w:tcPr>
          <w:p w14:paraId="1BD6B68E" w14:textId="77777777" w:rsidR="003A1286" w:rsidRPr="00671E8F" w:rsidRDefault="003A1286" w:rsidP="0022579F">
            <w:pPr>
              <w:rPr>
                <w:rFonts w:cstheme="minorHAnsi"/>
                <w:sz w:val="18"/>
                <w:szCs w:val="18"/>
              </w:rPr>
            </w:pPr>
          </w:p>
        </w:tc>
      </w:tr>
      <w:tr w:rsidR="003A1286" w:rsidRPr="00671E8F" w14:paraId="3963BBB8" w14:textId="77777777" w:rsidTr="0022579F">
        <w:trPr>
          <w:trHeight w:val="190"/>
        </w:trPr>
        <w:tc>
          <w:tcPr>
            <w:tcW w:w="2220" w:type="pct"/>
          </w:tcPr>
          <w:p w14:paraId="2BE70920" w14:textId="77777777" w:rsidR="003A1286" w:rsidRPr="00671E8F" w:rsidRDefault="003A1286" w:rsidP="0022579F">
            <w:pPr>
              <w:ind w:left="440" w:hanging="180"/>
              <w:rPr>
                <w:rFonts w:cstheme="minorHAnsi"/>
                <w:sz w:val="18"/>
              </w:rPr>
            </w:pPr>
            <w:r w:rsidRPr="00671E8F">
              <w:rPr>
                <w:rFonts w:cstheme="minorHAnsi"/>
                <w:sz w:val="18"/>
              </w:rPr>
              <w:t>Еврозона</w:t>
            </w:r>
          </w:p>
        </w:tc>
        <w:tc>
          <w:tcPr>
            <w:tcW w:w="556" w:type="pct"/>
            <w:vAlign w:val="center"/>
          </w:tcPr>
          <w:p w14:paraId="5955CB98" w14:textId="77777777" w:rsidR="003A1286" w:rsidRPr="00671E8F" w:rsidRDefault="003A1286" w:rsidP="0022579F">
            <w:pPr>
              <w:jc w:val="center"/>
              <w:rPr>
                <w:rFonts w:cstheme="minorHAnsi"/>
                <w:sz w:val="18"/>
                <w:szCs w:val="18"/>
              </w:rPr>
            </w:pPr>
            <w:r w:rsidRPr="00671E8F">
              <w:rPr>
                <w:rFonts w:cstheme="minorHAnsi"/>
                <w:sz w:val="18"/>
                <w:szCs w:val="18"/>
              </w:rPr>
              <w:t>6,6</w:t>
            </w:r>
          </w:p>
        </w:tc>
        <w:tc>
          <w:tcPr>
            <w:tcW w:w="556" w:type="pct"/>
            <w:vAlign w:val="center"/>
          </w:tcPr>
          <w:p w14:paraId="4B705E2F" w14:textId="77777777" w:rsidR="003A1286" w:rsidRPr="00671E8F" w:rsidRDefault="003A1286" w:rsidP="0022579F">
            <w:pPr>
              <w:jc w:val="center"/>
              <w:rPr>
                <w:rFonts w:cstheme="minorHAnsi"/>
                <w:sz w:val="18"/>
                <w:szCs w:val="18"/>
              </w:rPr>
            </w:pPr>
            <w:r w:rsidRPr="00671E8F">
              <w:rPr>
                <w:rFonts w:cstheme="minorHAnsi"/>
                <w:sz w:val="18"/>
                <w:szCs w:val="18"/>
              </w:rPr>
              <w:t>6,5</w:t>
            </w:r>
          </w:p>
        </w:tc>
        <w:tc>
          <w:tcPr>
            <w:tcW w:w="556" w:type="pct"/>
            <w:vAlign w:val="center"/>
          </w:tcPr>
          <w:p w14:paraId="30DA145B" w14:textId="77777777" w:rsidR="003A1286" w:rsidRPr="00671E8F" w:rsidRDefault="003A1286" w:rsidP="0022579F">
            <w:pPr>
              <w:jc w:val="center"/>
              <w:rPr>
                <w:rFonts w:cstheme="minorHAnsi"/>
                <w:sz w:val="18"/>
                <w:szCs w:val="18"/>
              </w:rPr>
            </w:pPr>
            <w:r w:rsidRPr="00671E8F">
              <w:rPr>
                <w:rFonts w:cstheme="minorHAnsi"/>
                <w:sz w:val="18"/>
                <w:szCs w:val="18"/>
              </w:rPr>
              <w:t>6,4</w:t>
            </w:r>
          </w:p>
        </w:tc>
        <w:tc>
          <w:tcPr>
            <w:tcW w:w="556" w:type="pct"/>
            <w:vAlign w:val="center"/>
          </w:tcPr>
          <w:p w14:paraId="394BB463" w14:textId="77777777" w:rsidR="003A1286" w:rsidRPr="00671E8F" w:rsidRDefault="003A1286" w:rsidP="0022579F">
            <w:pPr>
              <w:jc w:val="center"/>
              <w:rPr>
                <w:rFonts w:cstheme="minorHAnsi"/>
                <w:sz w:val="18"/>
                <w:szCs w:val="18"/>
              </w:rPr>
            </w:pPr>
            <w:r w:rsidRPr="00671E8F">
              <w:rPr>
                <w:rFonts w:cstheme="minorHAnsi"/>
                <w:sz w:val="18"/>
                <w:szCs w:val="18"/>
              </w:rPr>
              <w:t>6,3</w:t>
            </w:r>
          </w:p>
        </w:tc>
        <w:tc>
          <w:tcPr>
            <w:tcW w:w="556" w:type="pct"/>
            <w:vAlign w:val="center"/>
          </w:tcPr>
          <w:p w14:paraId="2853FED3" w14:textId="77777777" w:rsidR="003A1286" w:rsidRPr="00671E8F" w:rsidRDefault="003A1286" w:rsidP="0022579F">
            <w:pPr>
              <w:jc w:val="center"/>
              <w:rPr>
                <w:rFonts w:cstheme="minorHAnsi"/>
                <w:sz w:val="18"/>
                <w:szCs w:val="18"/>
              </w:rPr>
            </w:pPr>
            <w:r w:rsidRPr="00671E8F">
              <w:rPr>
                <w:rFonts w:cstheme="minorHAnsi"/>
                <w:sz w:val="18"/>
                <w:szCs w:val="18"/>
              </w:rPr>
              <w:t>6,3</w:t>
            </w:r>
          </w:p>
        </w:tc>
      </w:tr>
      <w:tr w:rsidR="003A1286" w:rsidRPr="00671E8F" w14:paraId="6AA3B196" w14:textId="77777777" w:rsidTr="0022579F">
        <w:trPr>
          <w:trHeight w:val="180"/>
        </w:trPr>
        <w:tc>
          <w:tcPr>
            <w:tcW w:w="2220" w:type="pct"/>
          </w:tcPr>
          <w:p w14:paraId="42255E3B" w14:textId="77777777" w:rsidR="003A1286" w:rsidRPr="00671E8F" w:rsidRDefault="003A1286" w:rsidP="0022579F">
            <w:pPr>
              <w:ind w:left="440" w:hanging="180"/>
              <w:rPr>
                <w:rFonts w:cstheme="minorHAnsi"/>
                <w:sz w:val="18"/>
              </w:rPr>
            </w:pPr>
            <w:r w:rsidRPr="00671E8F">
              <w:rPr>
                <w:rFonts w:cstheme="minorHAnsi"/>
                <w:sz w:val="18"/>
              </w:rPr>
              <w:t>САД</w:t>
            </w:r>
          </w:p>
        </w:tc>
        <w:tc>
          <w:tcPr>
            <w:tcW w:w="556" w:type="pct"/>
            <w:vAlign w:val="center"/>
          </w:tcPr>
          <w:p w14:paraId="2E9CD5DA" w14:textId="77777777" w:rsidR="003A1286" w:rsidRPr="00671E8F" w:rsidRDefault="003A1286" w:rsidP="0022579F">
            <w:pPr>
              <w:jc w:val="center"/>
              <w:rPr>
                <w:rFonts w:cstheme="minorHAnsi"/>
                <w:sz w:val="18"/>
                <w:szCs w:val="18"/>
              </w:rPr>
            </w:pPr>
            <w:r w:rsidRPr="00671E8F">
              <w:rPr>
                <w:rFonts w:cstheme="minorHAnsi"/>
                <w:sz w:val="18"/>
                <w:szCs w:val="18"/>
              </w:rPr>
              <w:t>4,1</w:t>
            </w:r>
          </w:p>
        </w:tc>
        <w:tc>
          <w:tcPr>
            <w:tcW w:w="556" w:type="pct"/>
            <w:vAlign w:val="center"/>
          </w:tcPr>
          <w:p w14:paraId="51C4CC8F" w14:textId="77777777" w:rsidR="003A1286" w:rsidRPr="00671E8F" w:rsidRDefault="003A1286" w:rsidP="0022579F">
            <w:pPr>
              <w:jc w:val="center"/>
              <w:rPr>
                <w:rFonts w:cstheme="minorHAnsi"/>
                <w:sz w:val="18"/>
                <w:szCs w:val="18"/>
              </w:rPr>
            </w:pPr>
            <w:r w:rsidRPr="00671E8F">
              <w:rPr>
                <w:rFonts w:cstheme="minorHAnsi"/>
                <w:sz w:val="18"/>
                <w:szCs w:val="18"/>
              </w:rPr>
              <w:t>3,0</w:t>
            </w:r>
          </w:p>
        </w:tc>
        <w:tc>
          <w:tcPr>
            <w:tcW w:w="556" w:type="pct"/>
            <w:vAlign w:val="center"/>
          </w:tcPr>
          <w:p w14:paraId="05E864EB" w14:textId="77777777" w:rsidR="003A1286" w:rsidRPr="00671E8F" w:rsidRDefault="003A1286" w:rsidP="0022579F">
            <w:pPr>
              <w:jc w:val="center"/>
              <w:rPr>
                <w:rFonts w:cstheme="minorHAnsi"/>
                <w:sz w:val="18"/>
                <w:szCs w:val="18"/>
              </w:rPr>
            </w:pPr>
            <w:r w:rsidRPr="00671E8F">
              <w:rPr>
                <w:rFonts w:cstheme="minorHAnsi"/>
                <w:sz w:val="18"/>
                <w:szCs w:val="18"/>
              </w:rPr>
              <w:t>1,9</w:t>
            </w:r>
          </w:p>
        </w:tc>
        <w:tc>
          <w:tcPr>
            <w:tcW w:w="556" w:type="pct"/>
            <w:vAlign w:val="center"/>
          </w:tcPr>
          <w:p w14:paraId="3F742C1D" w14:textId="77777777" w:rsidR="003A1286" w:rsidRPr="00671E8F" w:rsidRDefault="003A1286" w:rsidP="0022579F">
            <w:pPr>
              <w:jc w:val="center"/>
              <w:rPr>
                <w:rFonts w:cstheme="minorHAnsi"/>
                <w:sz w:val="18"/>
                <w:szCs w:val="18"/>
              </w:rPr>
            </w:pPr>
            <w:r w:rsidRPr="00671E8F">
              <w:rPr>
                <w:rFonts w:cstheme="minorHAnsi"/>
                <w:sz w:val="18"/>
                <w:szCs w:val="18"/>
              </w:rPr>
              <w:t>2,1</w:t>
            </w:r>
          </w:p>
        </w:tc>
        <w:tc>
          <w:tcPr>
            <w:tcW w:w="556" w:type="pct"/>
            <w:vAlign w:val="center"/>
          </w:tcPr>
          <w:p w14:paraId="66CD3CD5" w14:textId="77777777" w:rsidR="003A1286" w:rsidRPr="00671E8F" w:rsidRDefault="003A1286" w:rsidP="0022579F">
            <w:pPr>
              <w:jc w:val="center"/>
              <w:rPr>
                <w:rFonts w:cstheme="minorHAnsi"/>
                <w:sz w:val="18"/>
                <w:szCs w:val="18"/>
              </w:rPr>
            </w:pPr>
            <w:r w:rsidRPr="00671E8F">
              <w:rPr>
                <w:rFonts w:cstheme="minorHAnsi"/>
                <w:sz w:val="18"/>
                <w:szCs w:val="18"/>
              </w:rPr>
              <w:t>2,1</w:t>
            </w:r>
          </w:p>
        </w:tc>
      </w:tr>
      <w:tr w:rsidR="003A1286" w:rsidRPr="00671E8F" w14:paraId="519F2DC8" w14:textId="77777777" w:rsidTr="0022579F">
        <w:trPr>
          <w:trHeight w:val="190"/>
        </w:trPr>
        <w:tc>
          <w:tcPr>
            <w:tcW w:w="2220" w:type="pct"/>
            <w:shd w:val="clear" w:color="auto" w:fill="E7E6E6" w:themeFill="background2"/>
          </w:tcPr>
          <w:p w14:paraId="24E0AB26" w14:textId="77777777" w:rsidR="003A1286" w:rsidRPr="00671E8F" w:rsidRDefault="003A1286" w:rsidP="0022579F">
            <w:pPr>
              <w:rPr>
                <w:rFonts w:cstheme="minorHAnsi"/>
                <w:sz w:val="18"/>
              </w:rPr>
            </w:pPr>
            <w:r w:rsidRPr="00671E8F">
              <w:rPr>
                <w:rFonts w:cstheme="minorHAnsi"/>
                <w:sz w:val="18"/>
              </w:rPr>
              <w:t>Потрошачке цене, просек периода, %</w:t>
            </w:r>
          </w:p>
        </w:tc>
        <w:tc>
          <w:tcPr>
            <w:tcW w:w="556" w:type="pct"/>
            <w:shd w:val="clear" w:color="auto" w:fill="E7E6E6" w:themeFill="background2"/>
          </w:tcPr>
          <w:p w14:paraId="5A129A9C" w14:textId="77777777" w:rsidR="003A1286" w:rsidRPr="00671E8F" w:rsidRDefault="003A1286" w:rsidP="0022579F">
            <w:pPr>
              <w:rPr>
                <w:rFonts w:cstheme="minorHAnsi"/>
                <w:sz w:val="18"/>
                <w:szCs w:val="18"/>
              </w:rPr>
            </w:pPr>
          </w:p>
        </w:tc>
        <w:tc>
          <w:tcPr>
            <w:tcW w:w="556" w:type="pct"/>
            <w:shd w:val="clear" w:color="auto" w:fill="E7E6E6" w:themeFill="background2"/>
          </w:tcPr>
          <w:p w14:paraId="16C2294B" w14:textId="77777777" w:rsidR="003A1286" w:rsidRPr="00671E8F" w:rsidRDefault="003A1286" w:rsidP="0022579F">
            <w:pPr>
              <w:rPr>
                <w:rFonts w:cstheme="minorHAnsi"/>
                <w:sz w:val="18"/>
                <w:szCs w:val="18"/>
              </w:rPr>
            </w:pPr>
          </w:p>
        </w:tc>
        <w:tc>
          <w:tcPr>
            <w:tcW w:w="556" w:type="pct"/>
            <w:shd w:val="clear" w:color="auto" w:fill="E7E6E6" w:themeFill="background2"/>
          </w:tcPr>
          <w:p w14:paraId="31B6D4D3" w14:textId="77777777" w:rsidR="003A1286" w:rsidRPr="00671E8F" w:rsidRDefault="003A1286" w:rsidP="0022579F">
            <w:pPr>
              <w:rPr>
                <w:rFonts w:cstheme="minorHAnsi"/>
                <w:sz w:val="18"/>
                <w:szCs w:val="18"/>
              </w:rPr>
            </w:pPr>
          </w:p>
        </w:tc>
        <w:tc>
          <w:tcPr>
            <w:tcW w:w="556" w:type="pct"/>
            <w:shd w:val="clear" w:color="auto" w:fill="E7E6E6" w:themeFill="background2"/>
          </w:tcPr>
          <w:p w14:paraId="4E0F6D6E" w14:textId="77777777" w:rsidR="003A1286" w:rsidRPr="00671E8F" w:rsidRDefault="003A1286" w:rsidP="0022579F">
            <w:pPr>
              <w:rPr>
                <w:rFonts w:cstheme="minorHAnsi"/>
                <w:sz w:val="18"/>
                <w:szCs w:val="18"/>
              </w:rPr>
            </w:pPr>
          </w:p>
        </w:tc>
        <w:tc>
          <w:tcPr>
            <w:tcW w:w="556" w:type="pct"/>
            <w:shd w:val="clear" w:color="auto" w:fill="E7E6E6" w:themeFill="background2"/>
          </w:tcPr>
          <w:p w14:paraId="40E5F971" w14:textId="77777777" w:rsidR="003A1286" w:rsidRPr="00671E8F" w:rsidRDefault="003A1286" w:rsidP="0022579F">
            <w:pPr>
              <w:rPr>
                <w:rFonts w:cstheme="minorHAnsi"/>
                <w:sz w:val="18"/>
                <w:szCs w:val="18"/>
              </w:rPr>
            </w:pPr>
          </w:p>
        </w:tc>
      </w:tr>
      <w:tr w:rsidR="003A1286" w:rsidRPr="00671E8F" w14:paraId="0404ABEB" w14:textId="77777777" w:rsidTr="0022579F">
        <w:trPr>
          <w:trHeight w:val="180"/>
        </w:trPr>
        <w:tc>
          <w:tcPr>
            <w:tcW w:w="2220" w:type="pct"/>
          </w:tcPr>
          <w:p w14:paraId="62AC214E" w14:textId="77777777" w:rsidR="003A1286" w:rsidRPr="00671E8F" w:rsidRDefault="003A1286" w:rsidP="0022579F">
            <w:pPr>
              <w:ind w:left="350" w:hanging="90"/>
              <w:rPr>
                <w:rFonts w:cstheme="minorHAnsi"/>
                <w:sz w:val="18"/>
              </w:rPr>
            </w:pPr>
            <w:r w:rsidRPr="00671E8F">
              <w:rPr>
                <w:rFonts w:cstheme="minorHAnsi"/>
                <w:sz w:val="18"/>
              </w:rPr>
              <w:t>Еврозона</w:t>
            </w:r>
          </w:p>
        </w:tc>
        <w:tc>
          <w:tcPr>
            <w:tcW w:w="556" w:type="pct"/>
            <w:vAlign w:val="center"/>
          </w:tcPr>
          <w:p w14:paraId="00868A67"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5,4</w:t>
            </w:r>
          </w:p>
        </w:tc>
        <w:tc>
          <w:tcPr>
            <w:tcW w:w="556" w:type="pct"/>
            <w:vAlign w:val="center"/>
          </w:tcPr>
          <w:p w14:paraId="4478357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2,4</w:t>
            </w:r>
          </w:p>
        </w:tc>
        <w:tc>
          <w:tcPr>
            <w:tcW w:w="556" w:type="pct"/>
            <w:vAlign w:val="center"/>
          </w:tcPr>
          <w:p w14:paraId="52A7B181"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2,0</w:t>
            </w:r>
          </w:p>
        </w:tc>
        <w:tc>
          <w:tcPr>
            <w:tcW w:w="556" w:type="pct"/>
            <w:vAlign w:val="center"/>
          </w:tcPr>
          <w:p w14:paraId="06518BAA" w14:textId="77777777" w:rsidR="003A1286" w:rsidRPr="00671E8F" w:rsidRDefault="003A1286" w:rsidP="0022579F">
            <w:pPr>
              <w:jc w:val="center"/>
              <w:rPr>
                <w:rFonts w:cstheme="minorHAnsi"/>
                <w:sz w:val="18"/>
                <w:szCs w:val="18"/>
              </w:rPr>
            </w:pPr>
            <w:r w:rsidRPr="00671E8F">
              <w:rPr>
                <w:rFonts w:cstheme="minorHAnsi"/>
                <w:sz w:val="18"/>
                <w:szCs w:val="18"/>
              </w:rPr>
              <w:t>2,0</w:t>
            </w:r>
          </w:p>
        </w:tc>
        <w:tc>
          <w:tcPr>
            <w:tcW w:w="556" w:type="pct"/>
            <w:vAlign w:val="center"/>
          </w:tcPr>
          <w:p w14:paraId="0167BE85" w14:textId="77777777" w:rsidR="003A1286" w:rsidRPr="00671E8F" w:rsidRDefault="003A1286" w:rsidP="0022579F">
            <w:pPr>
              <w:jc w:val="center"/>
              <w:rPr>
                <w:rFonts w:cstheme="minorHAnsi"/>
                <w:sz w:val="18"/>
                <w:szCs w:val="18"/>
              </w:rPr>
            </w:pPr>
            <w:r w:rsidRPr="00671E8F">
              <w:rPr>
                <w:rFonts w:cstheme="minorHAnsi"/>
                <w:sz w:val="18"/>
                <w:szCs w:val="18"/>
              </w:rPr>
              <w:t>1,9</w:t>
            </w:r>
          </w:p>
        </w:tc>
      </w:tr>
      <w:tr w:rsidR="003A1286" w:rsidRPr="00671E8F" w14:paraId="2DD4BA17" w14:textId="77777777" w:rsidTr="0022579F">
        <w:trPr>
          <w:trHeight w:val="190"/>
        </w:trPr>
        <w:tc>
          <w:tcPr>
            <w:tcW w:w="2220" w:type="pct"/>
          </w:tcPr>
          <w:p w14:paraId="4244014E" w14:textId="77777777" w:rsidR="003A1286" w:rsidRPr="00671E8F" w:rsidRDefault="003A1286" w:rsidP="0022579F">
            <w:pPr>
              <w:ind w:left="350" w:hanging="90"/>
              <w:rPr>
                <w:rFonts w:cstheme="minorHAnsi"/>
                <w:sz w:val="18"/>
              </w:rPr>
            </w:pPr>
            <w:r w:rsidRPr="00671E8F">
              <w:rPr>
                <w:rFonts w:cstheme="minorHAnsi"/>
                <w:sz w:val="18"/>
              </w:rPr>
              <w:t>Развијене економије</w:t>
            </w:r>
          </w:p>
        </w:tc>
        <w:tc>
          <w:tcPr>
            <w:tcW w:w="556" w:type="pct"/>
            <w:vAlign w:val="center"/>
          </w:tcPr>
          <w:p w14:paraId="45F2F5BE"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4,6</w:t>
            </w:r>
          </w:p>
        </w:tc>
        <w:tc>
          <w:tcPr>
            <w:tcW w:w="556" w:type="pct"/>
            <w:vAlign w:val="center"/>
          </w:tcPr>
          <w:p w14:paraId="14CA63E6"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2,6</w:t>
            </w:r>
          </w:p>
        </w:tc>
        <w:tc>
          <w:tcPr>
            <w:tcW w:w="556" w:type="pct"/>
            <w:vAlign w:val="center"/>
          </w:tcPr>
          <w:p w14:paraId="33673B48"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2,0</w:t>
            </w:r>
          </w:p>
        </w:tc>
        <w:tc>
          <w:tcPr>
            <w:tcW w:w="556" w:type="pct"/>
            <w:vAlign w:val="center"/>
          </w:tcPr>
          <w:p w14:paraId="1A5A12FF" w14:textId="77777777" w:rsidR="003A1286" w:rsidRPr="00671E8F" w:rsidRDefault="003A1286" w:rsidP="0022579F">
            <w:pPr>
              <w:jc w:val="center"/>
              <w:rPr>
                <w:rFonts w:cstheme="minorHAnsi"/>
                <w:sz w:val="18"/>
                <w:szCs w:val="18"/>
              </w:rPr>
            </w:pPr>
            <w:r w:rsidRPr="00671E8F">
              <w:rPr>
                <w:rFonts w:cstheme="minorHAnsi"/>
                <w:sz w:val="18"/>
                <w:szCs w:val="18"/>
              </w:rPr>
              <w:t>2,0</w:t>
            </w:r>
          </w:p>
        </w:tc>
        <w:tc>
          <w:tcPr>
            <w:tcW w:w="556" w:type="pct"/>
            <w:vAlign w:val="center"/>
          </w:tcPr>
          <w:p w14:paraId="0C979250" w14:textId="77777777" w:rsidR="003A1286" w:rsidRPr="00671E8F" w:rsidRDefault="003A1286" w:rsidP="0022579F">
            <w:pPr>
              <w:jc w:val="center"/>
              <w:rPr>
                <w:rFonts w:cstheme="minorHAnsi"/>
                <w:sz w:val="18"/>
                <w:szCs w:val="18"/>
              </w:rPr>
            </w:pPr>
            <w:r w:rsidRPr="00671E8F">
              <w:rPr>
                <w:rFonts w:cstheme="minorHAnsi"/>
                <w:sz w:val="18"/>
                <w:szCs w:val="18"/>
              </w:rPr>
              <w:t>2,0</w:t>
            </w:r>
          </w:p>
        </w:tc>
      </w:tr>
      <w:tr w:rsidR="003A1286" w:rsidRPr="00671E8F" w14:paraId="5E960EB0" w14:textId="77777777" w:rsidTr="0022579F">
        <w:trPr>
          <w:trHeight w:val="70"/>
        </w:trPr>
        <w:tc>
          <w:tcPr>
            <w:tcW w:w="2220" w:type="pct"/>
          </w:tcPr>
          <w:p w14:paraId="54F3D294" w14:textId="77777777" w:rsidR="003A1286" w:rsidRPr="00671E8F" w:rsidRDefault="003A1286" w:rsidP="0022579F">
            <w:pPr>
              <w:ind w:left="350" w:hanging="90"/>
              <w:rPr>
                <w:rFonts w:cstheme="minorHAnsi"/>
                <w:sz w:val="18"/>
              </w:rPr>
            </w:pPr>
            <w:r w:rsidRPr="00671E8F">
              <w:rPr>
                <w:rFonts w:cstheme="minorHAnsi"/>
                <w:sz w:val="18"/>
              </w:rPr>
              <w:t>Земље у успону</w:t>
            </w:r>
          </w:p>
        </w:tc>
        <w:tc>
          <w:tcPr>
            <w:tcW w:w="556" w:type="pct"/>
            <w:vAlign w:val="center"/>
          </w:tcPr>
          <w:p w14:paraId="28E269E2"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8,1</w:t>
            </w:r>
          </w:p>
        </w:tc>
        <w:tc>
          <w:tcPr>
            <w:tcW w:w="556" w:type="pct"/>
            <w:vAlign w:val="center"/>
          </w:tcPr>
          <w:p w14:paraId="1104CF15"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7,9</w:t>
            </w:r>
          </w:p>
        </w:tc>
        <w:tc>
          <w:tcPr>
            <w:tcW w:w="556" w:type="pct"/>
            <w:vAlign w:val="center"/>
          </w:tcPr>
          <w:p w14:paraId="00891327" w14:textId="77777777" w:rsidR="003A1286" w:rsidRPr="00671E8F" w:rsidRDefault="003A1286" w:rsidP="0022579F">
            <w:pPr>
              <w:jc w:val="center"/>
              <w:rPr>
                <w:rFonts w:cstheme="minorHAnsi"/>
                <w:sz w:val="18"/>
                <w:szCs w:val="18"/>
              </w:rPr>
            </w:pPr>
            <w:r w:rsidRPr="00671E8F">
              <w:rPr>
                <w:rFonts w:eastAsia="Times New Roman" w:cstheme="minorHAnsi"/>
                <w:sz w:val="18"/>
                <w:szCs w:val="18"/>
                <w:lang w:eastAsia="en-GB"/>
              </w:rPr>
              <w:t>5,9</w:t>
            </w:r>
          </w:p>
        </w:tc>
        <w:tc>
          <w:tcPr>
            <w:tcW w:w="556" w:type="pct"/>
            <w:vAlign w:val="center"/>
          </w:tcPr>
          <w:p w14:paraId="25B06D53" w14:textId="77777777" w:rsidR="003A1286" w:rsidRPr="00671E8F" w:rsidRDefault="003A1286" w:rsidP="0022579F">
            <w:pPr>
              <w:jc w:val="center"/>
              <w:rPr>
                <w:rFonts w:cstheme="minorHAnsi"/>
                <w:sz w:val="18"/>
                <w:szCs w:val="18"/>
              </w:rPr>
            </w:pPr>
            <w:r w:rsidRPr="00671E8F">
              <w:rPr>
                <w:rFonts w:cstheme="minorHAnsi"/>
                <w:sz w:val="18"/>
                <w:szCs w:val="18"/>
              </w:rPr>
              <w:t>4,7</w:t>
            </w:r>
          </w:p>
        </w:tc>
        <w:tc>
          <w:tcPr>
            <w:tcW w:w="556" w:type="pct"/>
            <w:vAlign w:val="center"/>
          </w:tcPr>
          <w:p w14:paraId="7C5EDECB" w14:textId="77777777" w:rsidR="003A1286" w:rsidRPr="00671E8F" w:rsidRDefault="003A1286" w:rsidP="0022579F">
            <w:pPr>
              <w:jc w:val="center"/>
              <w:rPr>
                <w:rFonts w:cstheme="minorHAnsi"/>
                <w:sz w:val="18"/>
                <w:szCs w:val="18"/>
              </w:rPr>
            </w:pPr>
            <w:r w:rsidRPr="00671E8F">
              <w:rPr>
                <w:rFonts w:cstheme="minorHAnsi"/>
                <w:sz w:val="18"/>
                <w:szCs w:val="18"/>
              </w:rPr>
              <w:t>4,2</w:t>
            </w:r>
          </w:p>
        </w:tc>
      </w:tr>
      <w:tr w:rsidR="003A1286" w:rsidRPr="00671E8F" w14:paraId="0CAA2144" w14:textId="77777777" w:rsidTr="0022579F">
        <w:trPr>
          <w:trHeight w:val="20"/>
        </w:trPr>
        <w:tc>
          <w:tcPr>
            <w:tcW w:w="2220" w:type="pct"/>
          </w:tcPr>
          <w:p w14:paraId="3DBE5E9D" w14:textId="77777777" w:rsidR="003A1286" w:rsidRPr="00671E8F" w:rsidRDefault="003A1286" w:rsidP="0022579F">
            <w:pPr>
              <w:rPr>
                <w:rFonts w:cstheme="minorHAnsi"/>
                <w:sz w:val="18"/>
              </w:rPr>
            </w:pPr>
          </w:p>
        </w:tc>
        <w:tc>
          <w:tcPr>
            <w:tcW w:w="556" w:type="pct"/>
            <w:vAlign w:val="center"/>
          </w:tcPr>
          <w:p w14:paraId="4B407D5C" w14:textId="77777777" w:rsidR="003A1286" w:rsidRPr="00671E8F" w:rsidRDefault="003A1286" w:rsidP="0022579F">
            <w:pPr>
              <w:rPr>
                <w:rFonts w:cstheme="minorHAnsi"/>
                <w:sz w:val="18"/>
                <w:szCs w:val="18"/>
              </w:rPr>
            </w:pPr>
          </w:p>
        </w:tc>
        <w:tc>
          <w:tcPr>
            <w:tcW w:w="556" w:type="pct"/>
            <w:vAlign w:val="center"/>
          </w:tcPr>
          <w:p w14:paraId="0416017A" w14:textId="77777777" w:rsidR="003A1286" w:rsidRPr="00671E8F" w:rsidRDefault="003A1286" w:rsidP="0022579F">
            <w:pPr>
              <w:rPr>
                <w:rFonts w:cstheme="minorHAnsi"/>
                <w:sz w:val="18"/>
                <w:szCs w:val="18"/>
              </w:rPr>
            </w:pPr>
          </w:p>
        </w:tc>
        <w:tc>
          <w:tcPr>
            <w:tcW w:w="556" w:type="pct"/>
            <w:vAlign w:val="center"/>
          </w:tcPr>
          <w:p w14:paraId="5B434AA2" w14:textId="77777777" w:rsidR="003A1286" w:rsidRPr="00671E8F" w:rsidRDefault="003A1286" w:rsidP="0022579F">
            <w:pPr>
              <w:rPr>
                <w:rFonts w:cstheme="minorHAnsi"/>
                <w:sz w:val="18"/>
                <w:szCs w:val="18"/>
              </w:rPr>
            </w:pPr>
          </w:p>
        </w:tc>
        <w:tc>
          <w:tcPr>
            <w:tcW w:w="556" w:type="pct"/>
            <w:vAlign w:val="center"/>
          </w:tcPr>
          <w:p w14:paraId="3F931439" w14:textId="77777777" w:rsidR="003A1286" w:rsidRPr="00671E8F" w:rsidRDefault="003A1286" w:rsidP="0022579F">
            <w:pPr>
              <w:rPr>
                <w:rFonts w:cstheme="minorHAnsi"/>
                <w:sz w:val="18"/>
                <w:szCs w:val="18"/>
              </w:rPr>
            </w:pPr>
          </w:p>
        </w:tc>
        <w:tc>
          <w:tcPr>
            <w:tcW w:w="556" w:type="pct"/>
            <w:vAlign w:val="center"/>
          </w:tcPr>
          <w:p w14:paraId="087BB3B7" w14:textId="77777777" w:rsidR="003A1286" w:rsidRPr="00671E8F" w:rsidRDefault="003A1286" w:rsidP="0022579F">
            <w:pPr>
              <w:rPr>
                <w:rFonts w:cstheme="minorHAnsi"/>
                <w:sz w:val="18"/>
                <w:szCs w:val="18"/>
              </w:rPr>
            </w:pPr>
          </w:p>
        </w:tc>
      </w:tr>
      <w:tr w:rsidR="003A1286" w:rsidRPr="00671E8F" w14:paraId="19D57827" w14:textId="77777777" w:rsidTr="0022579F">
        <w:trPr>
          <w:trHeight w:val="70"/>
        </w:trPr>
        <w:tc>
          <w:tcPr>
            <w:tcW w:w="2220" w:type="pct"/>
          </w:tcPr>
          <w:p w14:paraId="75CAE080" w14:textId="77777777" w:rsidR="003A1286" w:rsidRPr="00671E8F" w:rsidRDefault="003A1286" w:rsidP="0022579F">
            <w:pPr>
              <w:rPr>
                <w:rFonts w:cstheme="minorHAnsi"/>
                <w:sz w:val="18"/>
              </w:rPr>
            </w:pPr>
            <w:r w:rsidRPr="00671E8F">
              <w:rPr>
                <w:rFonts w:cstheme="minorHAnsi"/>
                <w:sz w:val="18"/>
              </w:rPr>
              <w:t>Девизни курс, евро/долар, крај периода</w:t>
            </w:r>
          </w:p>
        </w:tc>
        <w:tc>
          <w:tcPr>
            <w:tcW w:w="556" w:type="pct"/>
            <w:vAlign w:val="center"/>
          </w:tcPr>
          <w:p w14:paraId="0313948D" w14:textId="77777777" w:rsidR="003A1286" w:rsidRPr="00671E8F" w:rsidRDefault="003A1286" w:rsidP="0022579F">
            <w:pPr>
              <w:jc w:val="center"/>
              <w:rPr>
                <w:rFonts w:cstheme="minorHAnsi"/>
                <w:sz w:val="18"/>
                <w:szCs w:val="18"/>
              </w:rPr>
            </w:pPr>
            <w:r w:rsidRPr="00671E8F">
              <w:rPr>
                <w:rFonts w:cstheme="minorHAnsi"/>
                <w:sz w:val="18"/>
                <w:szCs w:val="18"/>
              </w:rPr>
              <w:t>1,1</w:t>
            </w:r>
          </w:p>
        </w:tc>
        <w:tc>
          <w:tcPr>
            <w:tcW w:w="556" w:type="pct"/>
            <w:vAlign w:val="center"/>
          </w:tcPr>
          <w:p w14:paraId="2136970D" w14:textId="77777777" w:rsidR="003A1286" w:rsidRPr="00671E8F" w:rsidRDefault="003A1286" w:rsidP="0022579F">
            <w:pPr>
              <w:jc w:val="center"/>
              <w:rPr>
                <w:rFonts w:cstheme="minorHAnsi"/>
                <w:sz w:val="18"/>
                <w:szCs w:val="18"/>
              </w:rPr>
            </w:pPr>
            <w:r w:rsidRPr="00671E8F">
              <w:rPr>
                <w:rFonts w:cstheme="minorHAnsi"/>
                <w:sz w:val="18"/>
                <w:szCs w:val="18"/>
              </w:rPr>
              <w:t>1,1</w:t>
            </w:r>
          </w:p>
        </w:tc>
        <w:tc>
          <w:tcPr>
            <w:tcW w:w="556" w:type="pct"/>
            <w:vAlign w:val="center"/>
          </w:tcPr>
          <w:p w14:paraId="464D9F8C" w14:textId="77777777" w:rsidR="003A1286" w:rsidRPr="00671E8F" w:rsidRDefault="003A1286" w:rsidP="0022579F">
            <w:pPr>
              <w:jc w:val="center"/>
              <w:rPr>
                <w:rFonts w:cstheme="minorHAnsi"/>
                <w:sz w:val="18"/>
                <w:szCs w:val="18"/>
              </w:rPr>
            </w:pPr>
            <w:r w:rsidRPr="00671E8F">
              <w:rPr>
                <w:rFonts w:cstheme="minorHAnsi"/>
                <w:sz w:val="18"/>
                <w:szCs w:val="18"/>
              </w:rPr>
              <w:t>1,1</w:t>
            </w:r>
          </w:p>
        </w:tc>
        <w:tc>
          <w:tcPr>
            <w:tcW w:w="556" w:type="pct"/>
            <w:vAlign w:val="center"/>
          </w:tcPr>
          <w:p w14:paraId="2AEE95D4" w14:textId="77777777" w:rsidR="003A1286" w:rsidRPr="00671E8F" w:rsidRDefault="003A1286" w:rsidP="0022579F">
            <w:pPr>
              <w:jc w:val="center"/>
              <w:rPr>
                <w:rFonts w:cstheme="minorHAnsi"/>
                <w:sz w:val="18"/>
                <w:szCs w:val="18"/>
              </w:rPr>
            </w:pPr>
            <w:r w:rsidRPr="00671E8F">
              <w:rPr>
                <w:rFonts w:cstheme="minorHAnsi"/>
                <w:sz w:val="18"/>
                <w:szCs w:val="18"/>
              </w:rPr>
              <w:t>-</w:t>
            </w:r>
          </w:p>
        </w:tc>
        <w:tc>
          <w:tcPr>
            <w:tcW w:w="556" w:type="pct"/>
            <w:vAlign w:val="center"/>
          </w:tcPr>
          <w:p w14:paraId="1DF6A2EF" w14:textId="77777777" w:rsidR="003A1286" w:rsidRPr="00671E8F" w:rsidRDefault="003A1286" w:rsidP="0022579F">
            <w:pPr>
              <w:jc w:val="center"/>
              <w:rPr>
                <w:rFonts w:cstheme="minorHAnsi"/>
                <w:sz w:val="18"/>
                <w:szCs w:val="18"/>
              </w:rPr>
            </w:pPr>
            <w:r w:rsidRPr="00671E8F">
              <w:rPr>
                <w:rFonts w:cstheme="minorHAnsi"/>
                <w:sz w:val="18"/>
                <w:szCs w:val="18"/>
              </w:rPr>
              <w:t>-</w:t>
            </w:r>
          </w:p>
        </w:tc>
      </w:tr>
      <w:tr w:rsidR="003A1286" w:rsidRPr="00671E8F" w14:paraId="742AB731" w14:textId="77777777" w:rsidTr="0022579F">
        <w:trPr>
          <w:trHeight w:val="135"/>
        </w:trPr>
        <w:tc>
          <w:tcPr>
            <w:tcW w:w="2220" w:type="pct"/>
          </w:tcPr>
          <w:p w14:paraId="2D6F3507" w14:textId="77777777" w:rsidR="003A1286" w:rsidRPr="00671E8F" w:rsidRDefault="003A1286" w:rsidP="0022579F">
            <w:pPr>
              <w:rPr>
                <w:rFonts w:cstheme="minorHAnsi"/>
                <w:sz w:val="18"/>
              </w:rPr>
            </w:pPr>
            <w:r w:rsidRPr="00671E8F">
              <w:rPr>
                <w:rFonts w:cstheme="minorHAnsi"/>
                <w:sz w:val="18"/>
              </w:rPr>
              <w:t>Цене житарица, у доларима, годишње промене</w:t>
            </w:r>
            <w:r w:rsidRPr="00671E8F">
              <w:rPr>
                <w:rFonts w:cstheme="minorHAnsi"/>
                <w:sz w:val="18"/>
                <w:vertAlign w:val="superscript"/>
              </w:rPr>
              <w:t>2</w:t>
            </w:r>
          </w:p>
        </w:tc>
        <w:tc>
          <w:tcPr>
            <w:tcW w:w="556" w:type="pct"/>
            <w:vAlign w:val="center"/>
          </w:tcPr>
          <w:p w14:paraId="1E52249D"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-18,8</w:t>
            </w:r>
          </w:p>
        </w:tc>
        <w:tc>
          <w:tcPr>
            <w:tcW w:w="556" w:type="pct"/>
            <w:vAlign w:val="center"/>
          </w:tcPr>
          <w:p w14:paraId="5053510F"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-21,7</w:t>
            </w:r>
          </w:p>
        </w:tc>
        <w:tc>
          <w:tcPr>
            <w:tcW w:w="556" w:type="pct"/>
            <w:vAlign w:val="center"/>
          </w:tcPr>
          <w:p w14:paraId="275984DE"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-3,6</w:t>
            </w:r>
          </w:p>
        </w:tc>
        <w:tc>
          <w:tcPr>
            <w:tcW w:w="556" w:type="pct"/>
            <w:vAlign w:val="center"/>
          </w:tcPr>
          <w:p w14:paraId="304AF903"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4,2</w:t>
            </w:r>
          </w:p>
        </w:tc>
        <w:tc>
          <w:tcPr>
            <w:tcW w:w="556" w:type="pct"/>
            <w:vAlign w:val="center"/>
          </w:tcPr>
          <w:p w14:paraId="473FC30D"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0,6</w:t>
            </w:r>
          </w:p>
        </w:tc>
      </w:tr>
      <w:tr w:rsidR="003A1286" w:rsidRPr="00671E8F" w14:paraId="33F40213" w14:textId="77777777" w:rsidTr="0022579F">
        <w:trPr>
          <w:trHeight w:val="167"/>
        </w:trPr>
        <w:tc>
          <w:tcPr>
            <w:tcW w:w="2220" w:type="pct"/>
          </w:tcPr>
          <w:p w14:paraId="25C2BB1A" w14:textId="77777777" w:rsidR="003A1286" w:rsidRPr="00671E8F" w:rsidRDefault="003A1286" w:rsidP="0022579F">
            <w:pPr>
              <w:rPr>
                <w:rFonts w:cstheme="minorHAnsi"/>
                <w:sz w:val="18"/>
              </w:rPr>
            </w:pPr>
            <w:r w:rsidRPr="00671E8F">
              <w:rPr>
                <w:rFonts w:cstheme="minorHAnsi"/>
                <w:sz w:val="18"/>
              </w:rPr>
              <w:t>Цене метала, у доларима, годишње промене</w:t>
            </w:r>
            <w:r w:rsidRPr="00671E8F">
              <w:rPr>
                <w:rFonts w:cstheme="minorHAnsi"/>
                <w:sz w:val="18"/>
                <w:vertAlign w:val="superscript"/>
              </w:rPr>
              <w:t>3</w:t>
            </w:r>
          </w:p>
        </w:tc>
        <w:tc>
          <w:tcPr>
            <w:tcW w:w="556" w:type="pct"/>
            <w:vAlign w:val="center"/>
          </w:tcPr>
          <w:p w14:paraId="3A90A84A"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-2,8</w:t>
            </w:r>
          </w:p>
        </w:tc>
        <w:tc>
          <w:tcPr>
            <w:tcW w:w="556" w:type="pct"/>
            <w:vAlign w:val="center"/>
          </w:tcPr>
          <w:p w14:paraId="5A950289"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-0,2</w:t>
            </w:r>
          </w:p>
        </w:tc>
        <w:tc>
          <w:tcPr>
            <w:tcW w:w="556" w:type="pct"/>
            <w:vAlign w:val="center"/>
          </w:tcPr>
          <w:p w14:paraId="218F31F0"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-1,9</w:t>
            </w:r>
          </w:p>
        </w:tc>
        <w:tc>
          <w:tcPr>
            <w:tcW w:w="556" w:type="pct"/>
            <w:vAlign w:val="center"/>
          </w:tcPr>
          <w:p w14:paraId="0D7B9ACF"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0,3</w:t>
            </w:r>
          </w:p>
        </w:tc>
        <w:tc>
          <w:tcPr>
            <w:tcW w:w="556" w:type="pct"/>
            <w:vAlign w:val="center"/>
          </w:tcPr>
          <w:p w14:paraId="59EEA9C6"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0,3</w:t>
            </w:r>
          </w:p>
        </w:tc>
      </w:tr>
      <w:tr w:rsidR="003A1286" w:rsidRPr="00671E8F" w14:paraId="01F32D87" w14:textId="77777777" w:rsidTr="0022579F">
        <w:trPr>
          <w:trHeight w:val="70"/>
        </w:trPr>
        <w:tc>
          <w:tcPr>
            <w:tcW w:w="2220" w:type="pct"/>
          </w:tcPr>
          <w:p w14:paraId="33005105" w14:textId="77777777" w:rsidR="003A1286" w:rsidRPr="00671E8F" w:rsidRDefault="003A1286" w:rsidP="0022579F">
            <w:pPr>
              <w:rPr>
                <w:rFonts w:cstheme="minorHAnsi"/>
                <w:sz w:val="18"/>
              </w:rPr>
            </w:pPr>
            <w:r w:rsidRPr="00671E8F">
              <w:rPr>
                <w:rFonts w:cstheme="minorHAnsi"/>
                <w:sz w:val="18"/>
              </w:rPr>
              <w:t>Цена руде гвожђа, у доларима</w:t>
            </w:r>
            <w:r w:rsidRPr="00671E8F">
              <w:rPr>
                <w:rFonts w:cstheme="minorHAnsi"/>
                <w:sz w:val="18"/>
                <w:vertAlign w:val="superscript"/>
              </w:rPr>
              <w:t>4</w:t>
            </w:r>
          </w:p>
        </w:tc>
        <w:tc>
          <w:tcPr>
            <w:tcW w:w="556" w:type="pct"/>
            <w:vAlign w:val="center"/>
          </w:tcPr>
          <w:p w14:paraId="2E30F68C"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-0,3</w:t>
            </w:r>
          </w:p>
        </w:tc>
        <w:tc>
          <w:tcPr>
            <w:tcW w:w="556" w:type="pct"/>
            <w:vAlign w:val="center"/>
          </w:tcPr>
          <w:p w14:paraId="276F2883"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-7,8</w:t>
            </w:r>
          </w:p>
        </w:tc>
        <w:tc>
          <w:tcPr>
            <w:tcW w:w="556" w:type="pct"/>
            <w:vAlign w:val="center"/>
          </w:tcPr>
          <w:p w14:paraId="6E71E049"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-13,9</w:t>
            </w:r>
          </w:p>
        </w:tc>
        <w:tc>
          <w:tcPr>
            <w:tcW w:w="556" w:type="pct"/>
            <w:vAlign w:val="center"/>
          </w:tcPr>
          <w:p w14:paraId="21B6414A"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-3,7</w:t>
            </w:r>
          </w:p>
        </w:tc>
        <w:tc>
          <w:tcPr>
            <w:tcW w:w="556" w:type="pct"/>
            <w:vAlign w:val="center"/>
          </w:tcPr>
          <w:p w14:paraId="67F37598"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-1,5</w:t>
            </w:r>
          </w:p>
        </w:tc>
      </w:tr>
      <w:tr w:rsidR="003A1286" w:rsidRPr="00671E8F" w14:paraId="48253927" w14:textId="77777777" w:rsidTr="0022579F">
        <w:trPr>
          <w:trHeight w:val="173"/>
        </w:trPr>
        <w:tc>
          <w:tcPr>
            <w:tcW w:w="2220" w:type="pct"/>
            <w:tcBorders>
              <w:bottom w:val="single" w:sz="4" w:space="0" w:color="002060"/>
            </w:tcBorders>
          </w:tcPr>
          <w:p w14:paraId="69263755" w14:textId="77777777" w:rsidR="003A1286" w:rsidRPr="00671E8F" w:rsidRDefault="003A1286" w:rsidP="0022579F">
            <w:pPr>
              <w:rPr>
                <w:rFonts w:cstheme="minorHAnsi"/>
                <w:sz w:val="18"/>
              </w:rPr>
            </w:pPr>
            <w:r w:rsidRPr="00671E8F">
              <w:rPr>
                <w:rFonts w:cstheme="minorHAnsi"/>
                <w:sz w:val="18"/>
              </w:rPr>
              <w:t>Цене нафте, у доларима, годишње промене, %</w:t>
            </w:r>
          </w:p>
        </w:tc>
        <w:tc>
          <w:tcPr>
            <w:tcW w:w="556" w:type="pct"/>
            <w:tcBorders>
              <w:bottom w:val="single" w:sz="4" w:space="0" w:color="002060"/>
            </w:tcBorders>
            <w:vAlign w:val="center"/>
          </w:tcPr>
          <w:p w14:paraId="7A25A6EC"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-16,4</w:t>
            </w:r>
          </w:p>
        </w:tc>
        <w:tc>
          <w:tcPr>
            <w:tcW w:w="556" w:type="pct"/>
            <w:tcBorders>
              <w:bottom w:val="single" w:sz="4" w:space="0" w:color="002060"/>
            </w:tcBorders>
            <w:vAlign w:val="center"/>
          </w:tcPr>
          <w:p w14:paraId="1181A3EC"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0,9</w:t>
            </w:r>
          </w:p>
        </w:tc>
        <w:tc>
          <w:tcPr>
            <w:tcW w:w="556" w:type="pct"/>
            <w:tcBorders>
              <w:bottom w:val="single" w:sz="4" w:space="0" w:color="002060"/>
            </w:tcBorders>
            <w:vAlign w:val="center"/>
          </w:tcPr>
          <w:p w14:paraId="357A55B3"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-10,4</w:t>
            </w:r>
          </w:p>
        </w:tc>
        <w:tc>
          <w:tcPr>
            <w:tcW w:w="556" w:type="pct"/>
            <w:tcBorders>
              <w:bottom w:val="single" w:sz="4" w:space="0" w:color="002060"/>
            </w:tcBorders>
            <w:vAlign w:val="center"/>
          </w:tcPr>
          <w:p w14:paraId="31367A03"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-3,6</w:t>
            </w:r>
          </w:p>
        </w:tc>
        <w:tc>
          <w:tcPr>
            <w:tcW w:w="556" w:type="pct"/>
            <w:tcBorders>
              <w:bottom w:val="single" w:sz="4" w:space="0" w:color="002060"/>
            </w:tcBorders>
            <w:vAlign w:val="center"/>
          </w:tcPr>
          <w:p w14:paraId="11F39198" w14:textId="77777777" w:rsidR="003A1286" w:rsidRPr="00671E8F" w:rsidRDefault="003A1286" w:rsidP="0022579F">
            <w:pPr>
              <w:jc w:val="center"/>
              <w:rPr>
                <w:rFonts w:eastAsia="Times New Roman" w:cstheme="minorHAnsi"/>
                <w:sz w:val="18"/>
                <w:szCs w:val="18"/>
                <w:lang w:eastAsia="en-GB"/>
              </w:rPr>
            </w:pPr>
            <w:r w:rsidRPr="00671E8F">
              <w:rPr>
                <w:rFonts w:eastAsia="Times New Roman" w:cstheme="minorHAnsi"/>
                <w:sz w:val="18"/>
                <w:szCs w:val="18"/>
                <w:lang w:eastAsia="en-GB"/>
              </w:rPr>
              <w:t>-2,4</w:t>
            </w:r>
          </w:p>
        </w:tc>
      </w:tr>
      <w:tr w:rsidR="003A1286" w:rsidRPr="00671E8F" w14:paraId="5F338228" w14:textId="77777777" w:rsidTr="0022579F">
        <w:trPr>
          <w:trHeight w:val="159"/>
        </w:trPr>
        <w:tc>
          <w:tcPr>
            <w:tcW w:w="5000" w:type="pct"/>
            <w:gridSpan w:val="6"/>
            <w:tcBorders>
              <w:top w:val="single" w:sz="4" w:space="0" w:color="002060"/>
            </w:tcBorders>
          </w:tcPr>
          <w:p w14:paraId="570E6B34" w14:textId="77777777" w:rsidR="003A1286" w:rsidRPr="00671E8F" w:rsidRDefault="003A1286" w:rsidP="0022579F">
            <w:pPr>
              <w:rPr>
                <w:rFonts w:cstheme="minorHAnsi"/>
                <w:bCs/>
                <w:sz w:val="16"/>
                <w:szCs w:val="72"/>
              </w:rPr>
            </w:pPr>
            <w:r w:rsidRPr="00671E8F">
              <w:rPr>
                <w:rFonts w:cstheme="minorHAnsi"/>
                <w:bCs/>
                <w:sz w:val="16"/>
                <w:szCs w:val="72"/>
              </w:rPr>
              <w:t xml:space="preserve">Извор: ММФ, </w:t>
            </w:r>
            <w:r w:rsidRPr="00671E8F">
              <w:rPr>
                <w:rFonts w:cstheme="minorHAnsi"/>
                <w:bCs/>
                <w:i/>
                <w:sz w:val="16"/>
                <w:szCs w:val="72"/>
              </w:rPr>
              <w:t>World Economic Outlook</w:t>
            </w:r>
            <w:r w:rsidRPr="00671E8F">
              <w:rPr>
                <w:rFonts w:cstheme="minorHAnsi"/>
                <w:bCs/>
                <w:sz w:val="16"/>
                <w:szCs w:val="72"/>
              </w:rPr>
              <w:t>, октобар 2024.</w:t>
            </w:r>
          </w:p>
        </w:tc>
      </w:tr>
      <w:tr w:rsidR="003A1286" w:rsidRPr="00671E8F" w14:paraId="6880CB96" w14:textId="77777777" w:rsidTr="0022579F">
        <w:trPr>
          <w:trHeight w:val="535"/>
        </w:trPr>
        <w:tc>
          <w:tcPr>
            <w:tcW w:w="5000" w:type="pct"/>
            <w:gridSpan w:val="6"/>
          </w:tcPr>
          <w:p w14:paraId="56151152" w14:textId="77777777" w:rsidR="003A1286" w:rsidRPr="00671E8F" w:rsidRDefault="003A1286" w:rsidP="0022579F">
            <w:pPr>
              <w:rPr>
                <w:rFonts w:cstheme="minorHAnsi"/>
                <w:bCs/>
                <w:sz w:val="16"/>
                <w:szCs w:val="72"/>
              </w:rPr>
            </w:pPr>
            <w:r w:rsidRPr="00671E8F">
              <w:rPr>
                <w:rFonts w:cstheme="minorHAnsi"/>
                <w:bCs/>
                <w:sz w:val="16"/>
                <w:szCs w:val="72"/>
                <w:vertAlign w:val="superscript"/>
              </w:rPr>
              <w:t>1</w:t>
            </w:r>
            <w:r w:rsidRPr="00671E8F">
              <w:rPr>
                <w:rFonts w:cstheme="minorHAnsi"/>
                <w:bCs/>
                <w:sz w:val="16"/>
                <w:szCs w:val="72"/>
              </w:rPr>
              <w:t xml:space="preserve"> Светски БДП израчунат је према паритету куповне моћи.</w:t>
            </w:r>
          </w:p>
          <w:p w14:paraId="01465A00" w14:textId="77777777" w:rsidR="003A1286" w:rsidRPr="00671E8F" w:rsidRDefault="003A1286" w:rsidP="0022579F">
            <w:pPr>
              <w:rPr>
                <w:rFonts w:cstheme="minorHAnsi"/>
                <w:bCs/>
                <w:sz w:val="16"/>
                <w:szCs w:val="72"/>
              </w:rPr>
            </w:pPr>
            <w:r w:rsidRPr="00671E8F">
              <w:rPr>
                <w:rFonts w:cstheme="minorHAnsi"/>
                <w:bCs/>
                <w:sz w:val="16"/>
                <w:szCs w:val="72"/>
                <w:vertAlign w:val="superscript"/>
              </w:rPr>
              <w:t>2</w:t>
            </w:r>
            <w:r w:rsidRPr="00671E8F">
              <w:rPr>
                <w:rFonts w:cstheme="minorHAnsi"/>
                <w:bCs/>
                <w:sz w:val="16"/>
                <w:szCs w:val="72"/>
              </w:rPr>
              <w:t xml:space="preserve"> Цена житарица добијена као пондерисани просек цена пшенице, кукуруза, соје, пиринча и јечма.</w:t>
            </w:r>
          </w:p>
          <w:p w14:paraId="02F75200" w14:textId="77777777" w:rsidR="003A1286" w:rsidRPr="00671E8F" w:rsidRDefault="003A1286" w:rsidP="0022579F">
            <w:pPr>
              <w:rPr>
                <w:rFonts w:cstheme="minorHAnsi"/>
                <w:bCs/>
                <w:sz w:val="16"/>
                <w:szCs w:val="72"/>
              </w:rPr>
            </w:pPr>
            <w:r w:rsidRPr="00671E8F">
              <w:rPr>
                <w:rFonts w:cstheme="minorHAnsi"/>
                <w:bCs/>
                <w:sz w:val="16"/>
                <w:szCs w:val="72"/>
                <w:vertAlign w:val="superscript"/>
              </w:rPr>
              <w:t>3</w:t>
            </w:r>
            <w:r w:rsidRPr="00671E8F">
              <w:rPr>
                <w:rFonts w:cstheme="minorHAnsi"/>
                <w:bCs/>
                <w:sz w:val="16"/>
                <w:szCs w:val="72"/>
              </w:rPr>
              <w:t xml:space="preserve"> Цена метала добијена као пондерисани просек цена бакра, алуминијума, руде гвожђа, калаја, никла, цинка, олова и уранијума.</w:t>
            </w:r>
          </w:p>
          <w:p w14:paraId="65116C9E" w14:textId="77777777" w:rsidR="003A1286" w:rsidRPr="00671E8F" w:rsidRDefault="003A1286" w:rsidP="0022579F">
            <w:pPr>
              <w:rPr>
                <w:rFonts w:cstheme="minorHAnsi"/>
                <w:bCs/>
                <w:sz w:val="16"/>
                <w:szCs w:val="72"/>
                <w:vertAlign w:val="superscript"/>
              </w:rPr>
            </w:pPr>
            <w:r w:rsidRPr="00671E8F">
              <w:rPr>
                <w:rFonts w:cstheme="minorHAnsi"/>
                <w:bCs/>
                <w:sz w:val="16"/>
                <w:szCs w:val="72"/>
                <w:vertAlign w:val="superscript"/>
              </w:rPr>
              <w:t>4</w:t>
            </w:r>
            <w:r w:rsidRPr="00671E8F">
              <w:rPr>
                <w:rFonts w:cstheme="minorHAnsi"/>
                <w:bCs/>
                <w:sz w:val="16"/>
                <w:szCs w:val="72"/>
              </w:rPr>
              <w:t xml:space="preserve"> Цена руде гвожђа (садржај гвожђа од 62%) за увоз у Кини, лука Тиан Јан, у доларима по метричкој тони.</w:t>
            </w:r>
          </w:p>
        </w:tc>
      </w:tr>
    </w:tbl>
    <w:p w14:paraId="4434BBDD" w14:textId="77777777" w:rsidR="000353A6" w:rsidRPr="00671E8F" w:rsidRDefault="000353A6" w:rsidP="000353A6">
      <w:pPr>
        <w:spacing w:after="0" w:line="240" w:lineRule="auto"/>
        <w:rPr>
          <w:rFonts w:cstheme="minorHAnsi"/>
          <w:color w:val="FF0000"/>
        </w:rPr>
      </w:pPr>
    </w:p>
    <w:p w14:paraId="3617E9F9" w14:textId="77777777" w:rsidR="000353A6" w:rsidRPr="00671E8F" w:rsidRDefault="000353A6" w:rsidP="000353A6">
      <w:pPr>
        <w:spacing w:after="0" w:line="240" w:lineRule="auto"/>
        <w:rPr>
          <w:rFonts w:cstheme="minorHAnsi"/>
          <w:color w:val="FF0000"/>
        </w:rPr>
        <w:sectPr w:rsidR="000353A6" w:rsidRPr="00671E8F" w:rsidSect="000353A6">
          <w:type w:val="continuous"/>
          <w:pgSz w:w="12240" w:h="15840"/>
          <w:pgMar w:top="1440" w:right="1440" w:bottom="1440" w:left="1440" w:header="708" w:footer="708" w:gutter="0"/>
          <w:cols w:space="708"/>
          <w:docGrid w:linePitch="360"/>
        </w:sectPr>
      </w:pPr>
    </w:p>
    <w:p w14:paraId="4D0C32EC" w14:textId="26B39818" w:rsidR="00B92C83" w:rsidRPr="00671E8F" w:rsidRDefault="003B3784" w:rsidP="0082579B">
      <w:pPr>
        <w:pStyle w:val="Caption"/>
        <w:keepNext/>
        <w:jc w:val="both"/>
        <w:rPr>
          <w:rFonts w:cstheme="minorHAnsi"/>
          <w:b w:val="0"/>
          <w:bCs/>
          <w:color w:val="44546A" w:themeColor="text2"/>
        </w:rPr>
      </w:pPr>
      <w:r w:rsidRPr="00671E8F">
        <w:rPr>
          <w:rFonts w:cstheme="minorHAnsi"/>
          <w:b w:val="0"/>
          <w:bCs/>
          <w:color w:val="44546A" w:themeColor="text2"/>
        </w:rPr>
        <w:t xml:space="preserve">Код развијених земаља очекује се </w:t>
      </w:r>
      <w:r w:rsidR="00943E8F" w:rsidRPr="00671E8F">
        <w:rPr>
          <w:rFonts w:cstheme="minorHAnsi"/>
          <w:b w:val="0"/>
          <w:bCs/>
          <w:color w:val="44546A" w:themeColor="text2"/>
        </w:rPr>
        <w:t>стабилан</w:t>
      </w:r>
      <w:r w:rsidRPr="00671E8F">
        <w:rPr>
          <w:rFonts w:cstheme="minorHAnsi"/>
          <w:b w:val="0"/>
          <w:bCs/>
          <w:color w:val="44546A" w:themeColor="text2"/>
        </w:rPr>
        <w:t xml:space="preserve"> раст БДП који ће </w:t>
      </w:r>
      <w:r w:rsidR="0040489E" w:rsidRPr="00671E8F">
        <w:rPr>
          <w:rFonts w:cstheme="minorHAnsi"/>
          <w:b w:val="0"/>
          <w:bCs/>
          <w:color w:val="44546A" w:themeColor="text2"/>
        </w:rPr>
        <w:t>се кретати на нивоу</w:t>
      </w:r>
      <w:r w:rsidRPr="00671E8F">
        <w:rPr>
          <w:rFonts w:cstheme="minorHAnsi"/>
          <w:b w:val="0"/>
          <w:bCs/>
          <w:color w:val="44546A" w:themeColor="text2"/>
        </w:rPr>
        <w:t xml:space="preserve"> између 1,7%</w:t>
      </w:r>
      <w:r w:rsidR="0040489E" w:rsidRPr="00671E8F">
        <w:rPr>
          <w:rFonts w:cstheme="minorHAnsi"/>
          <w:b w:val="0"/>
          <w:bCs/>
          <w:color w:val="44546A" w:themeColor="text2"/>
        </w:rPr>
        <w:t xml:space="preserve"> и 1,8% у прогнозираном периоду, али уз изражене разлике </w:t>
      </w:r>
      <w:r w:rsidR="00452B6F" w:rsidRPr="00671E8F">
        <w:rPr>
          <w:rFonts w:cstheme="minorHAnsi"/>
          <w:b w:val="0"/>
          <w:bCs/>
          <w:color w:val="44546A" w:themeColor="text2"/>
        </w:rPr>
        <w:t>у динамици</w:t>
      </w:r>
      <w:r w:rsidR="0040489E" w:rsidRPr="00671E8F">
        <w:rPr>
          <w:rFonts w:cstheme="minorHAnsi"/>
          <w:b w:val="0"/>
          <w:bCs/>
          <w:color w:val="44546A" w:themeColor="text2"/>
        </w:rPr>
        <w:t xml:space="preserve"> економске активности</w:t>
      </w:r>
      <w:r w:rsidRPr="00671E8F">
        <w:rPr>
          <w:rFonts w:cstheme="minorHAnsi"/>
          <w:b w:val="0"/>
          <w:bCs/>
          <w:color w:val="44546A" w:themeColor="text2"/>
        </w:rPr>
        <w:t xml:space="preserve"> код појединих земаља</w:t>
      </w:r>
      <w:r w:rsidR="0040489E" w:rsidRPr="00671E8F">
        <w:rPr>
          <w:rFonts w:cstheme="minorHAnsi"/>
          <w:b w:val="0"/>
          <w:bCs/>
          <w:color w:val="44546A" w:themeColor="text2"/>
        </w:rPr>
        <w:t xml:space="preserve">. </w:t>
      </w:r>
    </w:p>
    <w:p w14:paraId="2753B909" w14:textId="77777777" w:rsidR="00B92C83" w:rsidRPr="00671E8F" w:rsidRDefault="002B762A" w:rsidP="0082579B">
      <w:pPr>
        <w:pStyle w:val="Caption"/>
        <w:keepNext/>
        <w:jc w:val="both"/>
        <w:rPr>
          <w:rFonts w:cstheme="minorHAnsi"/>
          <w:b w:val="0"/>
          <w:bCs/>
          <w:color w:val="44546A" w:themeColor="text2"/>
        </w:rPr>
      </w:pPr>
      <w:r w:rsidRPr="00671E8F">
        <w:rPr>
          <w:rFonts w:cstheme="minorHAnsi"/>
          <w:b w:val="0"/>
          <w:bCs/>
          <w:color w:val="44546A" w:themeColor="text2"/>
        </w:rPr>
        <w:t>Пројекција раста привреде САД за 2024. годину повећана је на 2,8%, што је 0,2 п.п. више од претходне прогнозе, док је за 2025. годину раст такође ревидиран навише за 0,3 п.п. Ове ревизије се заснивају на континуираној отпорности тржишта рада и јачо</w:t>
      </w:r>
      <w:r w:rsidR="0040489E" w:rsidRPr="00671E8F">
        <w:rPr>
          <w:rFonts w:cstheme="minorHAnsi"/>
          <w:b w:val="0"/>
          <w:bCs/>
          <w:color w:val="44546A" w:themeColor="text2"/>
        </w:rPr>
        <w:t>ј домаћој потрошњи, уз очекивање</w:t>
      </w:r>
      <w:r w:rsidRPr="00671E8F">
        <w:rPr>
          <w:rFonts w:cstheme="minorHAnsi"/>
          <w:b w:val="0"/>
          <w:bCs/>
          <w:color w:val="44546A" w:themeColor="text2"/>
        </w:rPr>
        <w:t xml:space="preserve"> да ће инфлација наставити да опада. Упркос томе што се очекује да ће каматне стопе остати на релативно високим нивоима, америчка економија је показала већу способност да се прилагоди овим условима, подржана јаким потрошачким и инвестиционим активностима. </w:t>
      </w:r>
    </w:p>
    <w:p w14:paraId="5455237E" w14:textId="6043E276" w:rsidR="002301EC" w:rsidRPr="00671E8F" w:rsidRDefault="003B3784" w:rsidP="0082579B">
      <w:pPr>
        <w:pStyle w:val="Caption"/>
        <w:keepNext/>
        <w:jc w:val="both"/>
        <w:rPr>
          <w:rFonts w:cstheme="minorHAnsi"/>
          <w:b w:val="0"/>
          <w:bCs/>
          <w:color w:val="44546A" w:themeColor="text2"/>
        </w:rPr>
      </w:pPr>
      <w:r w:rsidRPr="00671E8F">
        <w:rPr>
          <w:rFonts w:cstheme="minorHAnsi"/>
          <w:b w:val="0"/>
          <w:bCs/>
          <w:color w:val="44546A" w:themeColor="text2"/>
        </w:rPr>
        <w:t>Код земаља у успону ситуација је слична као и код развијених економија, те су изгледи за раст изузетно стабилни у ср</w:t>
      </w:r>
      <w:r w:rsidR="00002286" w:rsidRPr="00671E8F">
        <w:rPr>
          <w:rFonts w:cstheme="minorHAnsi"/>
          <w:b w:val="0"/>
          <w:bCs/>
          <w:color w:val="44546A" w:themeColor="text2"/>
        </w:rPr>
        <w:t xml:space="preserve">едњем року, крећући се око </w:t>
      </w:r>
      <w:r w:rsidR="00002286" w:rsidRPr="00671E8F">
        <w:rPr>
          <w:rFonts w:cstheme="minorHAnsi"/>
          <w:b w:val="0"/>
          <w:bCs/>
          <w:color w:val="44546A" w:themeColor="text2"/>
        </w:rPr>
        <w:t>4,2%</w:t>
      </w:r>
      <w:r w:rsidR="002B762A" w:rsidRPr="00671E8F">
        <w:rPr>
          <w:rFonts w:cstheme="minorHAnsi"/>
          <w:b w:val="0"/>
          <w:bCs/>
          <w:color w:val="44546A" w:themeColor="text2"/>
        </w:rPr>
        <w:t>,</w:t>
      </w:r>
      <w:r w:rsidRPr="00671E8F">
        <w:rPr>
          <w:rFonts w:cstheme="minorHAnsi"/>
          <w:b w:val="0"/>
          <w:bCs/>
          <w:color w:val="44546A" w:themeColor="text2"/>
        </w:rPr>
        <w:t xml:space="preserve"> али такође уз изражене разлике међу регионима. </w:t>
      </w:r>
    </w:p>
    <w:p w14:paraId="740E6692" w14:textId="77777777" w:rsidR="002301EC" w:rsidRPr="00671E8F" w:rsidRDefault="002301EC" w:rsidP="002301EC">
      <w:pPr>
        <w:pStyle w:val="Caption"/>
        <w:keepNext/>
        <w:spacing w:after="0"/>
        <w:rPr>
          <w:rFonts w:cstheme="minorHAnsi"/>
          <w:iCs w:val="0"/>
          <w:szCs w:val="22"/>
        </w:rPr>
      </w:pPr>
      <w:r w:rsidRPr="00671E8F">
        <w:rPr>
          <w:rFonts w:cstheme="minorHAnsi"/>
          <w:iCs w:val="0"/>
          <w:szCs w:val="22"/>
        </w:rPr>
        <w:t>Глобални економски раст, п.п.</w:t>
      </w:r>
    </w:p>
    <w:p w14:paraId="204AE1D2" w14:textId="4769CDD9" w:rsidR="002301EC" w:rsidRPr="00671E8F" w:rsidRDefault="002301EC" w:rsidP="0082579B">
      <w:pPr>
        <w:pStyle w:val="Caption"/>
        <w:keepNext/>
        <w:jc w:val="both"/>
        <w:rPr>
          <w:rFonts w:cstheme="minorHAnsi"/>
          <w:b w:val="0"/>
          <w:bCs/>
          <w:color w:val="44546A" w:themeColor="text2"/>
        </w:rPr>
      </w:pPr>
      <w:r w:rsidRPr="00671E8F">
        <w:rPr>
          <w:noProof/>
          <w:lang w:val="en-US"/>
        </w:rPr>
        <w:drawing>
          <wp:inline distT="0" distB="0" distL="0" distR="0" wp14:anchorId="410AC5FD" wp14:editId="042C7C3E">
            <wp:extent cx="2729345" cy="2057400"/>
            <wp:effectExtent l="0" t="0" r="0" b="0"/>
            <wp:docPr id="15" name="Chart 15">
              <a:extLst xmlns:a="http://schemas.openxmlformats.org/drawingml/2006/main">
                <a:ext uri="{FF2B5EF4-FFF2-40B4-BE49-F238E27FC236}">
                  <a16:creationId xmlns:a16="http://schemas.microsoft.com/office/drawing/2014/main" id="{00000000-0008-0000-0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0C50E20F" w14:textId="77777777" w:rsidR="002301EC" w:rsidRPr="00671E8F" w:rsidRDefault="002301EC" w:rsidP="002301EC">
      <w:pPr>
        <w:rPr>
          <w:rFonts w:cstheme="minorHAnsi"/>
          <w:bCs/>
          <w:sz w:val="16"/>
          <w:szCs w:val="72"/>
        </w:rPr>
      </w:pPr>
      <w:r w:rsidRPr="00671E8F">
        <w:rPr>
          <w:rFonts w:cstheme="minorHAnsi"/>
          <w:bCs/>
          <w:sz w:val="16"/>
          <w:szCs w:val="72"/>
        </w:rPr>
        <w:t xml:space="preserve">Извор: ММФ, </w:t>
      </w:r>
      <w:r w:rsidRPr="00671E8F">
        <w:rPr>
          <w:rFonts w:cstheme="minorHAnsi"/>
          <w:bCs/>
          <w:i/>
          <w:iCs/>
          <w:sz w:val="16"/>
          <w:szCs w:val="72"/>
        </w:rPr>
        <w:t>World Economic Outlook</w:t>
      </w:r>
      <w:r w:rsidRPr="00671E8F">
        <w:rPr>
          <w:rFonts w:cstheme="minorHAnsi"/>
          <w:bCs/>
          <w:sz w:val="16"/>
          <w:szCs w:val="72"/>
        </w:rPr>
        <w:t>, октобар 2024.</w:t>
      </w:r>
    </w:p>
    <w:p w14:paraId="5FBDAE0F" w14:textId="4DFA111C" w:rsidR="003B3784" w:rsidRPr="00671E8F" w:rsidRDefault="003B3784" w:rsidP="002301EC">
      <w:pPr>
        <w:rPr>
          <w:rFonts w:cstheme="minorHAnsi"/>
          <w:bCs/>
          <w:sz w:val="16"/>
          <w:szCs w:val="72"/>
        </w:rPr>
      </w:pPr>
      <w:r w:rsidRPr="00671E8F">
        <w:rPr>
          <w:rFonts w:cstheme="minorHAnsi"/>
          <w:bCs/>
        </w:rPr>
        <w:t xml:space="preserve">Раст региона Блиског истока и Централне Азије ће убрзати, пошто се претпоставља да ће ефекат привремених прекида у производњи и транспорту нафте нестати. За регион Подсахарске Африке предвиђа се слично убрзање раста, будући да </w:t>
      </w:r>
      <w:r w:rsidRPr="00671E8F">
        <w:rPr>
          <w:rFonts w:cstheme="minorHAnsi"/>
          <w:bCs/>
        </w:rPr>
        <w:lastRenderedPageBreak/>
        <w:t xml:space="preserve">негативни утицаји претходних временских непогода, као и ограничења на страни понуде постепено ишчезавају. </w:t>
      </w:r>
      <w:r w:rsidR="00002286" w:rsidRPr="00671E8F">
        <w:rPr>
          <w:rFonts w:cstheme="minorHAnsi"/>
          <w:bCs/>
        </w:rPr>
        <w:t>Очекује</w:t>
      </w:r>
      <w:r w:rsidRPr="00671E8F">
        <w:rPr>
          <w:rFonts w:cstheme="minorHAnsi"/>
          <w:bCs/>
        </w:rPr>
        <w:t xml:space="preserve"> се да ће раст Кине полако успоравати због нестабилности сектора некретнина и ниског поверења потрошача, док ће у прогнозираном периоду нешто оштрији тренд успоравања имати Русија</w:t>
      </w:r>
      <w:r w:rsidR="00002286" w:rsidRPr="00671E8F">
        <w:rPr>
          <w:rFonts w:cstheme="minorHAnsi"/>
          <w:bCs/>
        </w:rPr>
        <w:t>,</w:t>
      </w:r>
      <w:r w:rsidRPr="00671E8F">
        <w:rPr>
          <w:rFonts w:cstheme="minorHAnsi"/>
          <w:bCs/>
        </w:rPr>
        <w:t xml:space="preserve"> услед смањења</w:t>
      </w:r>
      <w:r w:rsidR="002B762A" w:rsidRPr="00671E8F">
        <w:rPr>
          <w:rFonts w:cstheme="minorHAnsi"/>
          <w:bCs/>
        </w:rPr>
        <w:t xml:space="preserve"> </w:t>
      </w:r>
      <w:r w:rsidRPr="00671E8F">
        <w:rPr>
          <w:rFonts w:cstheme="minorHAnsi"/>
          <w:bCs/>
        </w:rPr>
        <w:t>инвестиција и приватне потрошње</w:t>
      </w:r>
      <w:r w:rsidR="00D6462F" w:rsidRPr="00671E8F">
        <w:rPr>
          <w:rFonts w:cstheme="minorHAnsi"/>
          <w:bCs/>
        </w:rPr>
        <w:t>,</w:t>
      </w:r>
      <w:r w:rsidRPr="00671E8F">
        <w:rPr>
          <w:rFonts w:cstheme="minorHAnsi"/>
          <w:bCs/>
        </w:rPr>
        <w:t xml:space="preserve"> због неповољних услова на тржишту рада.</w:t>
      </w:r>
    </w:p>
    <w:p w14:paraId="0546FCEA" w14:textId="2E1DCA67" w:rsidR="003B3784" w:rsidRPr="00671E8F" w:rsidRDefault="0015584F" w:rsidP="003B3784">
      <w:pPr>
        <w:spacing w:after="80"/>
        <w:rPr>
          <w:rFonts w:cstheme="minorHAnsi"/>
          <w:bCs/>
          <w:szCs w:val="72"/>
        </w:rPr>
      </w:pPr>
      <w:r w:rsidRPr="00671E8F">
        <w:rPr>
          <w:rFonts w:cstheme="minorHAnsi"/>
          <w:bCs/>
          <w:szCs w:val="72"/>
        </w:rPr>
        <w:t>О</w:t>
      </w:r>
      <w:r w:rsidR="003B3784" w:rsidRPr="00671E8F">
        <w:rPr>
          <w:rFonts w:cstheme="minorHAnsi"/>
          <w:bCs/>
          <w:szCs w:val="72"/>
        </w:rPr>
        <w:t>чекује се скромни опоравак</w:t>
      </w:r>
      <w:r w:rsidRPr="00671E8F">
        <w:rPr>
          <w:rFonts w:cstheme="minorHAnsi"/>
          <w:bCs/>
          <w:szCs w:val="72"/>
        </w:rPr>
        <w:t xml:space="preserve"> привреде еврозоне</w:t>
      </w:r>
      <w:r w:rsidR="003B3784" w:rsidRPr="00671E8F">
        <w:rPr>
          <w:rFonts w:cstheme="minorHAnsi"/>
          <w:bCs/>
          <w:szCs w:val="72"/>
        </w:rPr>
        <w:t xml:space="preserve"> од 0,8% у 2024. години као резулта</w:t>
      </w:r>
      <w:r w:rsidR="002B762A" w:rsidRPr="00671E8F">
        <w:rPr>
          <w:rFonts w:cstheme="minorHAnsi"/>
          <w:bCs/>
          <w:szCs w:val="72"/>
        </w:rPr>
        <w:t xml:space="preserve">т </w:t>
      </w:r>
      <w:r w:rsidR="006607CF" w:rsidRPr="00671E8F">
        <w:rPr>
          <w:rFonts w:cstheme="minorHAnsi"/>
          <w:bCs/>
          <w:szCs w:val="72"/>
        </w:rPr>
        <w:t xml:space="preserve">нешто </w:t>
      </w:r>
      <w:r w:rsidR="002B762A" w:rsidRPr="00671E8F">
        <w:rPr>
          <w:rFonts w:cstheme="minorHAnsi"/>
          <w:bCs/>
          <w:szCs w:val="72"/>
        </w:rPr>
        <w:t>бољег извоза, нарочит</w:t>
      </w:r>
      <w:r w:rsidR="006607CF" w:rsidRPr="00671E8F">
        <w:rPr>
          <w:rFonts w:cstheme="minorHAnsi"/>
          <w:bCs/>
          <w:szCs w:val="72"/>
        </w:rPr>
        <w:t xml:space="preserve">о добара. За </w:t>
      </w:r>
      <w:r w:rsidR="003B3784" w:rsidRPr="00671E8F">
        <w:rPr>
          <w:rFonts w:cstheme="minorHAnsi"/>
          <w:bCs/>
          <w:szCs w:val="72"/>
        </w:rPr>
        <w:t xml:space="preserve">2025. годину </w:t>
      </w:r>
      <w:r w:rsidR="006607CF" w:rsidRPr="00671E8F">
        <w:rPr>
          <w:rFonts w:cstheme="minorHAnsi"/>
          <w:bCs/>
          <w:szCs w:val="72"/>
        </w:rPr>
        <w:t xml:space="preserve">пројектован је раст од </w:t>
      </w:r>
      <w:r w:rsidR="003B3784" w:rsidRPr="00671E8F">
        <w:rPr>
          <w:rFonts w:cstheme="minorHAnsi"/>
          <w:bCs/>
          <w:szCs w:val="72"/>
        </w:rPr>
        <w:t>1,2%,</w:t>
      </w:r>
      <w:r w:rsidR="006607CF" w:rsidRPr="00671E8F">
        <w:rPr>
          <w:rFonts w:cstheme="minorHAnsi"/>
          <w:bCs/>
          <w:szCs w:val="72"/>
        </w:rPr>
        <w:t xml:space="preserve"> што је </w:t>
      </w:r>
      <w:r w:rsidRPr="00671E8F">
        <w:rPr>
          <w:rFonts w:cstheme="minorHAnsi"/>
          <w:bCs/>
          <w:szCs w:val="72"/>
        </w:rPr>
        <w:t>за 0,3 п.п. ниже у односу на претходна очекивања.</w:t>
      </w:r>
      <w:r w:rsidR="003B3784" w:rsidRPr="00671E8F">
        <w:rPr>
          <w:rFonts w:cstheme="minorHAnsi"/>
          <w:bCs/>
          <w:szCs w:val="72"/>
        </w:rPr>
        <w:t xml:space="preserve"> </w:t>
      </w:r>
      <w:r w:rsidR="006607CF" w:rsidRPr="00671E8F">
        <w:rPr>
          <w:rFonts w:cstheme="minorHAnsi"/>
          <w:bCs/>
          <w:szCs w:val="72"/>
        </w:rPr>
        <w:t>Слабији економски раст у еврозони превасходно је последица изазова са којима се суочавају кључне економије, попут Немачке, која бележи стагнацију, што додатно оптерећује целокупну економску ситуацију. Слабости у производном сектору и низак ниво продуктивности пред</w:t>
      </w:r>
      <w:r w:rsidR="00D6462F" w:rsidRPr="00671E8F">
        <w:rPr>
          <w:rFonts w:cstheme="minorHAnsi"/>
          <w:bCs/>
          <w:szCs w:val="72"/>
        </w:rPr>
        <w:t>с</w:t>
      </w:r>
      <w:r w:rsidR="006607CF" w:rsidRPr="00671E8F">
        <w:rPr>
          <w:rFonts w:cstheme="minorHAnsi"/>
          <w:bCs/>
          <w:szCs w:val="72"/>
        </w:rPr>
        <w:t xml:space="preserve">тављају кључне препреке за јачи опоравак. Такође, ризици повезани с геополитиком, као што су регионални сукоби и раст протекционизма, могли би додатно успорити опоравак. </w:t>
      </w:r>
      <w:r w:rsidR="003B3784" w:rsidRPr="00671E8F">
        <w:rPr>
          <w:rFonts w:cstheme="minorHAnsi"/>
          <w:bCs/>
          <w:szCs w:val="72"/>
        </w:rPr>
        <w:t xml:space="preserve">Слабост </w:t>
      </w:r>
      <w:r w:rsidR="00745BDA" w:rsidRPr="00671E8F">
        <w:rPr>
          <w:rFonts w:cstheme="minorHAnsi"/>
          <w:bCs/>
          <w:szCs w:val="72"/>
        </w:rPr>
        <w:t>прерађивачке индустрије</w:t>
      </w:r>
      <w:r w:rsidR="003B3784" w:rsidRPr="00671E8F">
        <w:rPr>
          <w:rFonts w:cstheme="minorHAnsi"/>
          <w:bCs/>
          <w:szCs w:val="72"/>
        </w:rPr>
        <w:t xml:space="preserve"> упорно оптерећује поједине земље попут Италије и нарочито Немачке, </w:t>
      </w:r>
      <w:r w:rsidR="00273D76" w:rsidRPr="00671E8F">
        <w:rPr>
          <w:rFonts w:cstheme="minorHAnsi"/>
          <w:bCs/>
          <w:szCs w:val="72"/>
        </w:rPr>
        <w:t>код које је</w:t>
      </w:r>
      <w:r w:rsidR="003B3784" w:rsidRPr="00671E8F">
        <w:rPr>
          <w:rFonts w:cstheme="minorHAnsi"/>
          <w:bCs/>
          <w:szCs w:val="72"/>
        </w:rPr>
        <w:t xml:space="preserve"> раст ревидиран наниже у односу на јулску пројекцију за 0,2 п.п. и 0,5 п.п. у 2024. и 2025 години</w:t>
      </w:r>
      <w:r w:rsidR="00BC1F3C" w:rsidRPr="00671E8F">
        <w:rPr>
          <w:rFonts w:cstheme="minorHAnsi"/>
          <w:bCs/>
          <w:szCs w:val="72"/>
        </w:rPr>
        <w:t>,</w:t>
      </w:r>
      <w:r w:rsidR="003B3784" w:rsidRPr="00671E8F">
        <w:rPr>
          <w:rFonts w:cstheme="minorHAnsi"/>
          <w:bCs/>
          <w:szCs w:val="72"/>
        </w:rPr>
        <w:t xml:space="preserve"> респективно. И док се за Италију очекује опоравак домаће тражње захваљујући финансијском плану подршке ЕУ, Немачка ће доживети даљи притисак на раст услед фискалне консолидације и оштрог пада цена некретнина. </w:t>
      </w:r>
    </w:p>
    <w:p w14:paraId="38A7203E" w14:textId="08FD9402" w:rsidR="000353A6" w:rsidRPr="00671E8F" w:rsidRDefault="00C6157A" w:rsidP="000353A6">
      <w:pPr>
        <w:spacing w:after="80"/>
        <w:rPr>
          <w:rFonts w:cstheme="minorHAnsi"/>
          <w:bCs/>
          <w:color w:val="FF0000"/>
          <w:szCs w:val="72"/>
        </w:rPr>
      </w:pPr>
      <w:r w:rsidRPr="00671E8F">
        <w:rPr>
          <w:noProof/>
          <w:lang w:val="en-US"/>
        </w:rPr>
        <w:drawing>
          <wp:inline distT="0" distB="0" distL="0" distR="0" wp14:anchorId="0323C94D" wp14:editId="47FA30BE">
            <wp:extent cx="2743200" cy="1951630"/>
            <wp:effectExtent l="0" t="0" r="0" b="0"/>
            <wp:docPr id="19" name="Chart 19">
              <a:extLst xmlns:a="http://schemas.openxmlformats.org/drawingml/2006/main">
                <a:ext uri="{FF2B5EF4-FFF2-40B4-BE49-F238E27FC236}">
                  <a16:creationId xmlns:a16="http://schemas.microsoft.com/office/drawing/2014/main" id="{00000000-0008-0000-08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7E8CAE2E" w14:textId="4A1A4D3C" w:rsidR="000353A6" w:rsidRPr="00671E8F" w:rsidRDefault="00C6157A" w:rsidP="000353A6">
      <w:pPr>
        <w:spacing w:after="80"/>
        <w:rPr>
          <w:rFonts w:cstheme="minorHAnsi"/>
          <w:bCs/>
          <w:color w:val="FF0000"/>
          <w:szCs w:val="72"/>
        </w:rPr>
      </w:pPr>
      <w:r w:rsidRPr="00671E8F">
        <w:rPr>
          <w:noProof/>
          <w:lang w:val="en-US"/>
        </w:rPr>
        <w:drawing>
          <wp:inline distT="0" distB="0" distL="0" distR="0" wp14:anchorId="6E11CA0A" wp14:editId="1B9C7D28">
            <wp:extent cx="2743200" cy="1828800"/>
            <wp:effectExtent l="0" t="0" r="0" b="0"/>
            <wp:docPr id="21" name="Chart 21">
              <a:extLst xmlns:a="http://schemas.openxmlformats.org/drawingml/2006/main">
                <a:ext uri="{FF2B5EF4-FFF2-40B4-BE49-F238E27FC236}">
                  <a16:creationId xmlns:a16="http://schemas.microsoft.com/office/drawing/2014/main" id="{00000000-0008-0000-08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76031BBC" w14:textId="36B05980" w:rsidR="000353A6" w:rsidRPr="00671E8F" w:rsidRDefault="00C6157A" w:rsidP="000353A6">
      <w:pPr>
        <w:spacing w:after="80"/>
        <w:rPr>
          <w:rFonts w:cstheme="minorHAnsi"/>
          <w:bCs/>
          <w:color w:val="FF0000"/>
          <w:szCs w:val="72"/>
        </w:rPr>
      </w:pPr>
      <w:r w:rsidRPr="00671E8F">
        <w:rPr>
          <w:noProof/>
          <w:lang w:val="en-US"/>
        </w:rPr>
        <w:drawing>
          <wp:inline distT="0" distB="0" distL="0" distR="0" wp14:anchorId="2666425E" wp14:editId="55A5A6E3">
            <wp:extent cx="2743200" cy="160655"/>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37"/>
                    <a:stretch>
                      <a:fillRect/>
                    </a:stretch>
                  </pic:blipFill>
                  <pic:spPr>
                    <a:xfrm>
                      <a:off x="0" y="0"/>
                      <a:ext cx="2743200" cy="160655"/>
                    </a:xfrm>
                    <a:prstGeom prst="rect">
                      <a:avLst/>
                    </a:prstGeom>
                  </pic:spPr>
                </pic:pic>
              </a:graphicData>
            </a:graphic>
          </wp:inline>
        </w:drawing>
      </w:r>
    </w:p>
    <w:p w14:paraId="704BF368" w14:textId="1E4FC95D" w:rsidR="000353A6" w:rsidRPr="00671E8F" w:rsidRDefault="000353A6" w:rsidP="000353A6">
      <w:pPr>
        <w:rPr>
          <w:rFonts w:cstheme="minorHAnsi"/>
          <w:bCs/>
          <w:sz w:val="16"/>
          <w:szCs w:val="72"/>
        </w:rPr>
      </w:pPr>
      <w:r w:rsidRPr="00671E8F">
        <w:rPr>
          <w:rFonts w:cstheme="minorHAnsi"/>
          <w:bCs/>
          <w:sz w:val="16"/>
          <w:szCs w:val="72"/>
        </w:rPr>
        <w:t xml:space="preserve">Извор: ММФ, </w:t>
      </w:r>
      <w:r w:rsidRPr="00671E8F">
        <w:rPr>
          <w:rFonts w:cstheme="minorHAnsi"/>
          <w:bCs/>
          <w:i/>
          <w:sz w:val="16"/>
          <w:szCs w:val="72"/>
        </w:rPr>
        <w:t>World Economic Outlook</w:t>
      </w:r>
    </w:p>
    <w:p w14:paraId="7C800E38" w14:textId="3E134326" w:rsidR="003B3784" w:rsidRPr="00671E8F" w:rsidRDefault="003B3784" w:rsidP="003B3784">
      <w:pPr>
        <w:spacing w:after="80"/>
        <w:rPr>
          <w:rFonts w:cstheme="minorHAnsi"/>
          <w:bCs/>
          <w:szCs w:val="72"/>
        </w:rPr>
      </w:pPr>
      <w:r w:rsidRPr="00671E8F">
        <w:rPr>
          <w:rFonts w:cstheme="minorHAnsi"/>
          <w:bCs/>
          <w:szCs w:val="72"/>
        </w:rPr>
        <w:t>Очекује се успоравање глобалне инфлације са</w:t>
      </w:r>
      <w:r w:rsidRPr="00671E8F" w:rsidDel="00A75EA0">
        <w:rPr>
          <w:rFonts w:cstheme="minorHAnsi"/>
          <w:bCs/>
          <w:szCs w:val="72"/>
        </w:rPr>
        <w:t xml:space="preserve"> </w:t>
      </w:r>
      <w:r w:rsidRPr="00671E8F">
        <w:rPr>
          <w:rFonts w:cstheme="minorHAnsi"/>
          <w:bCs/>
          <w:szCs w:val="72"/>
        </w:rPr>
        <w:t>6,7% просечно годишње у 2023. години на 5,8% у 2024. години и 4,3% у 2025. години.</w:t>
      </w:r>
      <w:r w:rsidRPr="00671E8F">
        <w:t xml:space="preserve"> </w:t>
      </w:r>
      <w:r w:rsidR="00365AF2" w:rsidRPr="00671E8F">
        <w:rPr>
          <w:rFonts w:cstheme="minorHAnsi"/>
          <w:bCs/>
          <w:szCs w:val="72"/>
        </w:rPr>
        <w:t xml:space="preserve">Успоравање глобалне инфлације у 2024. и 2025. години је засновано на смањењу базне инфлације као резултат ефектуирања рестриктивних мера монетарне политике из претходног периода, за разлику од ситуације из 2023. године, када је укупна инфлација пала углавном због нижих цена енергената. </w:t>
      </w:r>
      <w:r w:rsidR="004E5EA4" w:rsidRPr="00671E8F">
        <w:rPr>
          <w:rFonts w:cstheme="minorHAnsi"/>
          <w:bCs/>
          <w:szCs w:val="72"/>
        </w:rPr>
        <w:t>Претпоставља</w:t>
      </w:r>
      <w:r w:rsidRPr="00671E8F">
        <w:rPr>
          <w:rFonts w:cstheme="minorHAnsi"/>
          <w:bCs/>
          <w:szCs w:val="72"/>
        </w:rPr>
        <w:t xml:space="preserve"> се да ће дезинфлација бити бржа у развијеним економијама са </w:t>
      </w:r>
      <w:r w:rsidR="00365AF2" w:rsidRPr="00671E8F">
        <w:rPr>
          <w:rFonts w:cstheme="minorHAnsi"/>
          <w:bCs/>
          <w:szCs w:val="72"/>
        </w:rPr>
        <w:t>смањењем од 2 п.п. у 2024. години</w:t>
      </w:r>
      <w:r w:rsidRPr="00671E8F">
        <w:rPr>
          <w:rFonts w:cstheme="minorHAnsi"/>
          <w:bCs/>
          <w:szCs w:val="72"/>
        </w:rPr>
        <w:t xml:space="preserve"> и стабилизацијом на </w:t>
      </w:r>
      <w:r w:rsidR="00365AF2" w:rsidRPr="00671E8F">
        <w:rPr>
          <w:rFonts w:cstheme="minorHAnsi"/>
          <w:bCs/>
          <w:szCs w:val="72"/>
        </w:rPr>
        <w:t xml:space="preserve">нивоу од </w:t>
      </w:r>
      <w:r w:rsidRPr="00671E8F">
        <w:rPr>
          <w:rFonts w:cstheme="minorHAnsi"/>
          <w:bCs/>
          <w:szCs w:val="72"/>
        </w:rPr>
        <w:t>око 2% у 2025. години</w:t>
      </w:r>
      <w:r w:rsidR="00076726" w:rsidRPr="00671E8F">
        <w:rPr>
          <w:rFonts w:cstheme="minorHAnsi"/>
          <w:bCs/>
          <w:szCs w:val="72"/>
        </w:rPr>
        <w:t>.</w:t>
      </w:r>
      <w:r w:rsidRPr="00671E8F">
        <w:rPr>
          <w:rFonts w:cstheme="minorHAnsi"/>
          <w:bCs/>
          <w:szCs w:val="72"/>
        </w:rPr>
        <w:t xml:space="preserve"> </w:t>
      </w:r>
      <w:r w:rsidR="00365AF2" w:rsidRPr="00671E8F">
        <w:rPr>
          <w:rFonts w:cstheme="minorHAnsi"/>
          <w:bCs/>
          <w:szCs w:val="72"/>
        </w:rPr>
        <w:t>Нешто спорија дезинфлација очекује се код</w:t>
      </w:r>
      <w:r w:rsidRPr="00671E8F">
        <w:rPr>
          <w:rFonts w:cstheme="minorHAnsi"/>
          <w:bCs/>
          <w:szCs w:val="72"/>
        </w:rPr>
        <w:t xml:space="preserve"> земаља у развоју, где</w:t>
      </w:r>
      <w:r w:rsidR="00076726" w:rsidRPr="00671E8F">
        <w:rPr>
          <w:rFonts w:cstheme="minorHAnsi"/>
          <w:bCs/>
          <w:szCs w:val="72"/>
        </w:rPr>
        <w:t xml:space="preserve"> </w:t>
      </w:r>
      <w:r w:rsidRPr="00671E8F">
        <w:rPr>
          <w:rFonts w:cstheme="minorHAnsi"/>
          <w:bCs/>
          <w:szCs w:val="72"/>
        </w:rPr>
        <w:t>ће инфлација</w:t>
      </w:r>
      <w:r w:rsidR="00365AF2" w:rsidRPr="00671E8F">
        <w:rPr>
          <w:rFonts w:cstheme="minorHAnsi"/>
          <w:bCs/>
          <w:szCs w:val="72"/>
        </w:rPr>
        <w:t xml:space="preserve"> благо</w:t>
      </w:r>
      <w:r w:rsidRPr="00671E8F">
        <w:rPr>
          <w:rFonts w:cstheme="minorHAnsi"/>
          <w:bCs/>
          <w:szCs w:val="72"/>
        </w:rPr>
        <w:t xml:space="preserve"> </w:t>
      </w:r>
      <w:r w:rsidR="00365AF2" w:rsidRPr="00671E8F">
        <w:rPr>
          <w:rFonts w:cstheme="minorHAnsi"/>
          <w:bCs/>
          <w:szCs w:val="72"/>
        </w:rPr>
        <w:t xml:space="preserve">успорити </w:t>
      </w:r>
      <w:r w:rsidRPr="00671E8F">
        <w:rPr>
          <w:rFonts w:cstheme="minorHAnsi"/>
          <w:bCs/>
          <w:szCs w:val="72"/>
        </w:rPr>
        <w:t>са 8,1% у 2023. години на 7,9% у 2024. години, а затим следи нешто већи пад у 2025. години на 5,9%.</w:t>
      </w:r>
      <w:r w:rsidRPr="00671E8F">
        <w:rPr>
          <w:rFonts w:cstheme="minorHAnsi"/>
          <w:bCs/>
          <w:color w:val="FF0000"/>
          <w:szCs w:val="72"/>
        </w:rPr>
        <w:t xml:space="preserve"> </w:t>
      </w:r>
      <w:r w:rsidRPr="00671E8F">
        <w:rPr>
          <w:rFonts w:cstheme="minorHAnsi"/>
          <w:bCs/>
          <w:szCs w:val="72"/>
        </w:rPr>
        <w:t xml:space="preserve">Приметна је и велика разлика међу групама земаља у развоју, па тако стопа инфлације варира од 2,1% за регион Азије услед благовременог пооштравања монетарне политике и контроле цена у многим </w:t>
      </w:r>
      <w:r w:rsidR="00ED2E55" w:rsidRPr="00671E8F">
        <w:rPr>
          <w:rFonts w:cstheme="minorHAnsi"/>
          <w:bCs/>
          <w:szCs w:val="72"/>
        </w:rPr>
        <w:t xml:space="preserve">азијским </w:t>
      </w:r>
      <w:r w:rsidRPr="00671E8F">
        <w:rPr>
          <w:rFonts w:cstheme="minorHAnsi"/>
          <w:bCs/>
          <w:szCs w:val="72"/>
        </w:rPr>
        <w:t xml:space="preserve">земљама, </w:t>
      </w:r>
      <w:r w:rsidR="00D12A43" w:rsidRPr="00671E8F">
        <w:rPr>
          <w:rFonts w:cstheme="minorHAnsi"/>
          <w:bCs/>
          <w:szCs w:val="72"/>
        </w:rPr>
        <w:t>до 18,1% у региону Субсахарске Африке.</w:t>
      </w:r>
    </w:p>
    <w:p w14:paraId="36450071" w14:textId="5103EA11" w:rsidR="000353A6" w:rsidRPr="00671E8F" w:rsidRDefault="003B3784" w:rsidP="000353A6">
      <w:pPr>
        <w:rPr>
          <w:color w:val="FF0000"/>
        </w:rPr>
      </w:pPr>
      <w:r w:rsidRPr="00671E8F">
        <w:rPr>
          <w:rFonts w:cstheme="minorHAnsi"/>
          <w:bCs/>
          <w:szCs w:val="72"/>
        </w:rPr>
        <w:t>Цене примарних производа су п</w:t>
      </w:r>
      <w:r w:rsidR="000A6528" w:rsidRPr="00671E8F">
        <w:rPr>
          <w:rFonts w:cstheme="minorHAnsi"/>
          <w:bCs/>
          <w:szCs w:val="72"/>
        </w:rPr>
        <w:t xml:space="preserve">орасле од почетка 2024. године, пре свега </w:t>
      </w:r>
      <w:r w:rsidRPr="00671E8F">
        <w:rPr>
          <w:rFonts w:cstheme="minorHAnsi"/>
          <w:bCs/>
          <w:szCs w:val="72"/>
        </w:rPr>
        <w:t>у</w:t>
      </w:r>
      <w:r w:rsidR="000A6528" w:rsidRPr="00671E8F">
        <w:rPr>
          <w:rFonts w:cstheme="minorHAnsi"/>
          <w:bCs/>
          <w:szCs w:val="72"/>
        </w:rPr>
        <w:t>след раста цена природног гаса и племенитих метала</w:t>
      </w:r>
      <w:r w:rsidRPr="00671E8F">
        <w:rPr>
          <w:rFonts w:cstheme="minorHAnsi"/>
          <w:bCs/>
          <w:szCs w:val="72"/>
        </w:rPr>
        <w:t>. На тржишту сирове нафте, смањење понуде од стране ОПЕК+ и геополитичке тензије на Блиском истоку компензовани су снаж</w:t>
      </w:r>
      <w:r w:rsidR="00363B2D" w:rsidRPr="00671E8F">
        <w:rPr>
          <w:rFonts w:cstheme="minorHAnsi"/>
          <w:bCs/>
          <w:szCs w:val="72"/>
        </w:rPr>
        <w:t>н</w:t>
      </w:r>
      <w:r w:rsidRPr="00671E8F">
        <w:rPr>
          <w:rFonts w:cstheme="minorHAnsi"/>
          <w:bCs/>
          <w:szCs w:val="72"/>
        </w:rPr>
        <w:t xml:space="preserve">им растом понуде ван ОПЕК+. Цене сирове нафте ће се, након раста од 0,9% у 2024. години, у наредном периоду кретати силазном путањом, уз очекивано смањење са 81,3 $/барелу у 2024. на 72,8 $/барелу у 2025. години. </w:t>
      </w:r>
      <w:r w:rsidR="00710ADC" w:rsidRPr="00671E8F">
        <w:rPr>
          <w:rFonts w:cstheme="minorHAnsi"/>
          <w:bCs/>
          <w:szCs w:val="72"/>
        </w:rPr>
        <w:t>Цене</w:t>
      </w:r>
      <w:r w:rsidRPr="00671E8F">
        <w:rPr>
          <w:rFonts w:cstheme="minorHAnsi"/>
          <w:bCs/>
          <w:szCs w:val="72"/>
        </w:rPr>
        <w:t xml:space="preserve"> хране</w:t>
      </w:r>
      <w:r w:rsidR="00710ADC" w:rsidRPr="00671E8F">
        <w:rPr>
          <w:rFonts w:cstheme="minorHAnsi"/>
          <w:bCs/>
          <w:szCs w:val="72"/>
        </w:rPr>
        <w:t xml:space="preserve"> ће</w:t>
      </w:r>
      <w:r w:rsidRPr="00671E8F">
        <w:rPr>
          <w:rFonts w:cstheme="minorHAnsi"/>
          <w:bCs/>
          <w:szCs w:val="72"/>
        </w:rPr>
        <w:t xml:space="preserve"> пасти за 5,2% у 2024. и за додатних </w:t>
      </w:r>
      <w:r w:rsidRPr="00671E8F">
        <w:rPr>
          <w:rFonts w:cstheme="minorHAnsi"/>
          <w:bCs/>
          <w:szCs w:val="72"/>
        </w:rPr>
        <w:lastRenderedPageBreak/>
        <w:t>4,5% у 2025. години, јер се предвиђа да ће глобална производња житарица достићи рекордне вредности у том периоду. Пројектује се и пад цена основних метала и гвожђа у периоду 2024–2026. године, док је цена злата у 2024. години скочила због геопо</w:t>
      </w:r>
      <w:r w:rsidR="00584A8A" w:rsidRPr="00671E8F">
        <w:rPr>
          <w:rFonts w:cstheme="minorHAnsi"/>
          <w:bCs/>
          <w:szCs w:val="72"/>
        </w:rPr>
        <w:t xml:space="preserve">литичке неизвесности и </w:t>
      </w:r>
      <w:r w:rsidRPr="00671E8F">
        <w:rPr>
          <w:rFonts w:cstheme="minorHAnsi"/>
          <w:bCs/>
          <w:szCs w:val="72"/>
        </w:rPr>
        <w:t>о</w:t>
      </w:r>
      <w:r w:rsidR="0082579B" w:rsidRPr="00671E8F">
        <w:rPr>
          <w:rFonts w:cstheme="minorHAnsi"/>
          <w:bCs/>
          <w:szCs w:val="72"/>
        </w:rPr>
        <w:t>чекивања смањења каматних стопа.</w:t>
      </w:r>
    </w:p>
    <w:p w14:paraId="102EB82F" w14:textId="77777777" w:rsidR="000353A6" w:rsidRPr="00671E8F" w:rsidRDefault="000353A6" w:rsidP="000353A6">
      <w:pPr>
        <w:pStyle w:val="Caption"/>
        <w:keepNext/>
        <w:spacing w:after="0"/>
        <w:rPr>
          <w:rFonts w:cstheme="minorHAnsi"/>
          <w:b w:val="0"/>
          <w:i/>
          <w:iCs w:val="0"/>
          <w:szCs w:val="22"/>
        </w:rPr>
      </w:pPr>
      <w:r w:rsidRPr="00671E8F">
        <w:rPr>
          <w:rFonts w:cstheme="minorHAnsi"/>
          <w:iCs w:val="0"/>
          <w:szCs w:val="22"/>
        </w:rPr>
        <w:t>Кретање цена, индекси, 2016=100</w:t>
      </w:r>
    </w:p>
    <w:p w14:paraId="6B5CA156" w14:textId="19FBD228" w:rsidR="000353A6" w:rsidRPr="00671E8F" w:rsidRDefault="0022579F" w:rsidP="000353A6">
      <w:pPr>
        <w:spacing w:after="40"/>
        <w:rPr>
          <w:rFonts w:cstheme="minorHAnsi"/>
          <w:bCs/>
          <w:color w:val="FF0000"/>
          <w:sz w:val="16"/>
          <w:szCs w:val="72"/>
        </w:rPr>
      </w:pPr>
      <w:r w:rsidRPr="00671E8F">
        <w:rPr>
          <w:noProof/>
          <w:lang w:val="en-US"/>
        </w:rPr>
        <w:drawing>
          <wp:inline distT="0" distB="0" distL="0" distR="0" wp14:anchorId="6CBA1016" wp14:editId="3193C140">
            <wp:extent cx="2743200" cy="1999397"/>
            <wp:effectExtent l="0" t="0" r="0" b="1270"/>
            <wp:docPr id="1" name="Chart 1">
              <a:extLst xmlns:a="http://schemas.openxmlformats.org/drawingml/2006/main">
                <a:ext uri="{FF2B5EF4-FFF2-40B4-BE49-F238E27FC236}">
                  <a16:creationId xmlns:a16="http://schemas.microsoft.com/office/drawing/2014/main" id="{00000000-0008-0000-01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BA65E45" w14:textId="7C24E81B" w:rsidR="000353A6" w:rsidRPr="00671E8F" w:rsidRDefault="000353A6" w:rsidP="000353A6">
      <w:pPr>
        <w:spacing w:after="120"/>
      </w:pPr>
      <w:r w:rsidRPr="00671E8F">
        <w:rPr>
          <w:rFonts w:cstheme="minorHAnsi"/>
          <w:bCs/>
          <w:sz w:val="16"/>
          <w:szCs w:val="72"/>
        </w:rPr>
        <w:t xml:space="preserve">Извор: ММФ, </w:t>
      </w:r>
      <w:r w:rsidRPr="00671E8F">
        <w:rPr>
          <w:rFonts w:cstheme="minorHAnsi"/>
          <w:bCs/>
          <w:i/>
          <w:sz w:val="16"/>
          <w:szCs w:val="72"/>
        </w:rPr>
        <w:t>World Economic Outlook</w:t>
      </w:r>
      <w:r w:rsidR="0022579F" w:rsidRPr="00671E8F">
        <w:rPr>
          <w:rFonts w:cstheme="minorHAnsi"/>
          <w:bCs/>
          <w:sz w:val="16"/>
          <w:szCs w:val="72"/>
        </w:rPr>
        <w:t>, октобар</w:t>
      </w:r>
      <w:r w:rsidRPr="00671E8F">
        <w:rPr>
          <w:rFonts w:cstheme="minorHAnsi"/>
          <w:bCs/>
          <w:sz w:val="16"/>
          <w:szCs w:val="72"/>
        </w:rPr>
        <w:t xml:space="preserve"> 2024.</w:t>
      </w:r>
    </w:p>
    <w:p w14:paraId="187B6AFD" w14:textId="77777777" w:rsidR="000353A6" w:rsidRPr="00671E8F" w:rsidRDefault="000353A6" w:rsidP="000353A6">
      <w:pPr>
        <w:pStyle w:val="Caption"/>
        <w:keepNext/>
        <w:spacing w:after="0"/>
        <w:rPr>
          <w:rFonts w:cstheme="minorHAnsi"/>
          <w:b w:val="0"/>
          <w:i/>
          <w:iCs w:val="0"/>
          <w:szCs w:val="22"/>
        </w:rPr>
      </w:pPr>
      <w:r w:rsidRPr="00671E8F">
        <w:rPr>
          <w:rFonts w:cstheme="minorHAnsi"/>
          <w:iCs w:val="0"/>
          <w:szCs w:val="22"/>
        </w:rPr>
        <w:t>Пројекција кретања цена, индекси, 2019=100</w:t>
      </w:r>
    </w:p>
    <w:p w14:paraId="51C4314B" w14:textId="0C28F6DA" w:rsidR="000353A6" w:rsidRPr="00671E8F" w:rsidRDefault="0022579F" w:rsidP="000353A6">
      <w:pPr>
        <w:spacing w:after="0"/>
        <w:rPr>
          <w:color w:val="FF0000"/>
        </w:rPr>
      </w:pPr>
      <w:r w:rsidRPr="00671E8F">
        <w:rPr>
          <w:noProof/>
          <w:lang w:val="en-US"/>
        </w:rPr>
        <w:drawing>
          <wp:inline distT="0" distB="0" distL="0" distR="0" wp14:anchorId="1A92CD4F" wp14:editId="54DAA186">
            <wp:extent cx="2743200" cy="2313295"/>
            <wp:effectExtent l="0" t="0" r="0" b="0"/>
            <wp:docPr id="26" name="Chart 26">
              <a:extLst xmlns:a="http://schemas.openxmlformats.org/drawingml/2006/main">
                <a:ext uri="{FF2B5EF4-FFF2-40B4-BE49-F238E27FC236}">
                  <a16:creationId xmlns:a16="http://schemas.microsoft.com/office/drawing/2014/main" id="{00000000-0008-0000-0200-00001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EA3EBBA" w14:textId="46D9F4B3" w:rsidR="000353A6" w:rsidRPr="00671E8F" w:rsidRDefault="000353A6" w:rsidP="000353A6">
      <w:pPr>
        <w:rPr>
          <w:rFonts w:cstheme="minorHAnsi"/>
          <w:szCs w:val="72"/>
        </w:rPr>
      </w:pPr>
      <w:r w:rsidRPr="00671E8F">
        <w:rPr>
          <w:rFonts w:cstheme="minorHAnsi"/>
          <w:bCs/>
          <w:sz w:val="16"/>
          <w:szCs w:val="72"/>
        </w:rPr>
        <w:t xml:space="preserve">Извор: ММФ, </w:t>
      </w:r>
      <w:r w:rsidRPr="00671E8F">
        <w:rPr>
          <w:rFonts w:cstheme="minorHAnsi"/>
          <w:bCs/>
          <w:i/>
          <w:sz w:val="16"/>
          <w:szCs w:val="72"/>
        </w:rPr>
        <w:t>World Economic Outlook</w:t>
      </w:r>
      <w:r w:rsidR="005627C7" w:rsidRPr="00671E8F">
        <w:rPr>
          <w:rFonts w:cstheme="minorHAnsi"/>
          <w:bCs/>
          <w:sz w:val="16"/>
          <w:szCs w:val="72"/>
        </w:rPr>
        <w:t>, октобар</w:t>
      </w:r>
      <w:r w:rsidRPr="00671E8F">
        <w:rPr>
          <w:rFonts w:cstheme="minorHAnsi"/>
          <w:bCs/>
          <w:sz w:val="16"/>
          <w:szCs w:val="72"/>
        </w:rPr>
        <w:t xml:space="preserve"> 2024.</w:t>
      </w:r>
    </w:p>
    <w:p w14:paraId="2DC695B7" w14:textId="58025AD8" w:rsidR="00390292" w:rsidRPr="00671E8F" w:rsidRDefault="004D279B" w:rsidP="004D279B">
      <w:pPr>
        <w:rPr>
          <w:rFonts w:cstheme="minorHAnsi"/>
          <w:bCs/>
          <w:szCs w:val="72"/>
        </w:rPr>
      </w:pPr>
      <w:r w:rsidRPr="00671E8F">
        <w:rPr>
          <w:rFonts w:cstheme="minorHAnsi"/>
          <w:bCs/>
          <w:szCs w:val="72"/>
        </w:rPr>
        <w:t>Америчке федералне резерве (у даљем тексту: ФЕД) смањиле су референтну каматну стопу у септембру 2024. године на распон 4,75% до 5,00%, што је прво смањење у последње четири године. Даље мере монетарне политике зависиће од кретања на глобалним тржиштима и стопе инфлације, али се генерално очекује даља тенденција смањења каматне стопе у 2025. години.</w:t>
      </w:r>
    </w:p>
    <w:p w14:paraId="3E5F10FF" w14:textId="77777777" w:rsidR="000353A6" w:rsidRPr="00671E8F" w:rsidRDefault="000353A6" w:rsidP="000353A6">
      <w:pPr>
        <w:spacing w:after="0"/>
        <w:jc w:val="center"/>
        <w:rPr>
          <w:rFonts w:cstheme="minorHAnsi"/>
          <w:b/>
          <w:bCs/>
          <w:color w:val="002060"/>
          <w:szCs w:val="72"/>
        </w:rPr>
      </w:pPr>
      <w:r w:rsidRPr="00671E8F">
        <w:rPr>
          <w:rFonts w:cstheme="minorHAnsi"/>
          <w:b/>
          <w:bCs/>
          <w:color w:val="002060"/>
          <w:szCs w:val="72"/>
        </w:rPr>
        <w:t>Кретање референтне каматне стопе по изабраним земљама, %</w:t>
      </w:r>
    </w:p>
    <w:p w14:paraId="601BD4B6" w14:textId="0F873F0A" w:rsidR="000353A6" w:rsidRPr="00671E8F" w:rsidRDefault="00DC4253" w:rsidP="000353A6">
      <w:pPr>
        <w:spacing w:after="40"/>
        <w:rPr>
          <w:rFonts w:cstheme="minorHAnsi"/>
          <w:bCs/>
          <w:color w:val="FF0000"/>
          <w:szCs w:val="72"/>
        </w:rPr>
      </w:pPr>
      <w:r w:rsidRPr="00671E8F">
        <w:rPr>
          <w:noProof/>
          <w:lang w:val="en-US"/>
        </w:rPr>
        <w:drawing>
          <wp:inline distT="0" distB="0" distL="0" distR="0" wp14:anchorId="528A14FC" wp14:editId="0A4EA56A">
            <wp:extent cx="2743200" cy="1545336"/>
            <wp:effectExtent l="0" t="0" r="0" b="0"/>
            <wp:docPr id="18" name="Chart 18">
              <a:extLst xmlns:a="http://schemas.openxmlformats.org/drawingml/2006/main">
                <a:ext uri="{FF2B5EF4-FFF2-40B4-BE49-F238E27FC236}">
                  <a16:creationId xmlns:a16="http://schemas.microsoft.com/office/drawing/2014/main" id="{00000000-0008-0000-07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26BC2E4C" w14:textId="77777777" w:rsidR="000353A6" w:rsidRPr="00671E8F" w:rsidRDefault="000353A6" w:rsidP="000353A6">
      <w:pPr>
        <w:spacing w:after="0" w:line="240" w:lineRule="auto"/>
        <w:rPr>
          <w:rFonts w:cstheme="minorHAnsi"/>
          <w:bCs/>
          <w:sz w:val="16"/>
          <w:szCs w:val="16"/>
        </w:rPr>
      </w:pPr>
      <w:r w:rsidRPr="00671E8F">
        <w:rPr>
          <w:rFonts w:cstheme="minorHAnsi"/>
          <w:bCs/>
          <w:sz w:val="16"/>
          <w:szCs w:val="16"/>
        </w:rPr>
        <w:t>Извор: Централне банке изабраних земаља</w:t>
      </w:r>
    </w:p>
    <w:p w14:paraId="294C0866" w14:textId="65E4B1F6" w:rsidR="003B3784" w:rsidRPr="00671E8F" w:rsidRDefault="00F73FA6" w:rsidP="009F7B36">
      <w:pPr>
        <w:spacing w:before="160"/>
        <w:rPr>
          <w:rFonts w:cstheme="minorHAnsi"/>
          <w:bCs/>
          <w:szCs w:val="72"/>
        </w:rPr>
      </w:pPr>
      <w:r w:rsidRPr="00671E8F">
        <w:rPr>
          <w:rFonts w:cstheme="minorHAnsi"/>
          <w:bCs/>
          <w:szCs w:val="72"/>
        </w:rPr>
        <w:t>Предвиђа</w:t>
      </w:r>
      <w:r w:rsidR="003B3784" w:rsidRPr="00671E8F">
        <w:rPr>
          <w:rFonts w:cstheme="minorHAnsi"/>
          <w:bCs/>
          <w:szCs w:val="72"/>
        </w:rPr>
        <w:t xml:space="preserve"> се да ће развијене економије пооштрити свој</w:t>
      </w:r>
      <w:r w:rsidR="00365AF2" w:rsidRPr="00671E8F">
        <w:rPr>
          <w:rFonts w:cstheme="minorHAnsi"/>
          <w:bCs/>
          <w:szCs w:val="72"/>
        </w:rPr>
        <w:t xml:space="preserve">у фискалну политику током 2024. и </w:t>
      </w:r>
      <w:r w:rsidR="003B3784" w:rsidRPr="00671E8F">
        <w:rPr>
          <w:rFonts w:cstheme="minorHAnsi"/>
          <w:bCs/>
          <w:szCs w:val="72"/>
        </w:rPr>
        <w:t>2025. године, чиме ће се њихов примарни дефицит преполовити на крају посматраног периода пројекције. Међутим, нагла</w:t>
      </w:r>
      <w:r w:rsidR="00697BED" w:rsidRPr="00671E8F">
        <w:rPr>
          <w:rFonts w:cstheme="minorHAnsi"/>
          <w:bCs/>
          <w:szCs w:val="72"/>
        </w:rPr>
        <w:t>шен је контраст између САД</w:t>
      </w:r>
      <w:r w:rsidR="003B3784" w:rsidRPr="00671E8F">
        <w:rPr>
          <w:rFonts w:cstheme="minorHAnsi"/>
          <w:bCs/>
          <w:szCs w:val="72"/>
        </w:rPr>
        <w:t xml:space="preserve"> чији ће фискални дефицит на кр</w:t>
      </w:r>
      <w:r w:rsidR="009F7B36" w:rsidRPr="00671E8F">
        <w:rPr>
          <w:rFonts w:cstheme="minorHAnsi"/>
          <w:bCs/>
          <w:szCs w:val="72"/>
        </w:rPr>
        <w:t>ају периода пројекције бити</w:t>
      </w:r>
      <w:r w:rsidR="003B3784" w:rsidRPr="00671E8F">
        <w:rPr>
          <w:rFonts w:cstheme="minorHAnsi"/>
          <w:bCs/>
          <w:szCs w:val="72"/>
        </w:rPr>
        <w:t xml:space="preserve"> незнатно смањен, праћен </w:t>
      </w:r>
      <w:r w:rsidR="00A05E93" w:rsidRPr="00671E8F">
        <w:rPr>
          <w:rFonts w:cstheme="minorHAnsi"/>
          <w:bCs/>
          <w:szCs w:val="72"/>
        </w:rPr>
        <w:t xml:space="preserve">растућим </w:t>
      </w:r>
      <w:r w:rsidR="00365AF2" w:rsidRPr="00671E8F">
        <w:rPr>
          <w:rFonts w:cstheme="minorHAnsi"/>
          <w:bCs/>
          <w:szCs w:val="72"/>
        </w:rPr>
        <w:t xml:space="preserve">учешћем јавног дуга у </w:t>
      </w:r>
      <w:r w:rsidR="003B3784" w:rsidRPr="00671E8F">
        <w:rPr>
          <w:rFonts w:cstheme="minorHAnsi"/>
          <w:bCs/>
          <w:szCs w:val="72"/>
        </w:rPr>
        <w:t>БДП</w:t>
      </w:r>
      <w:r w:rsidR="009F7B36" w:rsidRPr="00671E8F">
        <w:rPr>
          <w:rFonts w:cstheme="minorHAnsi"/>
          <w:bCs/>
          <w:szCs w:val="72"/>
        </w:rPr>
        <w:t xml:space="preserve"> </w:t>
      </w:r>
      <w:r w:rsidR="00697BED" w:rsidRPr="00671E8F">
        <w:rPr>
          <w:rFonts w:cstheme="minorHAnsi"/>
          <w:bCs/>
          <w:szCs w:val="72"/>
        </w:rPr>
        <w:t xml:space="preserve">који ће у 2027. години износити </w:t>
      </w:r>
      <w:r w:rsidR="009F7B36" w:rsidRPr="00671E8F">
        <w:rPr>
          <w:rFonts w:cstheme="minorHAnsi"/>
          <w:bCs/>
          <w:szCs w:val="72"/>
        </w:rPr>
        <w:t>128,4%</w:t>
      </w:r>
      <w:r w:rsidR="001F51C8" w:rsidRPr="00671E8F">
        <w:rPr>
          <w:rFonts w:cstheme="minorHAnsi"/>
          <w:bCs/>
          <w:szCs w:val="72"/>
        </w:rPr>
        <w:t>,</w:t>
      </w:r>
      <w:r w:rsidR="0098737C" w:rsidRPr="00671E8F">
        <w:rPr>
          <w:rFonts w:cstheme="minorHAnsi"/>
          <w:bCs/>
          <w:szCs w:val="72"/>
        </w:rPr>
        <w:t xml:space="preserve"> и еврозоне </w:t>
      </w:r>
      <w:r w:rsidR="00697BED" w:rsidRPr="00671E8F">
        <w:rPr>
          <w:rFonts w:cstheme="minorHAnsi"/>
          <w:bCs/>
          <w:szCs w:val="72"/>
        </w:rPr>
        <w:t xml:space="preserve">чији ће јавни дуг </w:t>
      </w:r>
      <w:r w:rsidR="001F51C8" w:rsidRPr="00671E8F">
        <w:rPr>
          <w:rFonts w:cstheme="minorHAnsi"/>
          <w:bCs/>
          <w:szCs w:val="72"/>
        </w:rPr>
        <w:t xml:space="preserve">током пројекцијског периода </w:t>
      </w:r>
      <w:r w:rsidR="00697BED" w:rsidRPr="00671E8F">
        <w:rPr>
          <w:rFonts w:cstheme="minorHAnsi"/>
          <w:bCs/>
          <w:szCs w:val="72"/>
        </w:rPr>
        <w:t>остати на приближно истом нивоу од око 89%</w:t>
      </w:r>
      <w:r w:rsidR="00DE6AA2" w:rsidRPr="00671E8F">
        <w:rPr>
          <w:rFonts w:cstheme="minorHAnsi"/>
          <w:bCs/>
          <w:szCs w:val="72"/>
        </w:rPr>
        <w:t xml:space="preserve"> БДП</w:t>
      </w:r>
      <w:r w:rsidR="00697BED" w:rsidRPr="00671E8F">
        <w:rPr>
          <w:rFonts w:cstheme="minorHAnsi"/>
          <w:bCs/>
          <w:szCs w:val="72"/>
        </w:rPr>
        <w:t>.</w:t>
      </w:r>
      <w:r w:rsidR="00A05E93" w:rsidRPr="00671E8F">
        <w:rPr>
          <w:rFonts w:cstheme="minorHAnsi"/>
          <w:bCs/>
          <w:szCs w:val="72"/>
        </w:rPr>
        <w:t xml:space="preserve"> </w:t>
      </w:r>
      <w:r w:rsidR="003B3784" w:rsidRPr="00671E8F">
        <w:rPr>
          <w:rFonts w:cstheme="minorHAnsi"/>
          <w:bCs/>
          <w:szCs w:val="72"/>
        </w:rPr>
        <w:t>Велике разлике су очигледне и између неразвијених земаља и земаља у развоју. Док се за неразвијене земље очекује да ће фискална политика у просеку остати релативно релакс</w:t>
      </w:r>
      <w:r w:rsidR="00F7568D" w:rsidRPr="00671E8F">
        <w:rPr>
          <w:rFonts w:cstheme="minorHAnsi"/>
          <w:bCs/>
          <w:szCs w:val="72"/>
        </w:rPr>
        <w:t>ирана, код економија у развоју</w:t>
      </w:r>
      <w:r w:rsidR="003B3784" w:rsidRPr="00671E8F">
        <w:rPr>
          <w:rFonts w:cstheme="minorHAnsi"/>
          <w:bCs/>
          <w:szCs w:val="72"/>
        </w:rPr>
        <w:t xml:space="preserve"> фискална консолидација је већ у току.</w:t>
      </w:r>
    </w:p>
    <w:p w14:paraId="2CA6BEAF" w14:textId="0738C11F" w:rsidR="003B3784" w:rsidRPr="00671E8F" w:rsidRDefault="003B3784" w:rsidP="003B3784">
      <w:pPr>
        <w:rPr>
          <w:rFonts w:cstheme="minorHAnsi"/>
          <w:bCs/>
          <w:szCs w:val="72"/>
        </w:rPr>
      </w:pPr>
      <w:r w:rsidRPr="00671E8F">
        <w:rPr>
          <w:rStyle w:val="rynqvb"/>
        </w:rPr>
        <w:t xml:space="preserve">Ризици пројекције глобалног привредног раста оцењени су као </w:t>
      </w:r>
      <w:r w:rsidR="005D44FE" w:rsidRPr="00671E8F">
        <w:rPr>
          <w:rStyle w:val="rynqvb"/>
        </w:rPr>
        <w:t>а</w:t>
      </w:r>
      <w:r w:rsidRPr="00671E8F">
        <w:rPr>
          <w:rStyle w:val="rynqvb"/>
        </w:rPr>
        <w:t>симетрични</w:t>
      </w:r>
      <w:r w:rsidR="005D44FE" w:rsidRPr="00671E8F">
        <w:rPr>
          <w:rStyle w:val="rynqvb"/>
        </w:rPr>
        <w:t xml:space="preserve"> наниже</w:t>
      </w:r>
      <w:r w:rsidRPr="00671E8F">
        <w:rPr>
          <w:rStyle w:val="rynqvb"/>
        </w:rPr>
        <w:t xml:space="preserve">, одражавајући </w:t>
      </w:r>
      <w:r w:rsidR="005D44FE" w:rsidRPr="00671E8F">
        <w:rPr>
          <w:rStyle w:val="rynqvb"/>
        </w:rPr>
        <w:t xml:space="preserve">повишен ниво </w:t>
      </w:r>
      <w:r w:rsidR="006078F0" w:rsidRPr="00671E8F">
        <w:rPr>
          <w:rStyle w:val="rynqvb"/>
        </w:rPr>
        <w:t xml:space="preserve">глобалне </w:t>
      </w:r>
      <w:r w:rsidR="005D44FE" w:rsidRPr="00671E8F">
        <w:rPr>
          <w:rStyle w:val="rynqvb"/>
        </w:rPr>
        <w:t>неизвесности</w:t>
      </w:r>
      <w:r w:rsidRPr="00671E8F">
        <w:rPr>
          <w:rStyle w:val="rynqvb"/>
        </w:rPr>
        <w:t>.</w:t>
      </w:r>
      <w:r w:rsidRPr="00671E8F">
        <w:t xml:space="preserve"> </w:t>
      </w:r>
      <w:r w:rsidRPr="00671E8F">
        <w:rPr>
          <w:rStyle w:val="rynqvb"/>
        </w:rPr>
        <w:t xml:space="preserve">Изненадни поремећаји финансијског тржишта могли би пооштрити финансијске услове и негативно утицати на инвестиције и раст, посебно у привредама у развоју </w:t>
      </w:r>
      <w:r w:rsidR="00C26B14" w:rsidRPr="00671E8F">
        <w:rPr>
          <w:rStyle w:val="rynqvb"/>
        </w:rPr>
        <w:t>где</w:t>
      </w:r>
      <w:r w:rsidRPr="00671E8F">
        <w:rPr>
          <w:rStyle w:val="rynqvb"/>
        </w:rPr>
        <w:t xml:space="preserve"> велике потребе за спољним финансирањем могу да изазову одлив капитала и </w:t>
      </w:r>
      <w:r w:rsidR="00C26B14" w:rsidRPr="00671E8F">
        <w:rPr>
          <w:rStyle w:val="rynqvb"/>
        </w:rPr>
        <w:t>увећање</w:t>
      </w:r>
      <w:r w:rsidRPr="00671E8F">
        <w:rPr>
          <w:rStyle w:val="rynqvb"/>
        </w:rPr>
        <w:t xml:space="preserve"> дуг</w:t>
      </w:r>
      <w:r w:rsidR="00C26B14" w:rsidRPr="00671E8F">
        <w:rPr>
          <w:rStyle w:val="rynqvb"/>
        </w:rPr>
        <w:t>а</w:t>
      </w:r>
      <w:r w:rsidRPr="00671E8F">
        <w:rPr>
          <w:rStyle w:val="rynqvb"/>
        </w:rPr>
        <w:t>.</w:t>
      </w:r>
      <w:r w:rsidRPr="00671E8F">
        <w:rPr>
          <w:rStyle w:val="hwtze"/>
        </w:rPr>
        <w:t xml:space="preserve"> </w:t>
      </w:r>
      <w:r w:rsidR="00F7568D" w:rsidRPr="00671E8F">
        <w:rPr>
          <w:rStyle w:val="hwtze"/>
        </w:rPr>
        <w:t>Даљи скокови цена добара услед геополитичких тензија могли би спречити централне банке да ублаже монетарну политику, што би представљало значајне изазове за фискалну политику и финансијску стабилност.</w:t>
      </w:r>
      <w:r w:rsidR="001A3C0E" w:rsidRPr="00671E8F">
        <w:rPr>
          <w:rStyle w:val="hwtze"/>
        </w:rPr>
        <w:t xml:space="preserve"> </w:t>
      </w:r>
      <w:r w:rsidRPr="00671E8F">
        <w:rPr>
          <w:rStyle w:val="hwtze"/>
        </w:rPr>
        <w:t xml:space="preserve">Спорији опоравак сектора некретнина у Кини, посебно ако доведе до финансијске нестабилности, могао би ослабити </w:t>
      </w:r>
      <w:r w:rsidR="00273D76" w:rsidRPr="00671E8F">
        <w:rPr>
          <w:rStyle w:val="hwtze"/>
        </w:rPr>
        <w:t>поверење</w:t>
      </w:r>
      <w:r w:rsidRPr="00671E8F">
        <w:rPr>
          <w:rStyle w:val="hwtze"/>
        </w:rPr>
        <w:t xml:space="preserve"> потрошача и </w:t>
      </w:r>
      <w:r w:rsidR="0015584F" w:rsidRPr="00671E8F">
        <w:rPr>
          <w:rStyle w:val="hwtze"/>
        </w:rPr>
        <w:t>имати негативне</w:t>
      </w:r>
      <w:r w:rsidRPr="00671E8F">
        <w:rPr>
          <w:rStyle w:val="hwtze"/>
        </w:rPr>
        <w:t xml:space="preserve"> ефекте преливања</w:t>
      </w:r>
      <w:r w:rsidR="0015584F" w:rsidRPr="00671E8F">
        <w:rPr>
          <w:rStyle w:val="hwtze"/>
        </w:rPr>
        <w:t xml:space="preserve"> </w:t>
      </w:r>
      <w:r w:rsidR="0015584F" w:rsidRPr="00671E8F">
        <w:rPr>
          <w:rStyle w:val="hwtze"/>
        </w:rPr>
        <w:lastRenderedPageBreak/>
        <w:t>на глобалном нивоу</w:t>
      </w:r>
      <w:r w:rsidRPr="00671E8F">
        <w:rPr>
          <w:rStyle w:val="hwtze"/>
        </w:rPr>
        <w:t xml:space="preserve">, обзиром на велики утицај Кине у </w:t>
      </w:r>
      <w:r w:rsidR="0015584F" w:rsidRPr="00671E8F">
        <w:rPr>
          <w:rStyle w:val="hwtze"/>
        </w:rPr>
        <w:t>светској</w:t>
      </w:r>
      <w:r w:rsidRPr="00671E8F">
        <w:rPr>
          <w:rStyle w:val="hwtze"/>
        </w:rPr>
        <w:t xml:space="preserve"> трговини. Интензивирање регионалних сукоба, </w:t>
      </w:r>
      <w:r w:rsidR="00EA15CA" w:rsidRPr="00671E8F">
        <w:rPr>
          <w:rStyle w:val="hwtze"/>
        </w:rPr>
        <w:t>нарочито</w:t>
      </w:r>
      <w:r w:rsidRPr="00671E8F">
        <w:rPr>
          <w:rStyle w:val="hwtze"/>
        </w:rPr>
        <w:t xml:space="preserve"> имајући у виду шири распон </w:t>
      </w:r>
      <w:r w:rsidR="00EA15CA" w:rsidRPr="00671E8F">
        <w:rPr>
          <w:rStyle w:val="hwtze"/>
        </w:rPr>
        <w:t>конфликата</w:t>
      </w:r>
      <w:r w:rsidRPr="00671E8F">
        <w:rPr>
          <w:rStyle w:val="hwtze"/>
        </w:rPr>
        <w:t xml:space="preserve"> на Блиском истоку или у Украјини, могло би додатно пореметити глобалну трговину, што би довело до повећања цена хране, енергије и других роба.</w:t>
      </w:r>
      <w:r w:rsidRPr="00671E8F">
        <w:t xml:space="preserve"> </w:t>
      </w:r>
      <w:r w:rsidRPr="00671E8F">
        <w:rPr>
          <w:rStyle w:val="hwtze"/>
        </w:rPr>
        <w:t xml:space="preserve">Растуће социјалне тензије могле би </w:t>
      </w:r>
      <w:r w:rsidR="00EA15CA" w:rsidRPr="00671E8F">
        <w:rPr>
          <w:rStyle w:val="hwtze"/>
        </w:rPr>
        <w:t>изазвати</w:t>
      </w:r>
      <w:r w:rsidRPr="00671E8F">
        <w:rPr>
          <w:rStyle w:val="hwtze"/>
        </w:rPr>
        <w:t xml:space="preserve"> друштвене немире, нарушавајући поверење потрошача и инвеститора и потенцијално одлажући усвајање и спровођење неопходних структурних реформи. </w:t>
      </w:r>
      <w:r w:rsidRPr="00671E8F">
        <w:rPr>
          <w:rStyle w:val="rynqvb"/>
        </w:rPr>
        <w:t xml:space="preserve">Са </w:t>
      </w:r>
      <w:r w:rsidRPr="00671E8F">
        <w:rPr>
          <w:rFonts w:cstheme="minorHAnsi"/>
          <w:bCs/>
          <w:szCs w:val="72"/>
        </w:rPr>
        <w:t xml:space="preserve">друге стране, снажнији опоравак инвестиција у развијеним економијама </w:t>
      </w:r>
      <w:r w:rsidR="00EA15CA" w:rsidRPr="00671E8F">
        <w:rPr>
          <w:rFonts w:cstheme="minorHAnsi"/>
          <w:bCs/>
          <w:szCs w:val="72"/>
        </w:rPr>
        <w:t>би убрзао</w:t>
      </w:r>
      <w:r w:rsidRPr="00671E8F">
        <w:rPr>
          <w:rFonts w:cstheme="minorHAnsi"/>
          <w:bCs/>
          <w:szCs w:val="72"/>
        </w:rPr>
        <w:t xml:space="preserve"> решавање различитих глобалних питања, од зелене транзиције до надоградње инфраструктуре и повећања</w:t>
      </w:r>
      <w:r w:rsidR="00EA15CA" w:rsidRPr="00671E8F">
        <w:rPr>
          <w:rFonts w:cstheme="minorHAnsi"/>
          <w:bCs/>
          <w:szCs w:val="72"/>
        </w:rPr>
        <w:t xml:space="preserve"> обима</w:t>
      </w:r>
      <w:r w:rsidRPr="00671E8F">
        <w:rPr>
          <w:rFonts w:cstheme="minorHAnsi"/>
          <w:bCs/>
          <w:szCs w:val="72"/>
        </w:rPr>
        <w:t xml:space="preserve"> улагања у науку и технологију. Такође, боља и бржа реализација структурних реформи у многим земљама у</w:t>
      </w:r>
      <w:r w:rsidR="007E163D" w:rsidRPr="00671E8F">
        <w:rPr>
          <w:rFonts w:cstheme="minorHAnsi"/>
          <w:bCs/>
          <w:szCs w:val="72"/>
        </w:rPr>
        <w:t xml:space="preserve"> развоју може имати за резултат</w:t>
      </w:r>
      <w:r w:rsidRPr="00671E8F">
        <w:rPr>
          <w:rFonts w:cstheme="minorHAnsi"/>
          <w:bCs/>
          <w:szCs w:val="72"/>
        </w:rPr>
        <w:t xml:space="preserve"> побољшање продуктивности и потенцијалног раста.</w:t>
      </w:r>
      <w:r w:rsidR="00984A71" w:rsidRPr="00671E8F">
        <w:rPr>
          <w:rFonts w:cstheme="minorHAnsi"/>
          <w:bCs/>
          <w:szCs w:val="72"/>
        </w:rPr>
        <w:t xml:space="preserve"> </w:t>
      </w:r>
    </w:p>
    <w:p w14:paraId="7A03935D" w14:textId="05C0556B" w:rsidR="000353A6" w:rsidRPr="00671E8F" w:rsidRDefault="000353A6" w:rsidP="000353A6">
      <w:pPr>
        <w:rPr>
          <w:b/>
          <w:color w:val="2F5496" w:themeColor="accent1" w:themeShade="BF"/>
        </w:rPr>
      </w:pPr>
      <w:r w:rsidRPr="00671E8F">
        <w:rPr>
          <w:b/>
          <w:color w:val="2F5496" w:themeColor="accent1" w:themeShade="BF"/>
        </w:rPr>
        <w:t>Макроекономске процене Европске централне банке (ЕЦБ) за подручје еврозоне</w:t>
      </w:r>
    </w:p>
    <w:p w14:paraId="763955A3" w14:textId="290209CF" w:rsidR="000353A6" w:rsidRPr="00671E8F" w:rsidRDefault="000353A6" w:rsidP="000353A6">
      <w:pPr>
        <w:spacing w:after="360"/>
        <w:rPr>
          <w:b/>
        </w:rPr>
        <w:sectPr w:rsidR="000353A6" w:rsidRPr="00671E8F" w:rsidSect="000353A6">
          <w:footerReference w:type="default" r:id="rId41"/>
          <w:type w:val="continuous"/>
          <w:pgSz w:w="12240" w:h="15840" w:code="1"/>
          <w:pgMar w:top="1440" w:right="1440" w:bottom="1440" w:left="1440" w:header="720" w:footer="720" w:gutter="0"/>
          <w:cols w:num="2" w:space="720"/>
          <w:docGrid w:linePitch="360"/>
        </w:sectPr>
      </w:pPr>
      <w:r w:rsidRPr="00671E8F">
        <w:rPr>
          <w:rFonts w:ascii="Calibri" w:hAnsi="Calibri" w:cs="Calibri"/>
        </w:rPr>
        <w:t>Према септембарским пројекцијама ЕЦБ,</w:t>
      </w:r>
      <w:r w:rsidRPr="00671E8F">
        <w:t xml:space="preserve"> </w:t>
      </w:r>
      <w:r w:rsidRPr="00671E8F">
        <w:rPr>
          <w:rFonts w:ascii="Calibri" w:hAnsi="Calibri" w:cs="Calibri"/>
        </w:rPr>
        <w:t>раст</w:t>
      </w:r>
      <w:r w:rsidRPr="00671E8F">
        <w:t xml:space="preserve"> </w:t>
      </w:r>
      <w:r w:rsidRPr="00671E8F">
        <w:rPr>
          <w:rFonts w:ascii="Calibri" w:hAnsi="Calibri" w:cs="Calibri"/>
        </w:rPr>
        <w:t>привреде</w:t>
      </w:r>
      <w:r w:rsidRPr="00671E8F">
        <w:t xml:space="preserve"> еврозоне у 2024. години износиће 0,8%, што је блага ревизија наниже за 0,1 п.п. </w:t>
      </w:r>
      <w:r w:rsidR="00984A71" w:rsidRPr="00671E8F">
        <w:t xml:space="preserve">у односу на очекивања из јуна. </w:t>
      </w:r>
      <w:r w:rsidRPr="00671E8F">
        <w:t>Ово смањење последица је преносног ефекта, од</w:t>
      </w:r>
      <w:r w:rsidR="00E91EB1" w:rsidRPr="00671E8F">
        <w:t>но</w:t>
      </w:r>
      <w:r w:rsidRPr="00671E8F">
        <w:t>с</w:t>
      </w:r>
      <w:r w:rsidR="00E91EB1" w:rsidRPr="00671E8F">
        <w:t>н</w:t>
      </w:r>
      <w:r w:rsidRPr="00671E8F">
        <w:t xml:space="preserve">о слабије од претходно очекиване динамике економске активности током друге половине претходне године, као и споријег раста приватне потрошње и инвестиција у 2024. години од претходно процењеног. Очекује се да </w:t>
      </w:r>
      <w:r w:rsidRPr="00671E8F">
        <w:t>ће услови финансирања, нарочито високе каматне стопе, наставити да имају негативан утицај на раст, али ће он постепено слабити током хоризонта пројекције, тако да се очекује убрзање економског раста на 1,3% у 2025. однос</w:t>
      </w:r>
      <w:r w:rsidR="00E91EB1" w:rsidRPr="00671E8F">
        <w:t>н</w:t>
      </w:r>
      <w:r w:rsidRPr="00671E8F">
        <w:t>о 1,6% у 2026. години. Упркос нешто споријем расту приватне потрошње у првој половини 2024. године и даље се очекује да ће она бити главни покретач средњорочног раста као резултат снажног раст плата и успоравања инфлације. Предвиђено је да ће стамбене инвестиције забележити пад током 2024. године, пре него што у 2025. години дође до опоравка као резултат постепеног ишчезавања ефеката пооштрених услова финансирања и наставка реалног раста расположивог дохотка становништва. Пословне инвестиције ће убрзати темпо раста током хоризонта пројекције услед побољшања потражње, слабљења негативног утицаја услова финансирања и пораста зелених и дигиталних инвестиција, као и позитивних ефеката у оквиру програма Next Generation EU. Фактори који утичу на конкурентност еврозоне, попут апресијације евра и већих трошкова производње изазваних растом цена енергената, и даље отежавају извоз еврозоне упркос благој ревизији спољне тражње навише. Очекује се да ће тек почетком 2025. доћи до постепеног опоравка извоза, али по стопама нижим од историјск</w:t>
      </w:r>
      <w:r w:rsidR="001D20DE" w:rsidRPr="00671E8F">
        <w:t>ог</w:t>
      </w:r>
      <w:r w:rsidRPr="00671E8F">
        <w:t xml:space="preserve"> просека. Истовремено, очекује се умерен раст увоза што ће за резултат имати углавном неутралан допринос нето извоза током пројекцијског периода.</w:t>
      </w:r>
    </w:p>
    <w:tbl>
      <w:tblPr>
        <w:tblW w:w="5000" w:type="pct"/>
        <w:tblLook w:val="04A0" w:firstRow="1" w:lastRow="0" w:firstColumn="1" w:lastColumn="0" w:noHBand="0" w:noVBand="1"/>
      </w:tblPr>
      <w:tblGrid>
        <w:gridCol w:w="4448"/>
        <w:gridCol w:w="1228"/>
        <w:gridCol w:w="1228"/>
        <w:gridCol w:w="1228"/>
        <w:gridCol w:w="1228"/>
      </w:tblGrid>
      <w:tr w:rsidR="009D77B6" w:rsidRPr="00671E8F" w14:paraId="14E5106F" w14:textId="77777777" w:rsidTr="000353A6">
        <w:trPr>
          <w:trHeight w:val="300"/>
        </w:trPr>
        <w:tc>
          <w:tcPr>
            <w:tcW w:w="5000" w:type="pct"/>
            <w:gridSpan w:val="5"/>
            <w:tcBorders>
              <w:bottom w:val="single" w:sz="4" w:space="0" w:color="002060"/>
            </w:tcBorders>
            <w:shd w:val="clear" w:color="auto" w:fill="auto"/>
            <w:noWrap/>
            <w:vAlign w:val="bottom"/>
            <w:hideMark/>
          </w:tcPr>
          <w:p w14:paraId="10973BFD" w14:textId="77777777" w:rsidR="000353A6" w:rsidRPr="00671E8F" w:rsidRDefault="000353A6" w:rsidP="000353A6">
            <w:pPr>
              <w:spacing w:after="120" w:line="240" w:lineRule="auto"/>
              <w:ind w:left="255"/>
              <w:jc w:val="center"/>
              <w:rPr>
                <w:rFonts w:cstheme="minorHAnsi"/>
                <w:sz w:val="18"/>
              </w:rPr>
            </w:pPr>
            <w:r w:rsidRPr="00671E8F">
              <w:rPr>
                <w:b/>
                <w:color w:val="002060"/>
              </w:rPr>
              <w:t>Табела 2. Макроекономске пројекције за подручје еврозоне, %</w:t>
            </w:r>
          </w:p>
        </w:tc>
      </w:tr>
      <w:tr w:rsidR="009D77B6" w:rsidRPr="00671E8F" w14:paraId="1A113642" w14:textId="77777777" w:rsidTr="000353A6">
        <w:trPr>
          <w:trHeight w:val="227"/>
        </w:trPr>
        <w:tc>
          <w:tcPr>
            <w:tcW w:w="2376" w:type="pct"/>
            <w:tcBorders>
              <w:top w:val="single" w:sz="4" w:space="0" w:color="002060"/>
            </w:tcBorders>
            <w:shd w:val="clear" w:color="auto" w:fill="auto"/>
            <w:noWrap/>
            <w:vAlign w:val="center"/>
          </w:tcPr>
          <w:p w14:paraId="32B43CA7" w14:textId="77777777" w:rsidR="000353A6" w:rsidRPr="00671E8F" w:rsidRDefault="000353A6" w:rsidP="000353A6">
            <w:pPr>
              <w:spacing w:after="0" w:line="240" w:lineRule="auto"/>
              <w:jc w:val="center"/>
              <w:rPr>
                <w:rFonts w:eastAsia="Times New Roman" w:cs="Times New Roman"/>
                <w:sz w:val="18"/>
                <w:szCs w:val="18"/>
              </w:rPr>
            </w:pPr>
          </w:p>
        </w:tc>
        <w:tc>
          <w:tcPr>
            <w:tcW w:w="656" w:type="pct"/>
            <w:tcBorders>
              <w:top w:val="single" w:sz="4" w:space="0" w:color="002060"/>
              <w:bottom w:val="single" w:sz="4" w:space="0" w:color="002060"/>
            </w:tcBorders>
            <w:shd w:val="clear" w:color="auto" w:fill="auto"/>
            <w:noWrap/>
            <w:vAlign w:val="center"/>
          </w:tcPr>
          <w:p w14:paraId="4787B3B3" w14:textId="77777777" w:rsidR="000353A6" w:rsidRPr="00671E8F" w:rsidRDefault="000353A6" w:rsidP="000353A6">
            <w:pPr>
              <w:spacing w:after="0" w:line="240" w:lineRule="auto"/>
              <w:jc w:val="center"/>
              <w:rPr>
                <w:rFonts w:cstheme="minorHAnsi"/>
                <w:sz w:val="18"/>
              </w:rPr>
            </w:pPr>
            <w:r w:rsidRPr="00671E8F">
              <w:rPr>
                <w:rFonts w:cstheme="minorHAnsi"/>
                <w:sz w:val="18"/>
              </w:rPr>
              <w:t>2023</w:t>
            </w:r>
          </w:p>
        </w:tc>
        <w:tc>
          <w:tcPr>
            <w:tcW w:w="656" w:type="pct"/>
            <w:tcBorders>
              <w:top w:val="single" w:sz="4" w:space="0" w:color="002060"/>
              <w:bottom w:val="single" w:sz="4" w:space="0" w:color="002060"/>
            </w:tcBorders>
            <w:shd w:val="clear" w:color="auto" w:fill="auto"/>
            <w:noWrap/>
            <w:vAlign w:val="center"/>
          </w:tcPr>
          <w:p w14:paraId="3C05BC7C" w14:textId="77777777" w:rsidR="000353A6" w:rsidRPr="00671E8F" w:rsidRDefault="000353A6" w:rsidP="000353A6">
            <w:pPr>
              <w:spacing w:after="0" w:line="240" w:lineRule="auto"/>
              <w:jc w:val="center"/>
              <w:rPr>
                <w:rFonts w:cstheme="minorHAnsi"/>
                <w:sz w:val="18"/>
              </w:rPr>
            </w:pPr>
            <w:r w:rsidRPr="00671E8F">
              <w:rPr>
                <w:rFonts w:cstheme="minorHAnsi"/>
                <w:sz w:val="18"/>
              </w:rPr>
              <w:t>2024</w:t>
            </w:r>
          </w:p>
        </w:tc>
        <w:tc>
          <w:tcPr>
            <w:tcW w:w="656" w:type="pct"/>
            <w:tcBorders>
              <w:top w:val="single" w:sz="4" w:space="0" w:color="002060"/>
              <w:bottom w:val="single" w:sz="4" w:space="0" w:color="002060"/>
            </w:tcBorders>
            <w:shd w:val="clear" w:color="auto" w:fill="auto"/>
            <w:noWrap/>
            <w:vAlign w:val="center"/>
          </w:tcPr>
          <w:p w14:paraId="431CAE73" w14:textId="77777777" w:rsidR="000353A6" w:rsidRPr="00671E8F" w:rsidRDefault="000353A6" w:rsidP="000353A6">
            <w:pPr>
              <w:spacing w:after="0" w:line="240" w:lineRule="auto"/>
              <w:jc w:val="center"/>
              <w:rPr>
                <w:rFonts w:cstheme="minorHAnsi"/>
                <w:sz w:val="18"/>
              </w:rPr>
            </w:pPr>
            <w:r w:rsidRPr="00671E8F">
              <w:rPr>
                <w:rFonts w:cstheme="minorHAnsi"/>
                <w:sz w:val="18"/>
              </w:rPr>
              <w:t>2025</w:t>
            </w:r>
          </w:p>
        </w:tc>
        <w:tc>
          <w:tcPr>
            <w:tcW w:w="656" w:type="pct"/>
            <w:tcBorders>
              <w:top w:val="single" w:sz="4" w:space="0" w:color="002060"/>
              <w:bottom w:val="single" w:sz="4" w:space="0" w:color="002060"/>
            </w:tcBorders>
            <w:shd w:val="clear" w:color="auto" w:fill="auto"/>
            <w:noWrap/>
            <w:vAlign w:val="center"/>
          </w:tcPr>
          <w:p w14:paraId="3E5D3D9B" w14:textId="77777777" w:rsidR="000353A6" w:rsidRPr="00671E8F" w:rsidRDefault="000353A6" w:rsidP="000353A6">
            <w:pPr>
              <w:spacing w:after="0" w:line="240" w:lineRule="auto"/>
              <w:jc w:val="center"/>
              <w:rPr>
                <w:rFonts w:cstheme="minorHAnsi"/>
                <w:sz w:val="18"/>
              </w:rPr>
            </w:pPr>
            <w:r w:rsidRPr="00671E8F">
              <w:rPr>
                <w:rFonts w:cstheme="minorHAnsi"/>
                <w:sz w:val="18"/>
              </w:rPr>
              <w:t>2026</w:t>
            </w:r>
          </w:p>
        </w:tc>
      </w:tr>
      <w:tr w:rsidR="009D77B6" w:rsidRPr="00671E8F" w14:paraId="0A79D2C0" w14:textId="77777777" w:rsidTr="000353A6">
        <w:trPr>
          <w:trHeight w:val="227"/>
        </w:trPr>
        <w:tc>
          <w:tcPr>
            <w:tcW w:w="2376" w:type="pct"/>
            <w:shd w:val="clear" w:color="auto" w:fill="auto"/>
            <w:noWrap/>
            <w:vAlign w:val="bottom"/>
            <w:hideMark/>
          </w:tcPr>
          <w:p w14:paraId="215B3860"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БДП</w:t>
            </w:r>
          </w:p>
        </w:tc>
        <w:tc>
          <w:tcPr>
            <w:tcW w:w="656" w:type="pct"/>
            <w:tcBorders>
              <w:top w:val="single" w:sz="4" w:space="0" w:color="002060"/>
            </w:tcBorders>
            <w:shd w:val="clear" w:color="auto" w:fill="auto"/>
            <w:noWrap/>
            <w:vAlign w:val="center"/>
            <w:hideMark/>
          </w:tcPr>
          <w:p w14:paraId="438E8FC5" w14:textId="77777777" w:rsidR="000353A6" w:rsidRPr="00671E8F" w:rsidRDefault="000353A6" w:rsidP="000353A6">
            <w:pPr>
              <w:spacing w:after="0" w:line="240" w:lineRule="auto"/>
              <w:jc w:val="center"/>
              <w:rPr>
                <w:rFonts w:cstheme="minorHAnsi"/>
                <w:sz w:val="18"/>
              </w:rPr>
            </w:pPr>
            <w:r w:rsidRPr="00671E8F">
              <w:rPr>
                <w:rFonts w:cstheme="minorHAnsi"/>
                <w:sz w:val="18"/>
              </w:rPr>
              <w:t>0,5</w:t>
            </w:r>
          </w:p>
        </w:tc>
        <w:tc>
          <w:tcPr>
            <w:tcW w:w="656" w:type="pct"/>
            <w:tcBorders>
              <w:top w:val="single" w:sz="4" w:space="0" w:color="002060"/>
            </w:tcBorders>
            <w:shd w:val="clear" w:color="auto" w:fill="FFFFFF" w:themeFill="background1"/>
            <w:noWrap/>
            <w:vAlign w:val="center"/>
            <w:hideMark/>
          </w:tcPr>
          <w:p w14:paraId="4F2E4AB0" w14:textId="77777777" w:rsidR="000353A6" w:rsidRPr="00671E8F" w:rsidRDefault="000353A6" w:rsidP="000353A6">
            <w:pPr>
              <w:spacing w:after="0" w:line="240" w:lineRule="auto"/>
              <w:jc w:val="center"/>
              <w:rPr>
                <w:rFonts w:cstheme="minorHAnsi"/>
                <w:sz w:val="18"/>
              </w:rPr>
            </w:pPr>
            <w:r w:rsidRPr="00671E8F">
              <w:rPr>
                <w:rFonts w:cstheme="minorHAnsi"/>
                <w:sz w:val="18"/>
              </w:rPr>
              <w:t>0,8</w:t>
            </w:r>
          </w:p>
        </w:tc>
        <w:tc>
          <w:tcPr>
            <w:tcW w:w="656" w:type="pct"/>
            <w:tcBorders>
              <w:top w:val="single" w:sz="4" w:space="0" w:color="002060"/>
            </w:tcBorders>
            <w:shd w:val="clear" w:color="auto" w:fill="auto"/>
            <w:noWrap/>
            <w:vAlign w:val="center"/>
            <w:hideMark/>
          </w:tcPr>
          <w:p w14:paraId="3DF41EC6" w14:textId="77777777" w:rsidR="000353A6" w:rsidRPr="00671E8F" w:rsidRDefault="000353A6" w:rsidP="000353A6">
            <w:pPr>
              <w:spacing w:after="0" w:line="240" w:lineRule="auto"/>
              <w:jc w:val="center"/>
              <w:rPr>
                <w:rFonts w:cstheme="minorHAnsi"/>
                <w:sz w:val="18"/>
              </w:rPr>
            </w:pPr>
            <w:r w:rsidRPr="00671E8F">
              <w:rPr>
                <w:rFonts w:cstheme="minorHAnsi"/>
                <w:sz w:val="18"/>
              </w:rPr>
              <w:t>1,3</w:t>
            </w:r>
          </w:p>
        </w:tc>
        <w:tc>
          <w:tcPr>
            <w:tcW w:w="656" w:type="pct"/>
            <w:tcBorders>
              <w:top w:val="single" w:sz="4" w:space="0" w:color="002060"/>
            </w:tcBorders>
            <w:shd w:val="clear" w:color="auto" w:fill="auto"/>
            <w:noWrap/>
            <w:vAlign w:val="center"/>
          </w:tcPr>
          <w:p w14:paraId="594D6DCA" w14:textId="77777777" w:rsidR="000353A6" w:rsidRPr="00671E8F" w:rsidRDefault="000353A6" w:rsidP="000353A6">
            <w:pPr>
              <w:spacing w:after="0" w:line="240" w:lineRule="auto"/>
              <w:jc w:val="center"/>
              <w:rPr>
                <w:rFonts w:cstheme="minorHAnsi"/>
                <w:sz w:val="18"/>
              </w:rPr>
            </w:pPr>
            <w:r w:rsidRPr="00671E8F">
              <w:rPr>
                <w:rFonts w:cstheme="minorHAnsi"/>
                <w:sz w:val="18"/>
              </w:rPr>
              <w:t>1,5</w:t>
            </w:r>
          </w:p>
        </w:tc>
      </w:tr>
      <w:tr w:rsidR="009D77B6" w:rsidRPr="00671E8F" w14:paraId="5D45C695" w14:textId="77777777" w:rsidTr="000353A6">
        <w:trPr>
          <w:trHeight w:val="227"/>
        </w:trPr>
        <w:tc>
          <w:tcPr>
            <w:tcW w:w="2376" w:type="pct"/>
            <w:shd w:val="clear" w:color="auto" w:fill="auto"/>
            <w:noWrap/>
            <w:vAlign w:val="bottom"/>
            <w:hideMark/>
          </w:tcPr>
          <w:p w14:paraId="7E96C698"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Лична потрошња</w:t>
            </w:r>
          </w:p>
        </w:tc>
        <w:tc>
          <w:tcPr>
            <w:tcW w:w="656" w:type="pct"/>
            <w:shd w:val="clear" w:color="auto" w:fill="auto"/>
            <w:noWrap/>
            <w:vAlign w:val="center"/>
            <w:hideMark/>
          </w:tcPr>
          <w:p w14:paraId="794DB3EB" w14:textId="77777777" w:rsidR="000353A6" w:rsidRPr="00671E8F" w:rsidRDefault="000353A6" w:rsidP="000353A6">
            <w:pPr>
              <w:spacing w:after="0" w:line="240" w:lineRule="auto"/>
              <w:jc w:val="center"/>
              <w:rPr>
                <w:rFonts w:cstheme="minorHAnsi"/>
                <w:sz w:val="18"/>
              </w:rPr>
            </w:pPr>
            <w:r w:rsidRPr="00671E8F">
              <w:rPr>
                <w:rFonts w:cstheme="minorHAnsi"/>
                <w:sz w:val="18"/>
              </w:rPr>
              <w:t>0,7</w:t>
            </w:r>
          </w:p>
        </w:tc>
        <w:tc>
          <w:tcPr>
            <w:tcW w:w="656" w:type="pct"/>
            <w:shd w:val="clear" w:color="auto" w:fill="auto"/>
            <w:noWrap/>
            <w:vAlign w:val="center"/>
            <w:hideMark/>
          </w:tcPr>
          <w:p w14:paraId="34FC4492" w14:textId="77777777" w:rsidR="000353A6" w:rsidRPr="00671E8F" w:rsidRDefault="000353A6" w:rsidP="000353A6">
            <w:pPr>
              <w:spacing w:after="0" w:line="240" w:lineRule="auto"/>
              <w:jc w:val="center"/>
              <w:rPr>
                <w:rFonts w:cstheme="minorHAnsi"/>
                <w:sz w:val="18"/>
              </w:rPr>
            </w:pPr>
            <w:r w:rsidRPr="00671E8F">
              <w:rPr>
                <w:rFonts w:cstheme="minorHAnsi"/>
                <w:sz w:val="18"/>
              </w:rPr>
              <w:t>0,8</w:t>
            </w:r>
          </w:p>
        </w:tc>
        <w:tc>
          <w:tcPr>
            <w:tcW w:w="656" w:type="pct"/>
            <w:shd w:val="clear" w:color="auto" w:fill="auto"/>
            <w:noWrap/>
            <w:vAlign w:val="center"/>
            <w:hideMark/>
          </w:tcPr>
          <w:p w14:paraId="4CDF54CD" w14:textId="77777777" w:rsidR="000353A6" w:rsidRPr="00671E8F" w:rsidRDefault="000353A6" w:rsidP="000353A6">
            <w:pPr>
              <w:spacing w:after="0" w:line="240" w:lineRule="auto"/>
              <w:jc w:val="center"/>
              <w:rPr>
                <w:rFonts w:cstheme="minorHAnsi"/>
                <w:sz w:val="18"/>
              </w:rPr>
            </w:pPr>
            <w:r w:rsidRPr="00671E8F">
              <w:rPr>
                <w:rFonts w:cstheme="minorHAnsi"/>
                <w:sz w:val="18"/>
              </w:rPr>
              <w:t>1,4</w:t>
            </w:r>
          </w:p>
        </w:tc>
        <w:tc>
          <w:tcPr>
            <w:tcW w:w="656" w:type="pct"/>
            <w:shd w:val="clear" w:color="auto" w:fill="auto"/>
            <w:noWrap/>
            <w:vAlign w:val="center"/>
          </w:tcPr>
          <w:p w14:paraId="2EC52C6B" w14:textId="77777777" w:rsidR="000353A6" w:rsidRPr="00671E8F" w:rsidRDefault="000353A6" w:rsidP="000353A6">
            <w:pPr>
              <w:spacing w:after="0" w:line="240" w:lineRule="auto"/>
              <w:jc w:val="center"/>
              <w:rPr>
                <w:rFonts w:cstheme="minorHAnsi"/>
                <w:sz w:val="18"/>
              </w:rPr>
            </w:pPr>
            <w:r w:rsidRPr="00671E8F">
              <w:rPr>
                <w:rFonts w:cstheme="minorHAnsi"/>
                <w:sz w:val="18"/>
              </w:rPr>
              <w:t>1,5</w:t>
            </w:r>
          </w:p>
        </w:tc>
      </w:tr>
      <w:tr w:rsidR="009D77B6" w:rsidRPr="00671E8F" w14:paraId="790DF648" w14:textId="77777777" w:rsidTr="000353A6">
        <w:trPr>
          <w:trHeight w:val="227"/>
        </w:trPr>
        <w:tc>
          <w:tcPr>
            <w:tcW w:w="2376" w:type="pct"/>
            <w:shd w:val="clear" w:color="auto" w:fill="auto"/>
            <w:noWrap/>
            <w:vAlign w:val="bottom"/>
            <w:hideMark/>
          </w:tcPr>
          <w:p w14:paraId="58E0276E"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Државна потрошња</w:t>
            </w:r>
          </w:p>
        </w:tc>
        <w:tc>
          <w:tcPr>
            <w:tcW w:w="656" w:type="pct"/>
            <w:shd w:val="clear" w:color="auto" w:fill="auto"/>
            <w:noWrap/>
            <w:vAlign w:val="center"/>
            <w:hideMark/>
          </w:tcPr>
          <w:p w14:paraId="2A5596FB" w14:textId="77777777" w:rsidR="000353A6" w:rsidRPr="00671E8F" w:rsidRDefault="000353A6" w:rsidP="000353A6">
            <w:pPr>
              <w:spacing w:after="0" w:line="240" w:lineRule="auto"/>
              <w:jc w:val="center"/>
              <w:rPr>
                <w:rFonts w:cstheme="minorHAnsi"/>
                <w:sz w:val="18"/>
              </w:rPr>
            </w:pPr>
            <w:r w:rsidRPr="00671E8F">
              <w:rPr>
                <w:rFonts w:cstheme="minorHAnsi"/>
                <w:sz w:val="18"/>
              </w:rPr>
              <w:t>1,0</w:t>
            </w:r>
          </w:p>
        </w:tc>
        <w:tc>
          <w:tcPr>
            <w:tcW w:w="656" w:type="pct"/>
            <w:shd w:val="clear" w:color="auto" w:fill="auto"/>
            <w:noWrap/>
            <w:vAlign w:val="center"/>
            <w:hideMark/>
          </w:tcPr>
          <w:p w14:paraId="308DE3DE" w14:textId="77777777" w:rsidR="000353A6" w:rsidRPr="00671E8F" w:rsidRDefault="000353A6" w:rsidP="000353A6">
            <w:pPr>
              <w:spacing w:after="0" w:line="240" w:lineRule="auto"/>
              <w:jc w:val="center"/>
              <w:rPr>
                <w:rFonts w:cstheme="minorHAnsi"/>
                <w:sz w:val="18"/>
              </w:rPr>
            </w:pPr>
            <w:r w:rsidRPr="00671E8F">
              <w:rPr>
                <w:rFonts w:cstheme="minorHAnsi"/>
                <w:sz w:val="18"/>
              </w:rPr>
              <w:t>1,2</w:t>
            </w:r>
          </w:p>
        </w:tc>
        <w:tc>
          <w:tcPr>
            <w:tcW w:w="656" w:type="pct"/>
            <w:shd w:val="clear" w:color="auto" w:fill="auto"/>
            <w:noWrap/>
            <w:vAlign w:val="center"/>
            <w:hideMark/>
          </w:tcPr>
          <w:p w14:paraId="4E6B7677" w14:textId="77777777" w:rsidR="000353A6" w:rsidRPr="00671E8F" w:rsidRDefault="000353A6" w:rsidP="000353A6">
            <w:pPr>
              <w:spacing w:after="0" w:line="240" w:lineRule="auto"/>
              <w:jc w:val="center"/>
              <w:rPr>
                <w:rFonts w:cstheme="minorHAnsi"/>
                <w:sz w:val="18"/>
              </w:rPr>
            </w:pPr>
            <w:r w:rsidRPr="00671E8F">
              <w:rPr>
                <w:rFonts w:cstheme="minorHAnsi"/>
                <w:sz w:val="18"/>
              </w:rPr>
              <w:t>1,1</w:t>
            </w:r>
          </w:p>
        </w:tc>
        <w:tc>
          <w:tcPr>
            <w:tcW w:w="656" w:type="pct"/>
            <w:shd w:val="clear" w:color="auto" w:fill="auto"/>
            <w:noWrap/>
            <w:vAlign w:val="center"/>
          </w:tcPr>
          <w:p w14:paraId="0BACA3A0" w14:textId="77777777" w:rsidR="000353A6" w:rsidRPr="00671E8F" w:rsidRDefault="000353A6" w:rsidP="000353A6">
            <w:pPr>
              <w:spacing w:after="0" w:line="240" w:lineRule="auto"/>
              <w:jc w:val="center"/>
              <w:rPr>
                <w:rFonts w:cstheme="minorHAnsi"/>
                <w:sz w:val="18"/>
              </w:rPr>
            </w:pPr>
            <w:r w:rsidRPr="00671E8F">
              <w:rPr>
                <w:rFonts w:cstheme="minorHAnsi"/>
                <w:sz w:val="18"/>
              </w:rPr>
              <w:t>1,1</w:t>
            </w:r>
          </w:p>
        </w:tc>
      </w:tr>
      <w:tr w:rsidR="009D77B6" w:rsidRPr="00671E8F" w14:paraId="48504E79" w14:textId="77777777" w:rsidTr="000353A6">
        <w:trPr>
          <w:trHeight w:val="227"/>
        </w:trPr>
        <w:tc>
          <w:tcPr>
            <w:tcW w:w="2376" w:type="pct"/>
            <w:shd w:val="clear" w:color="auto" w:fill="auto"/>
            <w:noWrap/>
            <w:vAlign w:val="bottom"/>
            <w:hideMark/>
          </w:tcPr>
          <w:p w14:paraId="27AE1B19"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Бруто инвестиције у основна средства</w:t>
            </w:r>
          </w:p>
        </w:tc>
        <w:tc>
          <w:tcPr>
            <w:tcW w:w="656" w:type="pct"/>
            <w:shd w:val="clear" w:color="auto" w:fill="auto"/>
            <w:noWrap/>
            <w:vAlign w:val="center"/>
            <w:hideMark/>
          </w:tcPr>
          <w:p w14:paraId="5D525A22" w14:textId="77777777" w:rsidR="000353A6" w:rsidRPr="00671E8F" w:rsidRDefault="000353A6" w:rsidP="000353A6">
            <w:pPr>
              <w:spacing w:after="0" w:line="240" w:lineRule="auto"/>
              <w:jc w:val="center"/>
              <w:rPr>
                <w:rFonts w:cstheme="minorHAnsi"/>
                <w:sz w:val="18"/>
              </w:rPr>
            </w:pPr>
            <w:r w:rsidRPr="00671E8F">
              <w:rPr>
                <w:rFonts w:cstheme="minorHAnsi"/>
                <w:sz w:val="18"/>
              </w:rPr>
              <w:t>1,2</w:t>
            </w:r>
          </w:p>
        </w:tc>
        <w:tc>
          <w:tcPr>
            <w:tcW w:w="656" w:type="pct"/>
            <w:shd w:val="clear" w:color="auto" w:fill="auto"/>
            <w:noWrap/>
            <w:vAlign w:val="center"/>
            <w:hideMark/>
          </w:tcPr>
          <w:p w14:paraId="3B58B234" w14:textId="77777777" w:rsidR="000353A6" w:rsidRPr="00671E8F" w:rsidRDefault="000353A6" w:rsidP="000353A6">
            <w:pPr>
              <w:spacing w:after="0" w:line="240" w:lineRule="auto"/>
              <w:jc w:val="center"/>
              <w:rPr>
                <w:rFonts w:cstheme="minorHAnsi"/>
                <w:sz w:val="18"/>
              </w:rPr>
            </w:pPr>
            <w:r w:rsidRPr="00671E8F">
              <w:rPr>
                <w:rFonts w:cstheme="minorHAnsi"/>
                <w:sz w:val="18"/>
              </w:rPr>
              <w:t>-0,5</w:t>
            </w:r>
          </w:p>
        </w:tc>
        <w:tc>
          <w:tcPr>
            <w:tcW w:w="656" w:type="pct"/>
            <w:shd w:val="clear" w:color="auto" w:fill="auto"/>
            <w:noWrap/>
            <w:vAlign w:val="center"/>
            <w:hideMark/>
          </w:tcPr>
          <w:p w14:paraId="54B9454A" w14:textId="77777777" w:rsidR="000353A6" w:rsidRPr="00671E8F" w:rsidRDefault="000353A6" w:rsidP="000353A6">
            <w:pPr>
              <w:spacing w:after="0" w:line="240" w:lineRule="auto"/>
              <w:jc w:val="center"/>
              <w:rPr>
                <w:rFonts w:cstheme="minorHAnsi"/>
                <w:sz w:val="18"/>
              </w:rPr>
            </w:pPr>
            <w:r w:rsidRPr="00671E8F">
              <w:rPr>
                <w:rFonts w:cstheme="minorHAnsi"/>
                <w:sz w:val="18"/>
              </w:rPr>
              <w:t>1,2</w:t>
            </w:r>
          </w:p>
        </w:tc>
        <w:tc>
          <w:tcPr>
            <w:tcW w:w="656" w:type="pct"/>
            <w:shd w:val="clear" w:color="auto" w:fill="auto"/>
            <w:noWrap/>
            <w:vAlign w:val="center"/>
          </w:tcPr>
          <w:p w14:paraId="62A3FDE6" w14:textId="77777777" w:rsidR="000353A6" w:rsidRPr="00671E8F" w:rsidRDefault="000353A6" w:rsidP="000353A6">
            <w:pPr>
              <w:spacing w:after="0" w:line="240" w:lineRule="auto"/>
              <w:jc w:val="center"/>
              <w:rPr>
                <w:rFonts w:cstheme="minorHAnsi"/>
                <w:sz w:val="18"/>
              </w:rPr>
            </w:pPr>
            <w:r w:rsidRPr="00671E8F">
              <w:rPr>
                <w:rFonts w:cstheme="minorHAnsi"/>
                <w:sz w:val="18"/>
              </w:rPr>
              <w:t>2,1</w:t>
            </w:r>
          </w:p>
        </w:tc>
      </w:tr>
      <w:tr w:rsidR="009D77B6" w:rsidRPr="00671E8F" w14:paraId="174CF582" w14:textId="77777777" w:rsidTr="000353A6">
        <w:trPr>
          <w:trHeight w:val="227"/>
        </w:trPr>
        <w:tc>
          <w:tcPr>
            <w:tcW w:w="2376" w:type="pct"/>
            <w:shd w:val="clear" w:color="auto" w:fill="auto"/>
            <w:noWrap/>
            <w:vAlign w:val="bottom"/>
            <w:hideMark/>
          </w:tcPr>
          <w:p w14:paraId="4BDF63B4"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Извоз</w:t>
            </w:r>
          </w:p>
        </w:tc>
        <w:tc>
          <w:tcPr>
            <w:tcW w:w="656" w:type="pct"/>
            <w:shd w:val="clear" w:color="auto" w:fill="auto"/>
            <w:noWrap/>
            <w:vAlign w:val="center"/>
            <w:hideMark/>
          </w:tcPr>
          <w:p w14:paraId="5400D1DF" w14:textId="77777777" w:rsidR="000353A6" w:rsidRPr="00671E8F" w:rsidRDefault="000353A6" w:rsidP="000353A6">
            <w:pPr>
              <w:spacing w:after="0" w:line="240" w:lineRule="auto"/>
              <w:jc w:val="center"/>
              <w:rPr>
                <w:rFonts w:cstheme="minorHAnsi"/>
                <w:sz w:val="18"/>
              </w:rPr>
            </w:pPr>
            <w:r w:rsidRPr="00671E8F">
              <w:rPr>
                <w:rFonts w:cstheme="minorHAnsi"/>
                <w:sz w:val="18"/>
              </w:rPr>
              <w:t>-0,3</w:t>
            </w:r>
          </w:p>
        </w:tc>
        <w:tc>
          <w:tcPr>
            <w:tcW w:w="656" w:type="pct"/>
            <w:shd w:val="clear" w:color="auto" w:fill="auto"/>
            <w:noWrap/>
            <w:vAlign w:val="center"/>
            <w:hideMark/>
          </w:tcPr>
          <w:p w14:paraId="3E803DEA" w14:textId="77777777" w:rsidR="000353A6" w:rsidRPr="00671E8F" w:rsidRDefault="000353A6" w:rsidP="000353A6">
            <w:pPr>
              <w:spacing w:after="0" w:line="240" w:lineRule="auto"/>
              <w:jc w:val="center"/>
              <w:rPr>
                <w:rFonts w:cstheme="minorHAnsi"/>
                <w:sz w:val="18"/>
              </w:rPr>
            </w:pPr>
            <w:r w:rsidRPr="00671E8F">
              <w:rPr>
                <w:rFonts w:cstheme="minorHAnsi"/>
                <w:sz w:val="18"/>
              </w:rPr>
              <w:t>1,2</w:t>
            </w:r>
          </w:p>
        </w:tc>
        <w:tc>
          <w:tcPr>
            <w:tcW w:w="656" w:type="pct"/>
            <w:shd w:val="clear" w:color="auto" w:fill="auto"/>
            <w:noWrap/>
            <w:vAlign w:val="center"/>
            <w:hideMark/>
          </w:tcPr>
          <w:p w14:paraId="58D4150B" w14:textId="77777777" w:rsidR="000353A6" w:rsidRPr="00671E8F" w:rsidRDefault="000353A6" w:rsidP="000353A6">
            <w:pPr>
              <w:spacing w:after="0" w:line="240" w:lineRule="auto"/>
              <w:jc w:val="center"/>
              <w:rPr>
                <w:rFonts w:cstheme="minorHAnsi"/>
                <w:sz w:val="18"/>
              </w:rPr>
            </w:pPr>
            <w:r w:rsidRPr="00671E8F">
              <w:rPr>
                <w:rFonts w:cstheme="minorHAnsi"/>
                <w:sz w:val="18"/>
              </w:rPr>
              <w:t>2,6</w:t>
            </w:r>
          </w:p>
        </w:tc>
        <w:tc>
          <w:tcPr>
            <w:tcW w:w="656" w:type="pct"/>
            <w:shd w:val="clear" w:color="auto" w:fill="auto"/>
            <w:noWrap/>
            <w:vAlign w:val="center"/>
          </w:tcPr>
          <w:p w14:paraId="5B383B6F" w14:textId="77777777" w:rsidR="000353A6" w:rsidRPr="00671E8F" w:rsidRDefault="000353A6" w:rsidP="000353A6">
            <w:pPr>
              <w:spacing w:after="0" w:line="240" w:lineRule="auto"/>
              <w:jc w:val="center"/>
              <w:rPr>
                <w:rFonts w:cstheme="minorHAnsi"/>
                <w:sz w:val="18"/>
              </w:rPr>
            </w:pPr>
            <w:r w:rsidRPr="00671E8F">
              <w:rPr>
                <w:rFonts w:cstheme="minorHAnsi"/>
                <w:sz w:val="18"/>
              </w:rPr>
              <w:t>3,0</w:t>
            </w:r>
          </w:p>
        </w:tc>
      </w:tr>
      <w:tr w:rsidR="009D77B6" w:rsidRPr="00671E8F" w14:paraId="72BBC49B" w14:textId="77777777" w:rsidTr="000353A6">
        <w:trPr>
          <w:trHeight w:val="227"/>
        </w:trPr>
        <w:tc>
          <w:tcPr>
            <w:tcW w:w="2376" w:type="pct"/>
            <w:shd w:val="clear" w:color="auto" w:fill="auto"/>
            <w:noWrap/>
            <w:vAlign w:val="bottom"/>
            <w:hideMark/>
          </w:tcPr>
          <w:p w14:paraId="7E732A14" w14:textId="77777777" w:rsidR="000353A6" w:rsidRPr="00671E8F" w:rsidRDefault="000353A6" w:rsidP="000353A6">
            <w:pPr>
              <w:spacing w:after="0" w:line="240" w:lineRule="auto"/>
              <w:ind w:left="527" w:hanging="357"/>
              <w:rPr>
                <w:rFonts w:cstheme="minorHAnsi"/>
                <w:sz w:val="18"/>
              </w:rPr>
            </w:pPr>
            <w:r w:rsidRPr="00671E8F">
              <w:rPr>
                <w:rFonts w:cstheme="minorHAnsi"/>
                <w:sz w:val="18"/>
              </w:rPr>
              <w:t>Увоз</w:t>
            </w:r>
          </w:p>
        </w:tc>
        <w:tc>
          <w:tcPr>
            <w:tcW w:w="656" w:type="pct"/>
            <w:shd w:val="clear" w:color="auto" w:fill="auto"/>
            <w:noWrap/>
            <w:vAlign w:val="center"/>
            <w:hideMark/>
          </w:tcPr>
          <w:p w14:paraId="232247C4" w14:textId="77777777" w:rsidR="000353A6" w:rsidRPr="00671E8F" w:rsidRDefault="000353A6" w:rsidP="000353A6">
            <w:pPr>
              <w:spacing w:after="0" w:line="240" w:lineRule="auto"/>
              <w:jc w:val="center"/>
              <w:rPr>
                <w:rFonts w:cstheme="minorHAnsi"/>
                <w:sz w:val="18"/>
              </w:rPr>
            </w:pPr>
            <w:r w:rsidRPr="00671E8F">
              <w:rPr>
                <w:rFonts w:cstheme="minorHAnsi"/>
                <w:sz w:val="18"/>
              </w:rPr>
              <w:t>-1,1</w:t>
            </w:r>
          </w:p>
        </w:tc>
        <w:tc>
          <w:tcPr>
            <w:tcW w:w="656" w:type="pct"/>
            <w:shd w:val="clear" w:color="auto" w:fill="auto"/>
            <w:noWrap/>
            <w:vAlign w:val="center"/>
            <w:hideMark/>
          </w:tcPr>
          <w:p w14:paraId="7527DF79" w14:textId="77777777" w:rsidR="000353A6" w:rsidRPr="00671E8F" w:rsidRDefault="000353A6" w:rsidP="000353A6">
            <w:pPr>
              <w:spacing w:after="0" w:line="240" w:lineRule="auto"/>
              <w:jc w:val="center"/>
              <w:rPr>
                <w:rFonts w:cstheme="minorHAnsi"/>
                <w:sz w:val="18"/>
              </w:rPr>
            </w:pPr>
            <w:r w:rsidRPr="00671E8F">
              <w:rPr>
                <w:rFonts w:cstheme="minorHAnsi"/>
                <w:sz w:val="18"/>
              </w:rPr>
              <w:t>0,0</w:t>
            </w:r>
          </w:p>
        </w:tc>
        <w:tc>
          <w:tcPr>
            <w:tcW w:w="656" w:type="pct"/>
            <w:shd w:val="clear" w:color="auto" w:fill="auto"/>
            <w:noWrap/>
            <w:vAlign w:val="center"/>
            <w:hideMark/>
          </w:tcPr>
          <w:p w14:paraId="15B52AC8" w14:textId="77777777" w:rsidR="000353A6" w:rsidRPr="00671E8F" w:rsidRDefault="000353A6" w:rsidP="000353A6">
            <w:pPr>
              <w:spacing w:after="0" w:line="240" w:lineRule="auto"/>
              <w:jc w:val="center"/>
              <w:rPr>
                <w:rFonts w:cstheme="minorHAnsi"/>
                <w:sz w:val="18"/>
              </w:rPr>
            </w:pPr>
            <w:r w:rsidRPr="00671E8F">
              <w:rPr>
                <w:rFonts w:cstheme="minorHAnsi"/>
                <w:sz w:val="18"/>
              </w:rPr>
              <w:t>2,8</w:t>
            </w:r>
          </w:p>
        </w:tc>
        <w:tc>
          <w:tcPr>
            <w:tcW w:w="656" w:type="pct"/>
            <w:shd w:val="clear" w:color="auto" w:fill="auto"/>
            <w:noWrap/>
            <w:vAlign w:val="center"/>
          </w:tcPr>
          <w:p w14:paraId="6236FE04" w14:textId="77777777" w:rsidR="000353A6" w:rsidRPr="00671E8F" w:rsidRDefault="000353A6" w:rsidP="000353A6">
            <w:pPr>
              <w:spacing w:after="0" w:line="240" w:lineRule="auto"/>
              <w:jc w:val="center"/>
              <w:rPr>
                <w:rFonts w:cstheme="minorHAnsi"/>
                <w:sz w:val="18"/>
              </w:rPr>
            </w:pPr>
            <w:r w:rsidRPr="00671E8F">
              <w:rPr>
                <w:rFonts w:cstheme="minorHAnsi"/>
                <w:sz w:val="18"/>
              </w:rPr>
              <w:t>3,3</w:t>
            </w:r>
          </w:p>
        </w:tc>
      </w:tr>
      <w:tr w:rsidR="009D77B6" w:rsidRPr="00671E8F" w14:paraId="0E8D1F23" w14:textId="77777777" w:rsidTr="000353A6">
        <w:trPr>
          <w:trHeight w:val="227"/>
        </w:trPr>
        <w:tc>
          <w:tcPr>
            <w:tcW w:w="2376" w:type="pct"/>
            <w:shd w:val="clear" w:color="auto" w:fill="auto"/>
            <w:noWrap/>
            <w:vAlign w:val="bottom"/>
            <w:hideMark/>
          </w:tcPr>
          <w:p w14:paraId="28725064"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Запосленост</w:t>
            </w:r>
          </w:p>
        </w:tc>
        <w:tc>
          <w:tcPr>
            <w:tcW w:w="656" w:type="pct"/>
            <w:shd w:val="clear" w:color="auto" w:fill="auto"/>
            <w:noWrap/>
            <w:vAlign w:val="center"/>
            <w:hideMark/>
          </w:tcPr>
          <w:p w14:paraId="4482DD53" w14:textId="77777777" w:rsidR="000353A6" w:rsidRPr="00671E8F" w:rsidRDefault="000353A6" w:rsidP="000353A6">
            <w:pPr>
              <w:spacing w:after="0" w:line="240" w:lineRule="auto"/>
              <w:jc w:val="center"/>
              <w:rPr>
                <w:rFonts w:cstheme="minorHAnsi"/>
                <w:sz w:val="18"/>
              </w:rPr>
            </w:pPr>
            <w:r w:rsidRPr="00671E8F">
              <w:rPr>
                <w:rFonts w:cstheme="minorHAnsi"/>
                <w:sz w:val="18"/>
              </w:rPr>
              <w:t>1,4</w:t>
            </w:r>
          </w:p>
        </w:tc>
        <w:tc>
          <w:tcPr>
            <w:tcW w:w="656" w:type="pct"/>
            <w:shd w:val="clear" w:color="auto" w:fill="auto"/>
            <w:noWrap/>
            <w:vAlign w:val="center"/>
            <w:hideMark/>
          </w:tcPr>
          <w:p w14:paraId="6B71A08D" w14:textId="77777777" w:rsidR="000353A6" w:rsidRPr="00671E8F" w:rsidRDefault="000353A6" w:rsidP="000353A6">
            <w:pPr>
              <w:spacing w:after="0" w:line="240" w:lineRule="auto"/>
              <w:jc w:val="center"/>
              <w:rPr>
                <w:rFonts w:cstheme="minorHAnsi"/>
                <w:sz w:val="18"/>
              </w:rPr>
            </w:pPr>
            <w:r w:rsidRPr="00671E8F">
              <w:rPr>
                <w:rFonts w:cstheme="minorHAnsi"/>
                <w:sz w:val="18"/>
              </w:rPr>
              <w:t>0,8</w:t>
            </w:r>
          </w:p>
        </w:tc>
        <w:tc>
          <w:tcPr>
            <w:tcW w:w="656" w:type="pct"/>
            <w:shd w:val="clear" w:color="auto" w:fill="auto"/>
            <w:noWrap/>
            <w:vAlign w:val="center"/>
            <w:hideMark/>
          </w:tcPr>
          <w:p w14:paraId="0129348B" w14:textId="77777777" w:rsidR="000353A6" w:rsidRPr="00671E8F" w:rsidRDefault="000353A6" w:rsidP="000353A6">
            <w:pPr>
              <w:spacing w:after="0" w:line="240" w:lineRule="auto"/>
              <w:jc w:val="center"/>
              <w:rPr>
                <w:rFonts w:cstheme="minorHAnsi"/>
                <w:sz w:val="18"/>
              </w:rPr>
            </w:pPr>
            <w:r w:rsidRPr="00671E8F">
              <w:rPr>
                <w:rFonts w:cstheme="minorHAnsi"/>
                <w:sz w:val="18"/>
              </w:rPr>
              <w:t>0,4</w:t>
            </w:r>
          </w:p>
        </w:tc>
        <w:tc>
          <w:tcPr>
            <w:tcW w:w="656" w:type="pct"/>
            <w:shd w:val="clear" w:color="auto" w:fill="auto"/>
            <w:noWrap/>
            <w:vAlign w:val="center"/>
          </w:tcPr>
          <w:p w14:paraId="24D15A97" w14:textId="77777777" w:rsidR="000353A6" w:rsidRPr="00671E8F" w:rsidRDefault="000353A6" w:rsidP="000353A6">
            <w:pPr>
              <w:spacing w:after="0" w:line="240" w:lineRule="auto"/>
              <w:jc w:val="center"/>
              <w:rPr>
                <w:rFonts w:cstheme="minorHAnsi"/>
                <w:sz w:val="18"/>
              </w:rPr>
            </w:pPr>
            <w:r w:rsidRPr="00671E8F">
              <w:rPr>
                <w:rFonts w:cstheme="minorHAnsi"/>
                <w:sz w:val="18"/>
              </w:rPr>
              <w:t>0,4</w:t>
            </w:r>
          </w:p>
        </w:tc>
      </w:tr>
      <w:tr w:rsidR="009D77B6" w:rsidRPr="00671E8F" w14:paraId="7E661FDB" w14:textId="77777777" w:rsidTr="000353A6">
        <w:trPr>
          <w:trHeight w:val="227"/>
        </w:trPr>
        <w:tc>
          <w:tcPr>
            <w:tcW w:w="2376" w:type="pct"/>
            <w:shd w:val="clear" w:color="auto" w:fill="auto"/>
            <w:noWrap/>
            <w:vAlign w:val="bottom"/>
            <w:hideMark/>
          </w:tcPr>
          <w:p w14:paraId="56F03D3F"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Стопа незапослености</w:t>
            </w:r>
          </w:p>
        </w:tc>
        <w:tc>
          <w:tcPr>
            <w:tcW w:w="656" w:type="pct"/>
            <w:shd w:val="clear" w:color="auto" w:fill="auto"/>
            <w:noWrap/>
            <w:vAlign w:val="center"/>
            <w:hideMark/>
          </w:tcPr>
          <w:p w14:paraId="596A6C92" w14:textId="77777777" w:rsidR="000353A6" w:rsidRPr="00671E8F" w:rsidRDefault="000353A6" w:rsidP="000353A6">
            <w:pPr>
              <w:spacing w:after="0" w:line="240" w:lineRule="auto"/>
              <w:jc w:val="center"/>
              <w:rPr>
                <w:rFonts w:cstheme="minorHAnsi"/>
                <w:sz w:val="18"/>
              </w:rPr>
            </w:pPr>
            <w:r w:rsidRPr="00671E8F">
              <w:rPr>
                <w:rFonts w:cstheme="minorHAnsi"/>
                <w:sz w:val="18"/>
              </w:rPr>
              <w:t>6,5</w:t>
            </w:r>
          </w:p>
        </w:tc>
        <w:tc>
          <w:tcPr>
            <w:tcW w:w="656" w:type="pct"/>
            <w:shd w:val="clear" w:color="auto" w:fill="auto"/>
            <w:noWrap/>
            <w:vAlign w:val="center"/>
            <w:hideMark/>
          </w:tcPr>
          <w:p w14:paraId="62D3F48E" w14:textId="77777777" w:rsidR="000353A6" w:rsidRPr="00671E8F" w:rsidRDefault="000353A6" w:rsidP="000353A6">
            <w:pPr>
              <w:spacing w:after="0" w:line="240" w:lineRule="auto"/>
              <w:jc w:val="center"/>
              <w:rPr>
                <w:rFonts w:cstheme="minorHAnsi"/>
                <w:sz w:val="18"/>
              </w:rPr>
            </w:pPr>
            <w:r w:rsidRPr="00671E8F">
              <w:rPr>
                <w:rFonts w:cstheme="minorHAnsi"/>
                <w:sz w:val="18"/>
              </w:rPr>
              <w:t>6,5</w:t>
            </w:r>
          </w:p>
        </w:tc>
        <w:tc>
          <w:tcPr>
            <w:tcW w:w="656" w:type="pct"/>
            <w:shd w:val="clear" w:color="auto" w:fill="auto"/>
            <w:noWrap/>
            <w:vAlign w:val="center"/>
            <w:hideMark/>
          </w:tcPr>
          <w:p w14:paraId="7859CB6B" w14:textId="77777777" w:rsidR="000353A6" w:rsidRPr="00671E8F" w:rsidRDefault="000353A6" w:rsidP="000353A6">
            <w:pPr>
              <w:spacing w:after="0" w:line="240" w:lineRule="auto"/>
              <w:jc w:val="center"/>
              <w:rPr>
                <w:rFonts w:cstheme="minorHAnsi"/>
                <w:sz w:val="18"/>
              </w:rPr>
            </w:pPr>
            <w:r w:rsidRPr="00671E8F">
              <w:rPr>
                <w:rFonts w:cstheme="minorHAnsi"/>
                <w:sz w:val="18"/>
              </w:rPr>
              <w:t>6,5</w:t>
            </w:r>
          </w:p>
        </w:tc>
        <w:tc>
          <w:tcPr>
            <w:tcW w:w="656" w:type="pct"/>
            <w:shd w:val="clear" w:color="auto" w:fill="auto"/>
            <w:noWrap/>
            <w:vAlign w:val="center"/>
          </w:tcPr>
          <w:p w14:paraId="27DDADED" w14:textId="77777777" w:rsidR="000353A6" w:rsidRPr="00671E8F" w:rsidRDefault="000353A6" w:rsidP="000353A6">
            <w:pPr>
              <w:spacing w:after="0" w:line="240" w:lineRule="auto"/>
              <w:jc w:val="center"/>
              <w:rPr>
                <w:rFonts w:cstheme="minorHAnsi"/>
                <w:sz w:val="18"/>
              </w:rPr>
            </w:pPr>
            <w:r w:rsidRPr="00671E8F">
              <w:rPr>
                <w:rFonts w:cstheme="minorHAnsi"/>
                <w:sz w:val="18"/>
              </w:rPr>
              <w:t>6,5</w:t>
            </w:r>
          </w:p>
        </w:tc>
      </w:tr>
      <w:tr w:rsidR="009D77B6" w:rsidRPr="00671E8F" w14:paraId="536BE4D9" w14:textId="77777777" w:rsidTr="000353A6">
        <w:trPr>
          <w:trHeight w:val="227"/>
        </w:trPr>
        <w:tc>
          <w:tcPr>
            <w:tcW w:w="2376" w:type="pct"/>
            <w:shd w:val="clear" w:color="auto" w:fill="auto"/>
            <w:noWrap/>
            <w:vAlign w:val="bottom"/>
            <w:hideMark/>
          </w:tcPr>
          <w:p w14:paraId="2EE10EB1"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Инфлација, просек периода</w:t>
            </w:r>
          </w:p>
        </w:tc>
        <w:tc>
          <w:tcPr>
            <w:tcW w:w="656" w:type="pct"/>
            <w:shd w:val="clear" w:color="auto" w:fill="auto"/>
            <w:noWrap/>
            <w:vAlign w:val="center"/>
            <w:hideMark/>
          </w:tcPr>
          <w:p w14:paraId="0AFD7924" w14:textId="77777777" w:rsidR="000353A6" w:rsidRPr="00671E8F" w:rsidRDefault="000353A6" w:rsidP="000353A6">
            <w:pPr>
              <w:spacing w:after="0" w:line="240" w:lineRule="auto"/>
              <w:jc w:val="center"/>
              <w:rPr>
                <w:rFonts w:cstheme="minorHAnsi"/>
                <w:sz w:val="18"/>
              </w:rPr>
            </w:pPr>
            <w:r w:rsidRPr="00671E8F">
              <w:rPr>
                <w:rFonts w:cstheme="minorHAnsi"/>
                <w:sz w:val="18"/>
              </w:rPr>
              <w:t>5,4</w:t>
            </w:r>
          </w:p>
        </w:tc>
        <w:tc>
          <w:tcPr>
            <w:tcW w:w="656" w:type="pct"/>
            <w:shd w:val="clear" w:color="auto" w:fill="auto"/>
            <w:noWrap/>
            <w:vAlign w:val="center"/>
            <w:hideMark/>
          </w:tcPr>
          <w:p w14:paraId="391D0F94" w14:textId="77777777" w:rsidR="000353A6" w:rsidRPr="00671E8F" w:rsidRDefault="000353A6" w:rsidP="000353A6">
            <w:pPr>
              <w:spacing w:after="0" w:line="240" w:lineRule="auto"/>
              <w:jc w:val="center"/>
              <w:rPr>
                <w:rFonts w:cstheme="minorHAnsi"/>
                <w:sz w:val="18"/>
              </w:rPr>
            </w:pPr>
            <w:r w:rsidRPr="00671E8F">
              <w:rPr>
                <w:rFonts w:cstheme="minorHAnsi"/>
                <w:sz w:val="18"/>
              </w:rPr>
              <w:t>2,5</w:t>
            </w:r>
          </w:p>
        </w:tc>
        <w:tc>
          <w:tcPr>
            <w:tcW w:w="656" w:type="pct"/>
            <w:shd w:val="clear" w:color="auto" w:fill="auto"/>
            <w:noWrap/>
            <w:vAlign w:val="center"/>
            <w:hideMark/>
          </w:tcPr>
          <w:p w14:paraId="2AEB6EC5" w14:textId="77777777" w:rsidR="000353A6" w:rsidRPr="00671E8F" w:rsidRDefault="000353A6" w:rsidP="000353A6">
            <w:pPr>
              <w:spacing w:after="0" w:line="240" w:lineRule="auto"/>
              <w:jc w:val="center"/>
              <w:rPr>
                <w:rFonts w:cstheme="minorHAnsi"/>
                <w:sz w:val="18"/>
              </w:rPr>
            </w:pPr>
            <w:r w:rsidRPr="00671E8F">
              <w:rPr>
                <w:rFonts w:cstheme="minorHAnsi"/>
                <w:sz w:val="18"/>
              </w:rPr>
              <w:t>2,2</w:t>
            </w:r>
          </w:p>
        </w:tc>
        <w:tc>
          <w:tcPr>
            <w:tcW w:w="656" w:type="pct"/>
            <w:shd w:val="clear" w:color="auto" w:fill="auto"/>
            <w:noWrap/>
            <w:vAlign w:val="center"/>
          </w:tcPr>
          <w:p w14:paraId="2505326A" w14:textId="77777777" w:rsidR="000353A6" w:rsidRPr="00671E8F" w:rsidRDefault="000353A6" w:rsidP="000353A6">
            <w:pPr>
              <w:spacing w:after="0" w:line="240" w:lineRule="auto"/>
              <w:jc w:val="center"/>
              <w:rPr>
                <w:rFonts w:cstheme="minorHAnsi"/>
                <w:sz w:val="18"/>
              </w:rPr>
            </w:pPr>
            <w:r w:rsidRPr="00671E8F">
              <w:rPr>
                <w:rFonts w:cstheme="minorHAnsi"/>
                <w:sz w:val="18"/>
              </w:rPr>
              <w:t>1,9</w:t>
            </w:r>
          </w:p>
        </w:tc>
      </w:tr>
      <w:tr w:rsidR="009D77B6" w:rsidRPr="00671E8F" w14:paraId="68B58DF0" w14:textId="77777777" w:rsidTr="000353A6">
        <w:trPr>
          <w:trHeight w:val="227"/>
        </w:trPr>
        <w:tc>
          <w:tcPr>
            <w:tcW w:w="2376" w:type="pct"/>
            <w:shd w:val="clear" w:color="auto" w:fill="auto"/>
            <w:noWrap/>
            <w:vAlign w:val="bottom"/>
            <w:hideMark/>
          </w:tcPr>
          <w:p w14:paraId="6D373897"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Јединични трошкови рада</w:t>
            </w:r>
          </w:p>
        </w:tc>
        <w:tc>
          <w:tcPr>
            <w:tcW w:w="656" w:type="pct"/>
            <w:shd w:val="clear" w:color="auto" w:fill="auto"/>
            <w:noWrap/>
            <w:vAlign w:val="center"/>
            <w:hideMark/>
          </w:tcPr>
          <w:p w14:paraId="7A82D7F0" w14:textId="77777777" w:rsidR="000353A6" w:rsidRPr="00671E8F" w:rsidRDefault="000353A6" w:rsidP="000353A6">
            <w:pPr>
              <w:spacing w:after="0" w:line="240" w:lineRule="auto"/>
              <w:jc w:val="center"/>
              <w:rPr>
                <w:rFonts w:cstheme="minorHAnsi"/>
                <w:sz w:val="18"/>
              </w:rPr>
            </w:pPr>
            <w:r w:rsidRPr="00671E8F">
              <w:rPr>
                <w:rFonts w:cstheme="minorHAnsi"/>
                <w:sz w:val="18"/>
              </w:rPr>
              <w:t>6,2</w:t>
            </w:r>
          </w:p>
        </w:tc>
        <w:tc>
          <w:tcPr>
            <w:tcW w:w="656" w:type="pct"/>
            <w:shd w:val="clear" w:color="auto" w:fill="auto"/>
            <w:noWrap/>
            <w:vAlign w:val="center"/>
            <w:hideMark/>
          </w:tcPr>
          <w:p w14:paraId="08A2FF5D" w14:textId="77777777" w:rsidR="000353A6" w:rsidRPr="00671E8F" w:rsidRDefault="000353A6" w:rsidP="000353A6">
            <w:pPr>
              <w:spacing w:after="0" w:line="240" w:lineRule="auto"/>
              <w:jc w:val="center"/>
              <w:rPr>
                <w:rFonts w:cstheme="minorHAnsi"/>
                <w:sz w:val="18"/>
              </w:rPr>
            </w:pPr>
            <w:r w:rsidRPr="00671E8F">
              <w:rPr>
                <w:rFonts w:cstheme="minorHAnsi"/>
                <w:sz w:val="18"/>
              </w:rPr>
              <w:t>4,5</w:t>
            </w:r>
          </w:p>
        </w:tc>
        <w:tc>
          <w:tcPr>
            <w:tcW w:w="656" w:type="pct"/>
            <w:shd w:val="clear" w:color="auto" w:fill="auto"/>
            <w:noWrap/>
            <w:vAlign w:val="center"/>
            <w:hideMark/>
          </w:tcPr>
          <w:p w14:paraId="702B38EC" w14:textId="77777777" w:rsidR="000353A6" w:rsidRPr="00671E8F" w:rsidRDefault="000353A6" w:rsidP="000353A6">
            <w:pPr>
              <w:spacing w:after="0" w:line="240" w:lineRule="auto"/>
              <w:jc w:val="center"/>
              <w:rPr>
                <w:rFonts w:cstheme="minorHAnsi"/>
                <w:sz w:val="18"/>
              </w:rPr>
            </w:pPr>
            <w:r w:rsidRPr="00671E8F">
              <w:rPr>
                <w:rFonts w:cstheme="minorHAnsi"/>
                <w:sz w:val="18"/>
              </w:rPr>
              <w:t>2,6</w:t>
            </w:r>
          </w:p>
        </w:tc>
        <w:tc>
          <w:tcPr>
            <w:tcW w:w="656" w:type="pct"/>
            <w:shd w:val="clear" w:color="auto" w:fill="auto"/>
            <w:noWrap/>
            <w:vAlign w:val="center"/>
          </w:tcPr>
          <w:p w14:paraId="4533A108" w14:textId="77777777" w:rsidR="000353A6" w:rsidRPr="00671E8F" w:rsidRDefault="000353A6" w:rsidP="000353A6">
            <w:pPr>
              <w:spacing w:after="0" w:line="240" w:lineRule="auto"/>
              <w:jc w:val="center"/>
              <w:rPr>
                <w:rFonts w:cstheme="minorHAnsi"/>
                <w:sz w:val="18"/>
              </w:rPr>
            </w:pPr>
            <w:r w:rsidRPr="00671E8F">
              <w:rPr>
                <w:rFonts w:cstheme="minorHAnsi"/>
                <w:sz w:val="18"/>
              </w:rPr>
              <w:t>2,1</w:t>
            </w:r>
          </w:p>
        </w:tc>
      </w:tr>
      <w:tr w:rsidR="009D77B6" w:rsidRPr="00671E8F" w14:paraId="163DB48D" w14:textId="77777777" w:rsidTr="000353A6">
        <w:trPr>
          <w:trHeight w:val="227"/>
        </w:trPr>
        <w:tc>
          <w:tcPr>
            <w:tcW w:w="2376" w:type="pct"/>
            <w:shd w:val="clear" w:color="auto" w:fill="auto"/>
            <w:noWrap/>
            <w:vAlign w:val="bottom"/>
            <w:hideMark/>
          </w:tcPr>
          <w:p w14:paraId="18132ED2"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Фискални резултат опште државе, % БДП</w:t>
            </w:r>
          </w:p>
        </w:tc>
        <w:tc>
          <w:tcPr>
            <w:tcW w:w="656" w:type="pct"/>
            <w:shd w:val="clear" w:color="auto" w:fill="auto"/>
            <w:noWrap/>
            <w:vAlign w:val="center"/>
            <w:hideMark/>
          </w:tcPr>
          <w:p w14:paraId="32F7E0B8" w14:textId="77777777" w:rsidR="000353A6" w:rsidRPr="00671E8F" w:rsidRDefault="000353A6" w:rsidP="000353A6">
            <w:pPr>
              <w:spacing w:after="0" w:line="240" w:lineRule="auto"/>
              <w:jc w:val="center"/>
              <w:rPr>
                <w:rFonts w:cstheme="minorHAnsi"/>
                <w:sz w:val="18"/>
              </w:rPr>
            </w:pPr>
            <w:r w:rsidRPr="00671E8F">
              <w:rPr>
                <w:rFonts w:cstheme="minorHAnsi"/>
                <w:sz w:val="18"/>
              </w:rPr>
              <w:t>-3,6</w:t>
            </w:r>
          </w:p>
        </w:tc>
        <w:tc>
          <w:tcPr>
            <w:tcW w:w="656" w:type="pct"/>
            <w:shd w:val="clear" w:color="auto" w:fill="auto"/>
            <w:noWrap/>
            <w:vAlign w:val="center"/>
            <w:hideMark/>
          </w:tcPr>
          <w:p w14:paraId="6A74AFAF" w14:textId="77777777" w:rsidR="000353A6" w:rsidRPr="00671E8F" w:rsidRDefault="000353A6" w:rsidP="000353A6">
            <w:pPr>
              <w:spacing w:after="0" w:line="240" w:lineRule="auto"/>
              <w:jc w:val="center"/>
              <w:rPr>
                <w:rFonts w:cstheme="minorHAnsi"/>
                <w:sz w:val="18"/>
              </w:rPr>
            </w:pPr>
            <w:r w:rsidRPr="00671E8F">
              <w:rPr>
                <w:rFonts w:cstheme="minorHAnsi"/>
                <w:sz w:val="18"/>
              </w:rPr>
              <w:t>-3,3</w:t>
            </w:r>
          </w:p>
        </w:tc>
        <w:tc>
          <w:tcPr>
            <w:tcW w:w="656" w:type="pct"/>
            <w:shd w:val="clear" w:color="auto" w:fill="auto"/>
            <w:noWrap/>
            <w:vAlign w:val="center"/>
            <w:hideMark/>
          </w:tcPr>
          <w:p w14:paraId="1984B94C" w14:textId="77777777" w:rsidR="000353A6" w:rsidRPr="00671E8F" w:rsidRDefault="000353A6" w:rsidP="000353A6">
            <w:pPr>
              <w:spacing w:after="0" w:line="240" w:lineRule="auto"/>
              <w:jc w:val="center"/>
              <w:rPr>
                <w:rFonts w:cstheme="minorHAnsi"/>
                <w:sz w:val="18"/>
              </w:rPr>
            </w:pPr>
            <w:r w:rsidRPr="00671E8F">
              <w:rPr>
                <w:rFonts w:cstheme="minorHAnsi"/>
                <w:sz w:val="18"/>
              </w:rPr>
              <w:t>-3,2</w:t>
            </w:r>
          </w:p>
        </w:tc>
        <w:tc>
          <w:tcPr>
            <w:tcW w:w="656" w:type="pct"/>
            <w:shd w:val="clear" w:color="auto" w:fill="auto"/>
            <w:noWrap/>
            <w:vAlign w:val="center"/>
          </w:tcPr>
          <w:p w14:paraId="13C56198" w14:textId="77777777" w:rsidR="000353A6" w:rsidRPr="00671E8F" w:rsidRDefault="000353A6" w:rsidP="000353A6">
            <w:pPr>
              <w:spacing w:after="0" w:line="240" w:lineRule="auto"/>
              <w:jc w:val="center"/>
              <w:rPr>
                <w:rFonts w:cstheme="minorHAnsi"/>
                <w:sz w:val="18"/>
              </w:rPr>
            </w:pPr>
            <w:r w:rsidRPr="00671E8F">
              <w:rPr>
                <w:rFonts w:cstheme="minorHAnsi"/>
                <w:sz w:val="18"/>
              </w:rPr>
              <w:t>-3,0</w:t>
            </w:r>
          </w:p>
        </w:tc>
      </w:tr>
      <w:tr w:rsidR="009D77B6" w:rsidRPr="00671E8F" w14:paraId="132D1225" w14:textId="77777777" w:rsidTr="000353A6">
        <w:trPr>
          <w:trHeight w:val="227"/>
        </w:trPr>
        <w:tc>
          <w:tcPr>
            <w:tcW w:w="2376" w:type="pct"/>
            <w:shd w:val="clear" w:color="auto" w:fill="auto"/>
            <w:noWrap/>
            <w:vAlign w:val="bottom"/>
            <w:hideMark/>
          </w:tcPr>
          <w:p w14:paraId="58443EC4"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Бруто дуг опште државе, % БДП</w:t>
            </w:r>
          </w:p>
        </w:tc>
        <w:tc>
          <w:tcPr>
            <w:tcW w:w="656" w:type="pct"/>
            <w:shd w:val="clear" w:color="auto" w:fill="auto"/>
            <w:noWrap/>
            <w:vAlign w:val="center"/>
            <w:hideMark/>
          </w:tcPr>
          <w:p w14:paraId="4D28D239" w14:textId="77777777" w:rsidR="000353A6" w:rsidRPr="00671E8F" w:rsidRDefault="000353A6" w:rsidP="000353A6">
            <w:pPr>
              <w:spacing w:after="0" w:line="240" w:lineRule="auto"/>
              <w:jc w:val="center"/>
              <w:rPr>
                <w:rFonts w:cstheme="minorHAnsi"/>
                <w:sz w:val="18"/>
              </w:rPr>
            </w:pPr>
            <w:r w:rsidRPr="00671E8F">
              <w:rPr>
                <w:rFonts w:cstheme="minorHAnsi"/>
                <w:sz w:val="18"/>
              </w:rPr>
              <w:t>88,2</w:t>
            </w:r>
          </w:p>
        </w:tc>
        <w:tc>
          <w:tcPr>
            <w:tcW w:w="656" w:type="pct"/>
            <w:shd w:val="clear" w:color="auto" w:fill="auto"/>
            <w:noWrap/>
            <w:vAlign w:val="center"/>
            <w:hideMark/>
          </w:tcPr>
          <w:p w14:paraId="3215B990" w14:textId="77777777" w:rsidR="000353A6" w:rsidRPr="00671E8F" w:rsidRDefault="000353A6" w:rsidP="000353A6">
            <w:pPr>
              <w:spacing w:after="0" w:line="240" w:lineRule="auto"/>
              <w:jc w:val="center"/>
              <w:rPr>
                <w:rFonts w:cstheme="minorHAnsi"/>
                <w:sz w:val="18"/>
              </w:rPr>
            </w:pPr>
            <w:r w:rsidRPr="00671E8F">
              <w:rPr>
                <w:rFonts w:cstheme="minorHAnsi"/>
                <w:sz w:val="18"/>
              </w:rPr>
              <w:t>88,5</w:t>
            </w:r>
          </w:p>
        </w:tc>
        <w:tc>
          <w:tcPr>
            <w:tcW w:w="656" w:type="pct"/>
            <w:shd w:val="clear" w:color="auto" w:fill="auto"/>
            <w:noWrap/>
            <w:vAlign w:val="center"/>
            <w:hideMark/>
          </w:tcPr>
          <w:p w14:paraId="067C8F86" w14:textId="77777777" w:rsidR="000353A6" w:rsidRPr="00671E8F" w:rsidRDefault="000353A6" w:rsidP="000353A6">
            <w:pPr>
              <w:spacing w:after="0" w:line="240" w:lineRule="auto"/>
              <w:jc w:val="center"/>
              <w:rPr>
                <w:rFonts w:cstheme="minorHAnsi"/>
                <w:sz w:val="18"/>
              </w:rPr>
            </w:pPr>
            <w:r w:rsidRPr="00671E8F">
              <w:rPr>
                <w:rFonts w:cstheme="minorHAnsi"/>
                <w:sz w:val="18"/>
              </w:rPr>
              <w:t>89,3</w:t>
            </w:r>
          </w:p>
        </w:tc>
        <w:tc>
          <w:tcPr>
            <w:tcW w:w="656" w:type="pct"/>
            <w:shd w:val="clear" w:color="auto" w:fill="auto"/>
            <w:noWrap/>
            <w:vAlign w:val="center"/>
          </w:tcPr>
          <w:p w14:paraId="739AC2B8" w14:textId="77777777" w:rsidR="000353A6" w:rsidRPr="00671E8F" w:rsidRDefault="000353A6" w:rsidP="000353A6">
            <w:pPr>
              <w:spacing w:after="0" w:line="240" w:lineRule="auto"/>
              <w:jc w:val="center"/>
              <w:rPr>
                <w:rFonts w:cstheme="minorHAnsi"/>
                <w:sz w:val="18"/>
              </w:rPr>
            </w:pPr>
            <w:r w:rsidRPr="00671E8F">
              <w:rPr>
                <w:rFonts w:cstheme="minorHAnsi"/>
                <w:sz w:val="18"/>
              </w:rPr>
              <w:t>89,8</w:t>
            </w:r>
          </w:p>
        </w:tc>
      </w:tr>
      <w:tr w:rsidR="009D77B6" w:rsidRPr="00671E8F" w14:paraId="76F85BE6" w14:textId="77777777" w:rsidTr="000353A6">
        <w:trPr>
          <w:trHeight w:val="227"/>
        </w:trPr>
        <w:tc>
          <w:tcPr>
            <w:tcW w:w="2376" w:type="pct"/>
            <w:tcBorders>
              <w:bottom w:val="single" w:sz="4" w:space="0" w:color="002060"/>
            </w:tcBorders>
            <w:shd w:val="clear" w:color="auto" w:fill="auto"/>
            <w:noWrap/>
            <w:vAlign w:val="bottom"/>
            <w:hideMark/>
          </w:tcPr>
          <w:p w14:paraId="431DCE50" w14:textId="77777777" w:rsidR="000353A6" w:rsidRPr="00671E8F" w:rsidRDefault="000353A6" w:rsidP="000353A6">
            <w:pPr>
              <w:spacing w:after="0" w:line="240" w:lineRule="auto"/>
              <w:ind w:left="357" w:hanging="357"/>
              <w:rPr>
                <w:rFonts w:cstheme="minorHAnsi"/>
                <w:sz w:val="18"/>
              </w:rPr>
            </w:pPr>
            <w:r w:rsidRPr="00671E8F">
              <w:rPr>
                <w:rFonts w:cstheme="minorHAnsi"/>
                <w:sz w:val="18"/>
              </w:rPr>
              <w:t>Салдо текућег рачуна, % БДП</w:t>
            </w:r>
          </w:p>
        </w:tc>
        <w:tc>
          <w:tcPr>
            <w:tcW w:w="656" w:type="pct"/>
            <w:tcBorders>
              <w:bottom w:val="single" w:sz="4" w:space="0" w:color="002060"/>
            </w:tcBorders>
            <w:shd w:val="clear" w:color="auto" w:fill="auto"/>
            <w:noWrap/>
            <w:vAlign w:val="center"/>
            <w:hideMark/>
          </w:tcPr>
          <w:p w14:paraId="6980A7BB" w14:textId="77777777" w:rsidR="000353A6" w:rsidRPr="00671E8F" w:rsidRDefault="000353A6" w:rsidP="000353A6">
            <w:pPr>
              <w:spacing w:after="0" w:line="240" w:lineRule="auto"/>
              <w:jc w:val="center"/>
              <w:rPr>
                <w:rFonts w:cstheme="minorHAnsi"/>
                <w:sz w:val="18"/>
              </w:rPr>
            </w:pPr>
            <w:r w:rsidRPr="00671E8F">
              <w:rPr>
                <w:rFonts w:cstheme="minorHAnsi"/>
                <w:sz w:val="18"/>
              </w:rPr>
              <w:t>1,5</w:t>
            </w:r>
          </w:p>
        </w:tc>
        <w:tc>
          <w:tcPr>
            <w:tcW w:w="656" w:type="pct"/>
            <w:tcBorders>
              <w:bottom w:val="single" w:sz="4" w:space="0" w:color="002060"/>
            </w:tcBorders>
            <w:shd w:val="clear" w:color="auto" w:fill="auto"/>
            <w:noWrap/>
            <w:vAlign w:val="center"/>
            <w:hideMark/>
          </w:tcPr>
          <w:p w14:paraId="07AF9484" w14:textId="77777777" w:rsidR="000353A6" w:rsidRPr="00671E8F" w:rsidRDefault="000353A6" w:rsidP="000353A6">
            <w:pPr>
              <w:spacing w:after="0" w:line="240" w:lineRule="auto"/>
              <w:jc w:val="center"/>
              <w:rPr>
                <w:rFonts w:cstheme="minorHAnsi"/>
                <w:sz w:val="18"/>
              </w:rPr>
            </w:pPr>
            <w:r w:rsidRPr="00671E8F">
              <w:rPr>
                <w:rFonts w:cstheme="minorHAnsi"/>
                <w:sz w:val="18"/>
              </w:rPr>
              <w:t>2,6</w:t>
            </w:r>
          </w:p>
        </w:tc>
        <w:tc>
          <w:tcPr>
            <w:tcW w:w="656" w:type="pct"/>
            <w:tcBorders>
              <w:bottom w:val="single" w:sz="4" w:space="0" w:color="002060"/>
            </w:tcBorders>
            <w:shd w:val="clear" w:color="auto" w:fill="auto"/>
            <w:noWrap/>
            <w:vAlign w:val="center"/>
            <w:hideMark/>
          </w:tcPr>
          <w:p w14:paraId="75E14EC9" w14:textId="77777777" w:rsidR="000353A6" w:rsidRPr="00671E8F" w:rsidRDefault="000353A6" w:rsidP="000353A6">
            <w:pPr>
              <w:spacing w:after="0" w:line="240" w:lineRule="auto"/>
              <w:jc w:val="center"/>
              <w:rPr>
                <w:rFonts w:cstheme="minorHAnsi"/>
                <w:sz w:val="18"/>
              </w:rPr>
            </w:pPr>
            <w:r w:rsidRPr="00671E8F">
              <w:rPr>
                <w:rFonts w:cstheme="minorHAnsi"/>
                <w:sz w:val="18"/>
              </w:rPr>
              <w:t>2,7</w:t>
            </w:r>
          </w:p>
        </w:tc>
        <w:tc>
          <w:tcPr>
            <w:tcW w:w="656" w:type="pct"/>
            <w:shd w:val="clear" w:color="auto" w:fill="auto"/>
            <w:noWrap/>
            <w:vAlign w:val="center"/>
          </w:tcPr>
          <w:p w14:paraId="5F98761F" w14:textId="77777777" w:rsidR="000353A6" w:rsidRPr="00671E8F" w:rsidRDefault="000353A6" w:rsidP="000353A6">
            <w:pPr>
              <w:spacing w:after="0" w:line="240" w:lineRule="auto"/>
              <w:jc w:val="center"/>
              <w:rPr>
                <w:rFonts w:cstheme="minorHAnsi"/>
                <w:sz w:val="18"/>
              </w:rPr>
            </w:pPr>
            <w:r w:rsidRPr="00671E8F">
              <w:rPr>
                <w:rFonts w:cstheme="minorHAnsi"/>
                <w:sz w:val="18"/>
              </w:rPr>
              <w:t>2,7</w:t>
            </w:r>
          </w:p>
        </w:tc>
      </w:tr>
      <w:tr w:rsidR="009D77B6" w:rsidRPr="00671E8F" w14:paraId="2F913A30" w14:textId="77777777" w:rsidTr="000353A6">
        <w:trPr>
          <w:trHeight w:val="227"/>
        </w:trPr>
        <w:tc>
          <w:tcPr>
            <w:tcW w:w="5000" w:type="pct"/>
            <w:gridSpan w:val="5"/>
            <w:tcBorders>
              <w:top w:val="single" w:sz="4" w:space="0" w:color="002060"/>
            </w:tcBorders>
            <w:shd w:val="clear" w:color="auto" w:fill="auto"/>
            <w:noWrap/>
            <w:vAlign w:val="bottom"/>
          </w:tcPr>
          <w:p w14:paraId="30EA8230" w14:textId="77777777" w:rsidR="000353A6" w:rsidRPr="00671E8F" w:rsidRDefault="000353A6" w:rsidP="000353A6">
            <w:pPr>
              <w:spacing w:after="0" w:line="240" w:lineRule="auto"/>
              <w:jc w:val="left"/>
              <w:rPr>
                <w:rFonts w:cstheme="minorHAnsi"/>
                <w:sz w:val="16"/>
              </w:rPr>
            </w:pPr>
            <w:r w:rsidRPr="00671E8F">
              <w:rPr>
                <w:rFonts w:cstheme="minorHAnsi"/>
                <w:sz w:val="16"/>
              </w:rPr>
              <w:t>Извор: Макроекономске пројекције стручњака ЕЦБ за подручје еврозоне, септембар 2024.</w:t>
            </w:r>
          </w:p>
        </w:tc>
      </w:tr>
    </w:tbl>
    <w:p w14:paraId="7172199A" w14:textId="77777777" w:rsidR="000353A6" w:rsidRPr="00671E8F" w:rsidRDefault="000353A6" w:rsidP="000353A6">
      <w:pPr>
        <w:spacing w:after="0" w:line="240" w:lineRule="auto"/>
        <w:rPr>
          <w:sz w:val="14"/>
        </w:rPr>
        <w:sectPr w:rsidR="000353A6" w:rsidRPr="00671E8F" w:rsidSect="000353A6">
          <w:type w:val="continuous"/>
          <w:pgSz w:w="12240" w:h="15840" w:code="1"/>
          <w:pgMar w:top="1440" w:right="1440" w:bottom="1440" w:left="1440" w:header="720" w:footer="720" w:gutter="0"/>
          <w:cols w:space="720"/>
          <w:docGrid w:linePitch="360"/>
        </w:sectPr>
      </w:pPr>
    </w:p>
    <w:p w14:paraId="467CB586" w14:textId="77777777" w:rsidR="000353A6" w:rsidRPr="00671E8F" w:rsidRDefault="000353A6" w:rsidP="000353A6">
      <w:pPr>
        <w:rPr>
          <w:rStyle w:val="rynqvb"/>
        </w:rPr>
      </w:pPr>
      <w:r w:rsidRPr="00671E8F">
        <w:rPr>
          <w:rStyle w:val="rynqvb"/>
        </w:rPr>
        <w:lastRenderedPageBreak/>
        <w:t>Процењује се да ће тржиште рада остати отпорно и снажно, иако ће раст запослености успорити у поређењу са претходним годинама. Раст номиналних плата ће постепено успоравати, али ће и даље бити висок, због чега ће реалне зараде досегнути нивое који су били уобичајени пре снажног повећања инфлације. Очекује се да ће раст продуктивности рада ојачати током хоризонта пројекције, али ће нивои продуктивности и даље остати испод дугорочног линеарног тренда.</w:t>
      </w:r>
    </w:p>
    <w:p w14:paraId="394CA3FB" w14:textId="469F6C97" w:rsidR="000353A6" w:rsidRPr="00671E8F" w:rsidRDefault="000353A6" w:rsidP="000353A6">
      <w:pPr>
        <w:rPr>
          <w:bCs/>
        </w:rPr>
      </w:pPr>
      <w:r w:rsidRPr="00671E8F">
        <w:rPr>
          <w:bCs/>
        </w:rPr>
        <w:t>Просечна инфл</w:t>
      </w:r>
      <w:r w:rsidR="00160B6D" w:rsidRPr="00671E8F">
        <w:rPr>
          <w:bCs/>
        </w:rPr>
        <w:t>ација у 2024. години износиће 2,</w:t>
      </w:r>
      <w:r w:rsidRPr="00671E8F">
        <w:rPr>
          <w:bCs/>
        </w:rPr>
        <w:t xml:space="preserve">5%, што је ниже у поређењу са претходним годинама, али и даље изнад дугорочног циља од 2,0%. У 2025. години инфлација би требало да </w:t>
      </w:r>
      <w:r w:rsidR="00516024" w:rsidRPr="00671E8F">
        <w:rPr>
          <w:bCs/>
        </w:rPr>
        <w:t>опадне на 2.2%, а до 2026. на 1,</w:t>
      </w:r>
      <w:r w:rsidRPr="00671E8F">
        <w:rPr>
          <w:bCs/>
        </w:rPr>
        <w:t>9%, што је у складу са претходним пројекцијама. Главни фактори који доприносе успоравању инфлације обухватају смањење цена енергената, као и ефекте пооштрене монетарне политике из претходног периода. Иако раст цена услуга и зарада остаје релативно висок, њихов утицај на инфлацију се постепено смањује. Очекује се да ћ</w:t>
      </w:r>
      <w:r w:rsidR="009B72CF" w:rsidRPr="00671E8F">
        <w:rPr>
          <w:bCs/>
        </w:rPr>
        <w:t>е базна инфлација успорити са 2,9% у 2024. години на 2,</w:t>
      </w:r>
      <w:r w:rsidRPr="00671E8F">
        <w:rPr>
          <w:bCs/>
        </w:rPr>
        <w:t>3% у 2025, а затим на 2% у 2026. години, што указује на даље постепено опадање инфлаторних притисака ​.</w:t>
      </w:r>
    </w:p>
    <w:p w14:paraId="4C3BA6E7" w14:textId="2533F0EE" w:rsidR="000353A6" w:rsidRPr="00671E8F" w:rsidRDefault="000353A6" w:rsidP="000353A6">
      <w:r w:rsidRPr="00671E8F">
        <w:rPr>
          <w:bCs/>
        </w:rPr>
        <w:t xml:space="preserve">Ризици по остварење пројекције тичу се геополитичких тензија и ескалација сукоба на Блиском истоку и Црвеном мору, што би могло довести до неизвесности у погледу кретања цена добара, а посебно енергената, са потенцијалним негативним </w:t>
      </w:r>
      <w:r w:rsidR="00984A71" w:rsidRPr="00671E8F">
        <w:rPr>
          <w:bCs/>
        </w:rPr>
        <w:t xml:space="preserve">ефектима на инфлацију. Такође, </w:t>
      </w:r>
      <w:r w:rsidRPr="00671E8F">
        <w:rPr>
          <w:bCs/>
        </w:rPr>
        <w:t xml:space="preserve">сукоб Украјине и Русије би могао довести до даљег пада поверења потрошача, што би могло имати </w:t>
      </w:r>
      <w:r w:rsidRPr="00671E8F">
        <w:rPr>
          <w:bCs/>
        </w:rPr>
        <w:t xml:space="preserve">негативне последице на приватну потрошњу, стамбене инвестиције и штедњу становништва. </w:t>
      </w:r>
    </w:p>
    <w:p w14:paraId="277EDA24" w14:textId="38F990CC" w:rsidR="000353A6" w:rsidRPr="00671E8F" w:rsidRDefault="001D20DE" w:rsidP="000353A6">
      <w:pPr>
        <w:rPr>
          <w:bCs/>
        </w:rPr>
      </w:pPr>
      <w:r w:rsidRPr="00671E8F">
        <w:rPr>
          <w:bCs/>
        </w:rPr>
        <w:t>Ефекти заоштравања</w:t>
      </w:r>
      <w:r w:rsidR="00984A71" w:rsidRPr="00671E8F">
        <w:rPr>
          <w:bCs/>
        </w:rPr>
        <w:t xml:space="preserve"> </w:t>
      </w:r>
      <w:r w:rsidR="000353A6" w:rsidRPr="00671E8F">
        <w:rPr>
          <w:bCs/>
        </w:rPr>
        <w:t>фискалн</w:t>
      </w:r>
      <w:r w:rsidRPr="00671E8F">
        <w:rPr>
          <w:bCs/>
        </w:rPr>
        <w:t>е</w:t>
      </w:r>
      <w:r w:rsidR="000353A6" w:rsidRPr="00671E8F">
        <w:rPr>
          <w:bCs/>
        </w:rPr>
        <w:t xml:space="preserve"> политик</w:t>
      </w:r>
      <w:r w:rsidRPr="00671E8F">
        <w:rPr>
          <w:bCs/>
        </w:rPr>
        <w:t>е</w:t>
      </w:r>
      <w:r w:rsidR="000353A6" w:rsidRPr="00671E8F">
        <w:rPr>
          <w:bCs/>
        </w:rPr>
        <w:t xml:space="preserve"> </w:t>
      </w:r>
      <w:r w:rsidRPr="00671E8F">
        <w:rPr>
          <w:bCs/>
        </w:rPr>
        <w:t xml:space="preserve">земаља </w:t>
      </w:r>
      <w:r w:rsidR="000353A6" w:rsidRPr="00671E8F">
        <w:rPr>
          <w:bCs/>
        </w:rPr>
        <w:t xml:space="preserve">еврозоне </w:t>
      </w:r>
      <w:r w:rsidRPr="00671E8F">
        <w:rPr>
          <w:bCs/>
        </w:rPr>
        <w:t>ће бити</w:t>
      </w:r>
      <w:r w:rsidR="000353A6" w:rsidRPr="00671E8F">
        <w:rPr>
          <w:bCs/>
        </w:rPr>
        <w:t xml:space="preserve"> нешто слабиј</w:t>
      </w:r>
      <w:r w:rsidRPr="00671E8F">
        <w:rPr>
          <w:bCs/>
        </w:rPr>
        <w:t>и</w:t>
      </w:r>
      <w:r w:rsidR="000353A6" w:rsidRPr="00671E8F">
        <w:rPr>
          <w:bCs/>
        </w:rPr>
        <w:t xml:space="preserve"> </w:t>
      </w:r>
      <w:r w:rsidRPr="00671E8F">
        <w:rPr>
          <w:bCs/>
        </w:rPr>
        <w:t>од претходних процена</w:t>
      </w:r>
      <w:r w:rsidR="000353A6" w:rsidRPr="00671E8F">
        <w:rPr>
          <w:bCs/>
        </w:rPr>
        <w:t>. Пооштравање фискалне политике током 2024. године односи се на укидање мера уведених током енергетске кризе. Фискални дефицит еврозоне би требало да опада из године у годину, достижући референтну вредност од 3% у 2026. години. Пројектује се да ће учешће јавног дуга у БДП еврозоне бити на узлазној путањи током пројекционог периода, будући да се очекује да повољне разлике између раста економије и каматних стопа буду више него компензоване утицајем континуираних примарних дефицита и новог задуживања. Учешће дуга у БДП је ревидирано навише у односу на претходну пројекцију, па се очекује да ће у 2026. години износити 89,8% БДП.</w:t>
      </w:r>
    </w:p>
    <w:p w14:paraId="70EC8E74" w14:textId="2D8FB231" w:rsidR="000353A6" w:rsidRPr="00671E8F" w:rsidRDefault="00F229D0" w:rsidP="000353A6">
      <w:pPr>
        <w:rPr>
          <w:rFonts w:cstheme="minorHAnsi"/>
          <w:bCs/>
          <w:color w:val="FF0000"/>
          <w:szCs w:val="72"/>
        </w:rPr>
        <w:sectPr w:rsidR="000353A6" w:rsidRPr="00671E8F" w:rsidSect="000353A6">
          <w:headerReference w:type="even" r:id="rId42"/>
          <w:footerReference w:type="even" r:id="rId43"/>
          <w:footerReference w:type="default" r:id="rId44"/>
          <w:headerReference w:type="first" r:id="rId45"/>
          <w:footerReference w:type="first" r:id="rId46"/>
          <w:type w:val="continuous"/>
          <w:pgSz w:w="12240" w:h="15840"/>
          <w:pgMar w:top="1440" w:right="1440" w:bottom="1440" w:left="1440" w:header="708" w:footer="708" w:gutter="0"/>
          <w:cols w:num="2" w:space="708"/>
          <w:docGrid w:linePitch="360"/>
        </w:sectPr>
      </w:pPr>
      <w:r w:rsidRPr="00671E8F">
        <w:rPr>
          <w:bCs/>
        </w:rPr>
        <w:t>Након девет месеци одржавања каматних стопа на истом нивоу, ЕЦБ је на састанку у јуну 2024. године, снизила референтну каматну стопу за 0,25</w:t>
      </w:r>
      <w:r w:rsidR="00984A71" w:rsidRPr="00671E8F">
        <w:rPr>
          <w:bCs/>
        </w:rPr>
        <w:t xml:space="preserve"> </w:t>
      </w:r>
      <w:r w:rsidRPr="00671E8F">
        <w:rPr>
          <w:bCs/>
        </w:rPr>
        <w:t>п.п</w:t>
      </w:r>
      <w:r w:rsidR="00984A71" w:rsidRPr="00671E8F">
        <w:rPr>
          <w:bCs/>
        </w:rPr>
        <w:t>.</w:t>
      </w:r>
      <w:r w:rsidRPr="00671E8F">
        <w:rPr>
          <w:bCs/>
        </w:rPr>
        <w:t xml:space="preserve"> на ниво од 4,25%, док је каматну стопу на кредитне и депозитне олакшице снизила на 4,50% и 3,75%, респективно, што представља прво попуштање монетарних услова од септембра 2019. године. </w:t>
      </w:r>
      <w:r w:rsidR="007A770A" w:rsidRPr="00671E8F">
        <w:rPr>
          <w:bCs/>
        </w:rPr>
        <w:t>Након ублажавања монетарне политике у септембру,</w:t>
      </w:r>
      <w:r w:rsidRPr="00671E8F">
        <w:rPr>
          <w:bCs/>
        </w:rPr>
        <w:t xml:space="preserve"> Савет гувернера ЕЦБ је</w:t>
      </w:r>
      <w:r w:rsidR="007A770A" w:rsidRPr="00671E8F">
        <w:rPr>
          <w:bCs/>
        </w:rPr>
        <w:t xml:space="preserve"> и у октобру по трећи пут</w:t>
      </w:r>
      <w:r w:rsidRPr="00671E8F">
        <w:rPr>
          <w:bCs/>
        </w:rPr>
        <w:t xml:space="preserve"> </w:t>
      </w:r>
      <w:r w:rsidR="004C5BFA" w:rsidRPr="00671E8F">
        <w:rPr>
          <w:bCs/>
        </w:rPr>
        <w:t xml:space="preserve">ове године </w:t>
      </w:r>
      <w:r w:rsidRPr="00671E8F">
        <w:rPr>
          <w:bCs/>
        </w:rPr>
        <w:t>смањио референтну каматну стопу</w:t>
      </w:r>
      <w:r w:rsidR="007A770A" w:rsidRPr="00671E8F">
        <w:rPr>
          <w:bCs/>
        </w:rPr>
        <w:t>,</w:t>
      </w:r>
      <w:r w:rsidR="00793531" w:rsidRPr="00671E8F">
        <w:rPr>
          <w:bCs/>
        </w:rPr>
        <w:t xml:space="preserve"> на ниво од 3,40%</w:t>
      </w:r>
      <w:r w:rsidRPr="00671E8F">
        <w:rPr>
          <w:bCs/>
        </w:rPr>
        <w:t>, док је каматну стопу на кредитне и депозитне олакшице снизио на 3,65% и 3,25%, респективно. ЕЦБ ће и у наредним месецима наставити да прати глобална кретања и усклађује монетарну политику како би осигурала повратак инфлације на циљаних 2,0% у средњорочном периоду.</w:t>
      </w:r>
    </w:p>
    <w:p w14:paraId="3E21DF8B" w14:textId="77777777" w:rsidR="000353A6" w:rsidRPr="00671E8F" w:rsidRDefault="000353A6" w:rsidP="000353A6">
      <w:pPr>
        <w:rPr>
          <w:rFonts w:cstheme="minorHAnsi"/>
          <w:bCs/>
          <w:color w:val="FF0000"/>
          <w:szCs w:val="72"/>
        </w:rPr>
      </w:pPr>
    </w:p>
    <w:bookmarkEnd w:id="6"/>
    <w:bookmarkEnd w:id="7"/>
    <w:p w14:paraId="3489A473" w14:textId="77777777" w:rsidR="000353A6" w:rsidRPr="00671E8F" w:rsidRDefault="000353A6">
      <w:pPr>
        <w:jc w:val="left"/>
        <w:rPr>
          <w:color w:val="FF0000"/>
          <w:highlight w:val="yellow"/>
        </w:rPr>
      </w:pPr>
    </w:p>
    <w:p w14:paraId="21630CF9" w14:textId="35106A24" w:rsidR="000353A6" w:rsidRPr="00671E8F" w:rsidRDefault="000353A6" w:rsidP="00AD6DF6"/>
    <w:p w14:paraId="51C4AF15" w14:textId="4C29E3E3" w:rsidR="000353A6" w:rsidRPr="00671E8F" w:rsidRDefault="000353A6" w:rsidP="00AD6DF6"/>
    <w:p w14:paraId="7E1847AA" w14:textId="1AE64A72" w:rsidR="000353A6" w:rsidRPr="00671E8F" w:rsidRDefault="000353A6" w:rsidP="00AD6DF6"/>
    <w:p w14:paraId="0FC2C39F" w14:textId="0AD12FC3" w:rsidR="00E14C43" w:rsidRPr="00671E8F" w:rsidRDefault="00E14C43" w:rsidP="00AD6DF6"/>
    <w:p w14:paraId="16221054" w14:textId="5A962FD4" w:rsidR="00E14C43" w:rsidRPr="00671E8F" w:rsidRDefault="00E14C43" w:rsidP="00AD6DF6"/>
    <w:p w14:paraId="3F060882" w14:textId="77777777" w:rsidR="000353A6" w:rsidRPr="00671E8F" w:rsidRDefault="000353A6" w:rsidP="001476C8">
      <w:pPr>
        <w:pStyle w:val="Heading2"/>
        <w:jc w:val="center"/>
        <w:rPr>
          <w:rFonts w:asciiTheme="minorHAnsi" w:hAnsiTheme="minorHAnsi" w:cstheme="minorHAnsi"/>
          <w:b/>
          <w:sz w:val="24"/>
        </w:rPr>
      </w:pPr>
      <w:bookmarkStart w:id="11" w:name="_Toc530041994"/>
      <w:bookmarkStart w:id="12" w:name="_Toc23342462"/>
      <w:bookmarkStart w:id="13" w:name="_Toc119654142"/>
      <w:bookmarkStart w:id="14" w:name="_Toc135994498"/>
      <w:bookmarkStart w:id="15" w:name="_Toc146277913"/>
      <w:bookmarkStart w:id="16" w:name="_Toc148431266"/>
      <w:bookmarkStart w:id="17" w:name="_Toc181190965"/>
      <w:r w:rsidRPr="00671E8F">
        <w:rPr>
          <w:rFonts w:asciiTheme="minorHAnsi" w:hAnsiTheme="minorHAnsi" w:cstheme="minorHAnsi"/>
          <w:b/>
          <w:sz w:val="24"/>
        </w:rPr>
        <w:lastRenderedPageBreak/>
        <w:t>3. Текућа макроекономска кретања у Републици Србији и изгледи</w:t>
      </w:r>
      <w:r w:rsidRPr="00671E8F">
        <w:rPr>
          <w:rFonts w:asciiTheme="minorHAnsi" w:hAnsiTheme="minorHAnsi" w:cstheme="minorHAnsi"/>
          <w:b/>
          <w:sz w:val="24"/>
        </w:rPr>
        <w:br w:type="textWrapping" w:clear="all"/>
        <w:t>за период 2025–2027. године</w:t>
      </w:r>
      <w:bookmarkEnd w:id="11"/>
      <w:bookmarkEnd w:id="12"/>
      <w:bookmarkEnd w:id="13"/>
      <w:bookmarkEnd w:id="14"/>
      <w:bookmarkEnd w:id="15"/>
      <w:bookmarkEnd w:id="16"/>
      <w:bookmarkEnd w:id="17"/>
    </w:p>
    <w:p w14:paraId="65813A11" w14:textId="77777777" w:rsidR="000353A6" w:rsidRPr="00671E8F" w:rsidRDefault="000353A6" w:rsidP="000353A6">
      <w:pPr>
        <w:spacing w:after="120"/>
        <w:rPr>
          <w:sz w:val="22"/>
        </w:rPr>
      </w:pPr>
      <w:r w:rsidRPr="00671E8F">
        <w:rPr>
          <w:rFonts w:cstheme="minorHAnsi"/>
          <w:noProof/>
          <w:color w:val="FF0000"/>
          <w:sz w:val="22"/>
          <w:lang w:val="en-US"/>
        </w:rPr>
        <mc:AlternateContent>
          <mc:Choice Requires="wps">
            <w:drawing>
              <wp:anchor distT="0" distB="0" distL="114300" distR="114300" simplePos="0" relativeHeight="251693568" behindDoc="1" locked="0" layoutInCell="1" allowOverlap="1" wp14:anchorId="16BAC6C6" wp14:editId="166864B6">
                <wp:simplePos x="0" y="0"/>
                <wp:positionH relativeFrom="margin">
                  <wp:posOffset>-198783</wp:posOffset>
                </wp:positionH>
                <wp:positionV relativeFrom="paragraph">
                  <wp:posOffset>169628</wp:posOffset>
                </wp:positionV>
                <wp:extent cx="6334760" cy="7625301"/>
                <wp:effectExtent l="0" t="0" r="8890" b="0"/>
                <wp:wrapNone/>
                <wp:docPr id="65" name="Rectangle 65"/>
                <wp:cNvGraphicFramePr/>
                <a:graphic xmlns:a="http://schemas.openxmlformats.org/drawingml/2006/main">
                  <a:graphicData uri="http://schemas.microsoft.com/office/word/2010/wordprocessingShape">
                    <wps:wsp>
                      <wps:cNvSpPr/>
                      <wps:spPr>
                        <a:xfrm>
                          <a:off x="0" y="0"/>
                          <a:ext cx="6334760" cy="7625301"/>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2E09F" id="Rectangle 65" o:spid="_x0000_s1026" style="position:absolute;margin-left:-15.65pt;margin-top:13.35pt;width:498.8pt;height:600.4pt;z-index:-251622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" fillcolor="#d8d8d8 [2732]" stroked="f" strokeweight="1pt">
                <v:fill r:id="rId47" o:title="" color2="white [3212]" type="pattern"/>
                <w10:wrap anchorx="margin"/>
              </v:rect>
            </w:pict>
          </mc:Fallback>
        </mc:AlternateContent>
      </w:r>
    </w:p>
    <w:p w14:paraId="299D8C06" w14:textId="77777777" w:rsidR="000353A6" w:rsidRPr="00671E8F" w:rsidRDefault="000353A6" w:rsidP="000353A6">
      <w:pPr>
        <w:spacing w:after="120"/>
        <w:rPr>
          <w:sz w:val="22"/>
        </w:rPr>
        <w:sectPr w:rsidR="000353A6" w:rsidRPr="00671E8F" w:rsidSect="000353A6">
          <w:headerReference w:type="default" r:id="rId48"/>
          <w:footerReference w:type="default" r:id="rId49"/>
          <w:headerReference w:type="first" r:id="rId50"/>
          <w:type w:val="continuous"/>
          <w:pgSz w:w="12240" w:h="15840" w:code="1"/>
          <w:pgMar w:top="1440" w:right="1440" w:bottom="1440" w:left="1440" w:header="720" w:footer="720" w:gutter="0"/>
          <w:cols w:space="720"/>
          <w:titlePg/>
          <w:docGrid w:linePitch="360"/>
        </w:sectPr>
      </w:pPr>
    </w:p>
    <w:p w14:paraId="1C118099" w14:textId="76BBAAD7" w:rsidR="000353A6" w:rsidRPr="00671E8F" w:rsidRDefault="000353A6" w:rsidP="000353A6">
      <w:pPr>
        <w:rPr>
          <w:rFonts w:cstheme="minorHAnsi"/>
          <w:bCs/>
          <w:color w:val="0070C0"/>
          <w:szCs w:val="72"/>
        </w:rPr>
      </w:pPr>
      <w:r w:rsidRPr="00671E8F">
        <w:rPr>
          <w:rFonts w:cstheme="minorHAnsi"/>
          <w:bCs/>
          <w:color w:val="0070C0"/>
          <w:szCs w:val="72"/>
        </w:rPr>
        <w:t>Координиране мере фискалне и монетарне политике захваљујући којима је у претходном периоду очувана макроекономска стабилност и креиране резерве за случај шокова, заједно са широко распрострањеним</w:t>
      </w:r>
      <w:r w:rsidR="00315B0D" w:rsidRPr="00671E8F">
        <w:rPr>
          <w:rFonts w:cstheme="minorHAnsi"/>
          <w:bCs/>
          <w:color w:val="0070C0"/>
          <w:szCs w:val="72"/>
        </w:rPr>
        <w:t xml:space="preserve"> СДИ</w:t>
      </w:r>
      <w:r w:rsidRPr="00671E8F">
        <w:rPr>
          <w:rFonts w:cstheme="minorHAnsi"/>
          <w:bCs/>
          <w:color w:val="0070C0"/>
          <w:szCs w:val="72"/>
        </w:rPr>
        <w:t xml:space="preserve"> и убрзаном изградњом инфраструктуре, омогућили су привреди да успешно амортизује ефекте вишедимензионалне кризе која траје већ четири године. Србија је током претходног периода успела да сачува стабилност своје економије и поверење потрошача и инвеститора, о чему сведочи и позитивна оцена ММФ током разговора приликом четвртог разматрања резултата спровођења договореног економског програма у оквиру стендбај аранжмана. Повољни макроекономски изгледи земље и повећана отпорности на спољне шокове препознати су и од стране кредитне агенције</w:t>
      </w:r>
      <w:r w:rsidR="00984A71" w:rsidRPr="00671E8F">
        <w:rPr>
          <w:rFonts w:cstheme="minorHAnsi"/>
          <w:bCs/>
          <w:color w:val="0070C0"/>
          <w:szCs w:val="72"/>
        </w:rPr>
        <w:t xml:space="preserve"> </w:t>
      </w:r>
      <w:r w:rsidRPr="00671E8F">
        <w:rPr>
          <w:rFonts w:cstheme="minorHAnsi"/>
          <w:bCs/>
          <w:color w:val="0070C0"/>
          <w:szCs w:val="72"/>
        </w:rPr>
        <w:t>Standard and Poor’s која је у октобру повећала кредитни рејтинг Србије на ниво „БББ-", чиме је Србија по први пут у својој историји сврстана међу земље с кредитним рејтингом инвестиционог ранга.</w:t>
      </w:r>
      <w:r w:rsidRPr="00671E8F">
        <w:t xml:space="preserve"> </w:t>
      </w:r>
    </w:p>
    <w:p w14:paraId="667F2CD2" w14:textId="752D2AE8" w:rsidR="000353A6" w:rsidRPr="00671E8F" w:rsidRDefault="000353A6" w:rsidP="008527D6">
      <w:pPr>
        <w:rPr>
          <w:rFonts w:cstheme="minorHAnsi"/>
          <w:bCs/>
          <w:color w:val="0070C0"/>
          <w:szCs w:val="72"/>
        </w:rPr>
      </w:pPr>
      <w:r w:rsidRPr="00671E8F">
        <w:rPr>
          <w:rFonts w:cstheme="minorHAnsi"/>
          <w:bCs/>
          <w:color w:val="0070C0"/>
          <w:szCs w:val="72"/>
        </w:rPr>
        <w:t xml:space="preserve">Макроекономска кретања током 2024. године генерално су у складу са очекиваним из претходне Фискалне стратегије. Полазећи од текућих трендова у погледу кретања привредне активности, узимајући у обзир донете мере економске политике, као и ефекте наставка реализације инфраструктурних пројеката додатно подржаних новим инвестиционим циклусом у оквиру програма „Скок у будућност – Србија 2027”, уз уважавање економских изгледа најважнијих спољнотрговинских партнера, Министарство финансија очекује раст БДП у 2024. години од 3,8%, док се у 2025. години очекује убрзање на 4,2%, што је непромењено у односу на претходна очекивања. Након рекордно ниске вредности учешћа дефицита текућег рачуна у БДП у претходној години, у 2024. и 2025. години се очекује раст на 4,4% БДП, односно 5,2% БДП, пре свега услед очекиваног убрзања инвестиционог циклуса. Инфлација се од маја 2024. године налази </w:t>
      </w:r>
      <w:r w:rsidRPr="00671E8F">
        <w:rPr>
          <w:rFonts w:cstheme="minorHAnsi"/>
          <w:bCs/>
          <w:color w:val="0070C0"/>
          <w:szCs w:val="72"/>
        </w:rPr>
        <w:t>у границама циља и у септембру 2024. године је износила 4,2%.</w:t>
      </w:r>
      <w:r w:rsidR="00984A71" w:rsidRPr="00671E8F">
        <w:rPr>
          <w:rFonts w:cstheme="minorHAnsi"/>
          <w:bCs/>
          <w:color w:val="0070C0"/>
          <w:szCs w:val="72"/>
        </w:rPr>
        <w:t xml:space="preserve"> </w:t>
      </w:r>
      <w:r w:rsidRPr="00671E8F">
        <w:rPr>
          <w:rFonts w:cstheme="minorHAnsi"/>
          <w:bCs/>
          <w:color w:val="0070C0"/>
          <w:szCs w:val="72"/>
        </w:rPr>
        <w:t>Наставак смањења међугодишње инфлације очекује се и у наредном периоду, тако да се у 2025. години процењује да ће просечна инфлација износити 3,5%. Томе ће допринети ефекти претходног заоштравања монетарних услова, успоравање увозне инфлације, још увек ниска екстерна тражња, као и наставак смањења инфлационих очекивања. Фискална кретања у 2024. години карактеришу већи приходи од иницијално очекиваних</w:t>
      </w:r>
      <w:r w:rsidR="00FA4C23" w:rsidRPr="00671E8F">
        <w:rPr>
          <w:rFonts w:cstheme="minorHAnsi"/>
          <w:bCs/>
          <w:color w:val="0070C0"/>
          <w:szCs w:val="72"/>
        </w:rPr>
        <w:t>,</w:t>
      </w:r>
      <w:r w:rsidRPr="00671E8F">
        <w:rPr>
          <w:rFonts w:cstheme="minorHAnsi"/>
          <w:bCs/>
          <w:color w:val="0070C0"/>
          <w:szCs w:val="72"/>
        </w:rPr>
        <w:t xml:space="preserve"> пре свега као резултат повољних кретања на тржишту рада која позитивно утичу на наплату свих прихода од пореза на потрошњу. Остварена профитабилност привредних друштава у 2023. години и наплата пореза на добит у текућој години, су значајан фактор ревизије прихода у 2024. години навише. С друге стране, значајно су већи и јавни расходи, пре свега као последица додатних издвајања за капиталне инвестиције у циљу бржег развоја земље и трајног повећања потенцијала привреде. Оваква динамика фискалних прихода и расхода одражава се и на нешто већи дефицит</w:t>
      </w:r>
      <w:r w:rsidR="00254FF3" w:rsidRPr="00671E8F">
        <w:rPr>
          <w:rFonts w:cstheme="minorHAnsi"/>
          <w:bCs/>
          <w:color w:val="0070C0"/>
          <w:szCs w:val="72"/>
        </w:rPr>
        <w:t xml:space="preserve"> сектора државе</w:t>
      </w:r>
      <w:r w:rsidRPr="00671E8F">
        <w:rPr>
          <w:rFonts w:cstheme="minorHAnsi"/>
          <w:bCs/>
          <w:color w:val="0070C0"/>
          <w:szCs w:val="72"/>
        </w:rPr>
        <w:t>, који и даље обезбеђује опадајућу путању учешћа јавног дуга у БДП.</w:t>
      </w:r>
    </w:p>
    <w:p w14:paraId="37E759D1" w14:textId="77777777" w:rsidR="000353A6" w:rsidRPr="00671E8F" w:rsidRDefault="000353A6" w:rsidP="008527D6">
      <w:pPr>
        <w:rPr>
          <w:rFonts w:cstheme="minorHAnsi"/>
          <w:bCs/>
          <w:color w:val="0070C0"/>
          <w:szCs w:val="72"/>
        </w:rPr>
      </w:pPr>
      <w:r w:rsidRPr="00671E8F">
        <w:rPr>
          <w:rFonts w:cstheme="minorHAnsi"/>
          <w:bCs/>
          <w:color w:val="0070C0"/>
          <w:szCs w:val="72"/>
        </w:rPr>
        <w:t>Неизвесност присутна код пројекција датих у овом документу остаје далеко већа од уобичајене због природе и обима потенцијалних шокова на глобалном нивоу. Ризици макроекономског оквира у највећој мери потичу од неизвесности у погледу развоја ситуације у Украјини и на Блиском истоку, као и утицаја нових међународних економских и политичких односа. Влада континуирано доноси мере које имају за циљ ублажавање последица неповољног утицаја међународног окружења на привреду и становништво и очување енергетске стабилности. Оваква оријентација остаће у фокусу креатора економске политике и у наредном периоду, а задржавање опадајуће путање учешћа јавног дуга у БДП биће и даље основно сидро за вођење фискалне политике.</w:t>
      </w:r>
    </w:p>
    <w:p w14:paraId="416D857C" w14:textId="77777777" w:rsidR="000353A6" w:rsidRPr="00671E8F" w:rsidRDefault="000353A6" w:rsidP="008527D6">
      <w:pPr>
        <w:rPr>
          <w:rFonts w:cstheme="minorHAnsi"/>
          <w:bCs/>
          <w:color w:val="FF0000"/>
          <w:szCs w:val="72"/>
        </w:rPr>
        <w:sectPr w:rsidR="000353A6" w:rsidRPr="00671E8F" w:rsidSect="000353A6">
          <w:type w:val="continuous"/>
          <w:pgSz w:w="12240" w:h="15840" w:code="1"/>
          <w:pgMar w:top="1440" w:right="1440" w:bottom="1440" w:left="1440" w:header="720" w:footer="720" w:gutter="0"/>
          <w:cols w:num="2" w:space="720"/>
          <w:docGrid w:linePitch="360"/>
        </w:sectPr>
      </w:pPr>
    </w:p>
    <w:p w14:paraId="21A6C8BB" w14:textId="77777777" w:rsidR="000353A6" w:rsidRPr="00671E8F" w:rsidRDefault="000353A6" w:rsidP="000353A6">
      <w:pPr>
        <w:spacing w:after="0"/>
        <w:jc w:val="left"/>
        <w:rPr>
          <w:rFonts w:cstheme="minorHAnsi"/>
          <w:b/>
          <w:color w:val="002060"/>
          <w:spacing w:val="-6"/>
          <w:sz w:val="6"/>
        </w:rPr>
      </w:pPr>
      <w:r w:rsidRPr="00671E8F">
        <w:rPr>
          <w:rFonts w:cstheme="minorHAnsi"/>
          <w:color w:val="002060"/>
          <w:spacing w:val="-6"/>
          <w:sz w:val="6"/>
        </w:rPr>
        <w:br w:type="page"/>
      </w:r>
    </w:p>
    <w:p w14:paraId="166F69E1" w14:textId="77777777" w:rsidR="000353A6" w:rsidRPr="00671E8F" w:rsidRDefault="000353A6" w:rsidP="00B435B3">
      <w:pPr>
        <w:pStyle w:val="NoSpacing"/>
        <w:jc w:val="center"/>
        <w:rPr>
          <w:rFonts w:cstheme="minorHAnsi"/>
          <w:color w:val="002060"/>
          <w:spacing w:val="-6"/>
          <w:lang w:val="sr-Cyrl-CS"/>
        </w:rPr>
      </w:pPr>
      <w:r w:rsidRPr="00671E8F">
        <w:rPr>
          <w:rFonts w:cstheme="minorHAnsi"/>
          <w:color w:val="002060"/>
          <w:spacing w:val="-6"/>
          <w:lang w:val="sr-Cyrl-CS"/>
        </w:rPr>
        <w:lastRenderedPageBreak/>
        <w:t>Ревизија кретања основних макроекономских агрегата у односу на претходну Фискалну стратегију</w:t>
      </w:r>
    </w:p>
    <w:p w14:paraId="4B3D9C34" w14:textId="77777777" w:rsidR="000353A6" w:rsidRPr="00671E8F" w:rsidRDefault="000353A6" w:rsidP="00B435B3">
      <w:pPr>
        <w:spacing w:after="0"/>
        <w:rPr>
          <w:color w:val="002060"/>
          <w:sz w:val="10"/>
        </w:rPr>
      </w:pPr>
    </w:p>
    <w:p w14:paraId="159E4AF7" w14:textId="77777777" w:rsidR="000353A6" w:rsidRPr="00671E8F" w:rsidRDefault="000353A6" w:rsidP="00B435B3">
      <w:pPr>
        <w:jc w:val="center"/>
        <w:rPr>
          <w:b/>
          <w:color w:val="002060"/>
          <w:szCs w:val="21"/>
        </w:rPr>
      </w:pPr>
      <w:r w:rsidRPr="00671E8F">
        <w:rPr>
          <w:b/>
          <w:color w:val="002060"/>
          <w:szCs w:val="21"/>
        </w:rPr>
        <w:t>Реални раст БДП, %</w:t>
      </w:r>
    </w:p>
    <w:p w14:paraId="74AE9190" w14:textId="77777777" w:rsidR="000353A6" w:rsidRPr="00671E8F" w:rsidRDefault="000353A6" w:rsidP="00B435B3">
      <w:pPr>
        <w:spacing w:after="0"/>
      </w:pPr>
      <w:r w:rsidRPr="00671E8F">
        <w:t xml:space="preserve"> </w:t>
      </w:r>
      <w:r w:rsidRPr="00671E8F">
        <w:rPr>
          <w:noProof/>
          <w:lang w:val="en-US"/>
        </w:rPr>
        <w:drawing>
          <wp:inline distT="0" distB="0" distL="0" distR="0" wp14:anchorId="3DEC583C" wp14:editId="2F01BF87">
            <wp:extent cx="1332000" cy="1224000"/>
            <wp:effectExtent l="0" t="0" r="0" b="0"/>
            <wp:docPr id="12" name="Chart 12">
              <a:extLst xmlns:a="http://schemas.openxmlformats.org/drawingml/2006/main">
                <a:ext uri="{FF2B5EF4-FFF2-40B4-BE49-F238E27FC236}">
                  <a16:creationId xmlns:a16="http://schemas.microsoft.com/office/drawing/2014/main" id="{00000000-0008-0000-0A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Pr="00671E8F">
        <w:t xml:space="preserve"> </w:t>
      </w:r>
      <w:r w:rsidRPr="00671E8F">
        <w:rPr>
          <w:noProof/>
          <w:lang w:val="en-US"/>
        </w:rPr>
        <w:drawing>
          <wp:inline distT="0" distB="0" distL="0" distR="0" wp14:anchorId="711D6DB0" wp14:editId="1105FC5D">
            <wp:extent cx="1332000" cy="1224000"/>
            <wp:effectExtent l="0" t="0" r="0" b="0"/>
            <wp:docPr id="27" name="Chart 27">
              <a:extLst xmlns:a="http://schemas.openxmlformats.org/drawingml/2006/main">
                <a:ext uri="{FF2B5EF4-FFF2-40B4-BE49-F238E27FC236}">
                  <a16:creationId xmlns:a16="http://schemas.microsoft.com/office/drawing/2014/main" id="{00000000-0008-0000-0A00-00002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813251D" w14:textId="77777777" w:rsidR="000353A6" w:rsidRPr="00671E8F" w:rsidRDefault="000353A6" w:rsidP="00B435B3">
      <w:pPr>
        <w:spacing w:after="0"/>
      </w:pPr>
    </w:p>
    <w:p w14:paraId="4183C7A4" w14:textId="77777777" w:rsidR="000353A6" w:rsidRPr="00671E8F" w:rsidRDefault="000353A6" w:rsidP="008527D6">
      <w:pPr>
        <w:jc w:val="center"/>
        <w:rPr>
          <w:b/>
          <w:color w:val="002060"/>
          <w:szCs w:val="21"/>
        </w:rPr>
      </w:pPr>
      <w:r w:rsidRPr="00671E8F">
        <w:rPr>
          <w:b/>
          <w:color w:val="002060"/>
          <w:szCs w:val="21"/>
        </w:rPr>
        <w:t>Салдо текућег рачуна, % БДП</w:t>
      </w:r>
    </w:p>
    <w:p w14:paraId="778EACF3" w14:textId="1C1029BF" w:rsidR="000353A6" w:rsidRPr="00671E8F" w:rsidRDefault="00984A71" w:rsidP="000353A6">
      <w:pPr>
        <w:spacing w:after="0"/>
        <w:jc w:val="left"/>
      </w:pPr>
      <w:r w:rsidRPr="00671E8F">
        <w:t xml:space="preserve"> </w:t>
      </w:r>
      <w:r w:rsidR="000353A6" w:rsidRPr="00671E8F">
        <w:rPr>
          <w:noProof/>
          <w:lang w:val="en-US"/>
        </w:rPr>
        <w:drawing>
          <wp:inline distT="0" distB="0" distL="0" distR="0" wp14:anchorId="2DAF4657" wp14:editId="382A472E">
            <wp:extent cx="1332000" cy="1224000"/>
            <wp:effectExtent l="0" t="0" r="1905" b="0"/>
            <wp:docPr id="35" name="Chart 35">
              <a:extLst xmlns:a="http://schemas.openxmlformats.org/drawingml/2006/main">
                <a:ext uri="{FF2B5EF4-FFF2-40B4-BE49-F238E27FC236}">
                  <a16:creationId xmlns:a16="http://schemas.microsoft.com/office/drawing/2014/main" id="{00000000-0008-0000-0A00-00002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000353A6" w:rsidRPr="00671E8F">
        <w:rPr>
          <w:noProof/>
          <w:lang w:val="en-US"/>
        </w:rPr>
        <w:drawing>
          <wp:inline distT="0" distB="0" distL="0" distR="0" wp14:anchorId="48F985CE" wp14:editId="278EFE5D">
            <wp:extent cx="1332000" cy="1224000"/>
            <wp:effectExtent l="0" t="0" r="1905" b="0"/>
            <wp:docPr id="36" name="Chart 36">
              <a:extLst xmlns:a="http://schemas.openxmlformats.org/drawingml/2006/main">
                <a:ext uri="{FF2B5EF4-FFF2-40B4-BE49-F238E27FC236}">
                  <a16:creationId xmlns:a16="http://schemas.microsoft.com/office/drawing/2014/main" id="{00000000-0008-0000-0A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78DE655" w14:textId="77777777" w:rsidR="000353A6" w:rsidRPr="00671E8F" w:rsidRDefault="000353A6" w:rsidP="00B435B3">
      <w:pPr>
        <w:spacing w:after="0"/>
        <w:jc w:val="center"/>
        <w:rPr>
          <w:b/>
          <w:color w:val="002060"/>
          <w:szCs w:val="21"/>
        </w:rPr>
      </w:pPr>
      <w:r w:rsidRPr="00671E8F">
        <w:rPr>
          <w:b/>
          <w:color w:val="002060"/>
          <w:szCs w:val="21"/>
        </w:rPr>
        <w:t>Инфлација, просек периода, %</w:t>
      </w:r>
    </w:p>
    <w:p w14:paraId="59CA0EB0" w14:textId="671491EB" w:rsidR="000353A6" w:rsidRPr="00671E8F" w:rsidRDefault="00984A71" w:rsidP="00B435B3">
      <w:pPr>
        <w:spacing w:after="0"/>
      </w:pPr>
      <w:r w:rsidRPr="00671E8F">
        <w:t xml:space="preserve"> </w:t>
      </w:r>
      <w:r w:rsidR="000353A6" w:rsidRPr="00671E8F">
        <w:rPr>
          <w:noProof/>
          <w:lang w:val="en-US"/>
        </w:rPr>
        <w:drawing>
          <wp:inline distT="0" distB="0" distL="0" distR="0" wp14:anchorId="33C0F70C" wp14:editId="0CD26938">
            <wp:extent cx="1332000" cy="1008000"/>
            <wp:effectExtent l="0" t="0" r="0" b="0"/>
            <wp:docPr id="38" name="Chart 38">
              <a:extLst xmlns:a="http://schemas.openxmlformats.org/drawingml/2006/main">
                <a:ext uri="{FF2B5EF4-FFF2-40B4-BE49-F238E27FC236}">
                  <a16:creationId xmlns:a16="http://schemas.microsoft.com/office/drawing/2014/main" id="{00000000-0008-0000-0A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000353A6" w:rsidRPr="00671E8F">
        <w:rPr>
          <w:noProof/>
          <w:lang w:val="en-US"/>
        </w:rPr>
        <w:drawing>
          <wp:inline distT="0" distB="0" distL="0" distR="0" wp14:anchorId="7F1B455C" wp14:editId="5440C738">
            <wp:extent cx="1332000" cy="1008000"/>
            <wp:effectExtent l="0" t="0" r="0" b="0"/>
            <wp:docPr id="40" name="Chart 40">
              <a:extLst xmlns:a="http://schemas.openxmlformats.org/drawingml/2006/main">
                <a:ext uri="{FF2B5EF4-FFF2-40B4-BE49-F238E27FC236}">
                  <a16:creationId xmlns:a16="http://schemas.microsoft.com/office/drawing/2014/main" id="{00000000-0008-0000-0A00-00003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7A25E8A" w14:textId="77777777" w:rsidR="000353A6" w:rsidRPr="00671E8F" w:rsidRDefault="000353A6" w:rsidP="008527D6">
      <w:pPr>
        <w:spacing w:after="120"/>
        <w:rPr>
          <w:rFonts w:cstheme="minorHAnsi"/>
          <w:szCs w:val="72"/>
        </w:rPr>
      </w:pPr>
    </w:p>
    <w:p w14:paraId="6B119D7C" w14:textId="77777777" w:rsidR="000353A6" w:rsidRPr="00671E8F" w:rsidRDefault="000353A6" w:rsidP="008527D6">
      <w:pPr>
        <w:spacing w:after="0"/>
        <w:jc w:val="center"/>
        <w:rPr>
          <w:b/>
          <w:color w:val="002060"/>
          <w:szCs w:val="21"/>
        </w:rPr>
      </w:pPr>
      <w:r w:rsidRPr="00671E8F">
        <w:rPr>
          <w:b/>
          <w:color w:val="002060"/>
          <w:szCs w:val="21"/>
        </w:rPr>
        <w:t>Фискални резултат, % БДП</w:t>
      </w:r>
    </w:p>
    <w:p w14:paraId="1DD39795" w14:textId="38E8447E" w:rsidR="000353A6" w:rsidRPr="00671E8F" w:rsidRDefault="00984A71" w:rsidP="00B435B3">
      <w:pPr>
        <w:spacing w:after="0"/>
      </w:pPr>
      <w:r w:rsidRPr="00671E8F">
        <w:rPr>
          <w:lang w:eastAsia="en-GB"/>
        </w:rPr>
        <w:t xml:space="preserve"> </w:t>
      </w:r>
      <w:r w:rsidR="000353A6" w:rsidRPr="00671E8F">
        <w:rPr>
          <w:noProof/>
          <w:lang w:val="en-US"/>
        </w:rPr>
        <w:drawing>
          <wp:inline distT="0" distB="0" distL="0" distR="0" wp14:anchorId="54277F4B" wp14:editId="0A4B32D2">
            <wp:extent cx="1332000" cy="1224000"/>
            <wp:effectExtent l="0" t="0" r="1905" b="0"/>
            <wp:docPr id="41" name="Chart 41">
              <a:extLst xmlns:a="http://schemas.openxmlformats.org/drawingml/2006/main">
                <a:ext uri="{FF2B5EF4-FFF2-40B4-BE49-F238E27FC236}">
                  <a16:creationId xmlns:a16="http://schemas.microsoft.com/office/drawing/2014/main" id="{00000000-0008-0000-0A00-00003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r w:rsidR="000353A6" w:rsidRPr="00671E8F">
        <w:rPr>
          <w:noProof/>
          <w:lang w:val="en-US"/>
        </w:rPr>
        <w:drawing>
          <wp:inline distT="0" distB="0" distL="0" distR="0" wp14:anchorId="01E95C36" wp14:editId="2D9E2946">
            <wp:extent cx="1332000" cy="1224000"/>
            <wp:effectExtent l="0" t="0" r="1905" b="0"/>
            <wp:docPr id="42" name="Chart 42">
              <a:extLst xmlns:a="http://schemas.openxmlformats.org/drawingml/2006/main">
                <a:ext uri="{FF2B5EF4-FFF2-40B4-BE49-F238E27FC236}">
                  <a16:creationId xmlns:a16="http://schemas.microsoft.com/office/drawing/2014/main" id="{00000000-0008-0000-0A00-00004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596AFA95" w14:textId="77777777" w:rsidR="000353A6" w:rsidRPr="00671E8F" w:rsidRDefault="000353A6" w:rsidP="008527D6">
      <w:pPr>
        <w:spacing w:after="0"/>
        <w:jc w:val="center"/>
        <w:rPr>
          <w:b/>
          <w:color w:val="002060"/>
          <w:szCs w:val="21"/>
        </w:rPr>
      </w:pPr>
      <w:r w:rsidRPr="00671E8F">
        <w:rPr>
          <w:b/>
          <w:color w:val="002060"/>
          <w:szCs w:val="21"/>
        </w:rPr>
        <w:t>Јавни дуг сектора државе, % БДП</w:t>
      </w:r>
    </w:p>
    <w:p w14:paraId="781BFC98" w14:textId="77777777" w:rsidR="000353A6" w:rsidRPr="00671E8F" w:rsidRDefault="000353A6" w:rsidP="000353A6">
      <w:pPr>
        <w:spacing w:after="0"/>
      </w:pPr>
      <w:r w:rsidRPr="00671E8F">
        <w:t xml:space="preserve"> </w:t>
      </w:r>
      <w:r w:rsidRPr="00671E8F">
        <w:rPr>
          <w:noProof/>
          <w:lang w:val="en-US"/>
        </w:rPr>
        <w:drawing>
          <wp:inline distT="0" distB="0" distL="0" distR="0" wp14:anchorId="773E2A5C" wp14:editId="26EC10DF">
            <wp:extent cx="1332000" cy="1224000"/>
            <wp:effectExtent l="0" t="0" r="0" b="0"/>
            <wp:docPr id="46" name="Chart 46">
              <a:extLst xmlns:a="http://schemas.openxmlformats.org/drawingml/2006/main">
                <a:ext uri="{FF2B5EF4-FFF2-40B4-BE49-F238E27FC236}">
                  <a16:creationId xmlns:a16="http://schemas.microsoft.com/office/drawing/2014/main" id="{00000000-0008-0000-0A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sidRPr="00671E8F">
        <w:t xml:space="preserve"> </w:t>
      </w:r>
      <w:r w:rsidRPr="00671E8F">
        <w:rPr>
          <w:noProof/>
          <w:lang w:val="en-US"/>
        </w:rPr>
        <w:drawing>
          <wp:inline distT="0" distB="0" distL="0" distR="0" wp14:anchorId="495001D2" wp14:editId="1D62A1B8">
            <wp:extent cx="1332000" cy="1224000"/>
            <wp:effectExtent l="0" t="0" r="0" b="0"/>
            <wp:docPr id="47" name="Chart 47">
              <a:extLst xmlns:a="http://schemas.openxmlformats.org/drawingml/2006/main">
                <a:ext uri="{FF2B5EF4-FFF2-40B4-BE49-F238E27FC236}">
                  <a16:creationId xmlns:a16="http://schemas.microsoft.com/office/drawing/2014/main" id="{00000000-0008-0000-0A00-00004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64B64495" w14:textId="77777777" w:rsidR="000353A6" w:rsidRPr="00671E8F" w:rsidRDefault="000353A6" w:rsidP="008527D6">
      <w:pPr>
        <w:spacing w:before="240"/>
        <w:jc w:val="left"/>
        <w:rPr>
          <w:rFonts w:cstheme="minorHAnsi"/>
          <w:b/>
          <w:color w:val="2F5496" w:themeColor="accent1" w:themeShade="BF"/>
          <w:sz w:val="22"/>
        </w:rPr>
      </w:pPr>
    </w:p>
    <w:p w14:paraId="3F720197" w14:textId="77777777" w:rsidR="000353A6" w:rsidRPr="00671E8F" w:rsidRDefault="000353A6" w:rsidP="008527D6">
      <w:pPr>
        <w:spacing w:before="240"/>
        <w:jc w:val="left"/>
        <w:rPr>
          <w:rFonts w:cstheme="minorHAnsi"/>
          <w:b/>
          <w:color w:val="2F5496" w:themeColor="accent1" w:themeShade="BF"/>
          <w:sz w:val="22"/>
        </w:rPr>
      </w:pPr>
      <w:r w:rsidRPr="00671E8F">
        <w:rPr>
          <w:rFonts w:cstheme="minorHAnsi"/>
          <w:b/>
          <w:color w:val="2F5496" w:themeColor="accent1" w:themeShade="BF"/>
          <w:sz w:val="22"/>
        </w:rPr>
        <w:t>Текућа кретања реалног сектора</w:t>
      </w:r>
    </w:p>
    <w:p w14:paraId="13B3C231" w14:textId="2C6D765F" w:rsidR="000353A6" w:rsidRPr="00671E8F" w:rsidRDefault="000353A6" w:rsidP="000353A6">
      <w:pPr>
        <w:spacing w:after="120"/>
        <w:rPr>
          <w:rFonts w:cstheme="minorHAnsi"/>
          <w:bCs/>
          <w:szCs w:val="72"/>
        </w:rPr>
      </w:pPr>
      <w:r w:rsidRPr="00671E8F">
        <w:rPr>
          <w:rFonts w:cstheme="minorHAnsi"/>
          <w:bCs/>
          <w:szCs w:val="72"/>
        </w:rPr>
        <w:t>Републички завод за статистику је у октобру 2024. године спровео редовну, петогодишњу велику или бенчмарк ревизију обрачуна БДП за период од 1995</w:t>
      </w:r>
      <w:r w:rsidR="00254FF3" w:rsidRPr="00671E8F">
        <w:rPr>
          <w:rFonts w:cstheme="minorHAnsi"/>
          <w:bCs/>
          <w:szCs w:val="72"/>
        </w:rPr>
        <w:t>.</w:t>
      </w:r>
      <w:r w:rsidRPr="00671E8F">
        <w:rPr>
          <w:rFonts w:cstheme="minorHAnsi"/>
          <w:bCs/>
          <w:szCs w:val="72"/>
        </w:rPr>
        <w:t xml:space="preserve"> до 2022. године из свих домена система националних рачуна. Имплементирана су бројна методолошка унапређења, а коришћени су</w:t>
      </w:r>
      <w:r w:rsidR="00984A71" w:rsidRPr="00671E8F">
        <w:rPr>
          <w:rFonts w:cstheme="minorHAnsi"/>
          <w:bCs/>
          <w:szCs w:val="72"/>
        </w:rPr>
        <w:t xml:space="preserve"> </w:t>
      </w:r>
      <w:r w:rsidRPr="00671E8F">
        <w:rPr>
          <w:rFonts w:cstheme="minorHAnsi"/>
          <w:bCs/>
          <w:szCs w:val="72"/>
        </w:rPr>
        <w:t>побољшани постојећи,</w:t>
      </w:r>
      <w:r w:rsidR="00984A71" w:rsidRPr="00671E8F">
        <w:rPr>
          <w:rFonts w:cstheme="minorHAnsi"/>
          <w:bCs/>
          <w:szCs w:val="72"/>
        </w:rPr>
        <w:t xml:space="preserve"> </w:t>
      </w:r>
      <w:r w:rsidRPr="00671E8F">
        <w:rPr>
          <w:rFonts w:cstheme="minorHAnsi"/>
          <w:bCs/>
          <w:szCs w:val="72"/>
        </w:rPr>
        <w:t>као и нови извори података. У складу са тим номинална вредност БДП увећана је за око 5%</w:t>
      </w:r>
      <w:r w:rsidR="000E0EDA" w:rsidRPr="00671E8F">
        <w:rPr>
          <w:rFonts w:cstheme="minorHAnsi"/>
          <w:bCs/>
          <w:szCs w:val="72"/>
        </w:rPr>
        <w:t xml:space="preserve"> у прос</w:t>
      </w:r>
      <w:r w:rsidR="003C0CBA" w:rsidRPr="00671E8F">
        <w:rPr>
          <w:rFonts w:cstheme="minorHAnsi"/>
          <w:bCs/>
          <w:szCs w:val="72"/>
        </w:rPr>
        <w:t>е</w:t>
      </w:r>
      <w:r w:rsidR="000E0EDA" w:rsidRPr="00671E8F">
        <w:rPr>
          <w:rFonts w:cstheme="minorHAnsi"/>
          <w:bCs/>
          <w:szCs w:val="72"/>
        </w:rPr>
        <w:t>ку</w:t>
      </w:r>
      <w:r w:rsidRPr="00671E8F">
        <w:rPr>
          <w:rFonts w:cstheme="minorHAnsi"/>
          <w:bCs/>
          <w:szCs w:val="72"/>
        </w:rPr>
        <w:t xml:space="preserve">, што се последично одразило на ниво свих макроекономских агрегата који се сагледавају кроз њихово учешће у БДП. Реалне стопе привредног раста генерално су остале на претходно публикованим нивоима уз мање корекције у зависности од године. Подаци за 2023. годину који су иницијално процењени на бази кварталних обрачуна били су под утицајем како поменуте ревизије, тако и независног годишњег обрачуна. Имајући то у виду корекције </w:t>
      </w:r>
      <w:r w:rsidR="006204E0" w:rsidRPr="00671E8F">
        <w:rPr>
          <w:rFonts w:cstheme="minorHAnsi"/>
          <w:bCs/>
          <w:szCs w:val="72"/>
        </w:rPr>
        <w:t xml:space="preserve">БДП у </w:t>
      </w:r>
      <w:r w:rsidRPr="00671E8F">
        <w:rPr>
          <w:rFonts w:cstheme="minorHAnsi"/>
          <w:bCs/>
          <w:szCs w:val="72"/>
        </w:rPr>
        <w:t>2023. годин</w:t>
      </w:r>
      <w:r w:rsidR="006204E0" w:rsidRPr="00671E8F">
        <w:rPr>
          <w:rFonts w:cstheme="minorHAnsi"/>
          <w:bCs/>
          <w:szCs w:val="72"/>
        </w:rPr>
        <w:t>и</w:t>
      </w:r>
      <w:r w:rsidRPr="00671E8F">
        <w:rPr>
          <w:rFonts w:cstheme="minorHAnsi"/>
          <w:bCs/>
          <w:szCs w:val="72"/>
        </w:rPr>
        <w:t xml:space="preserve"> биле су нешто веће. Реални раст БДП ревидиран је са 2,5% на 3,8%, пре свега</w:t>
      </w:r>
      <w:r w:rsidR="00984A71" w:rsidRPr="00671E8F">
        <w:rPr>
          <w:rFonts w:cstheme="minorHAnsi"/>
          <w:bCs/>
          <w:szCs w:val="72"/>
        </w:rPr>
        <w:t xml:space="preserve"> </w:t>
      </w:r>
      <w:r w:rsidRPr="00671E8F">
        <w:rPr>
          <w:rFonts w:cstheme="minorHAnsi"/>
          <w:bCs/>
          <w:szCs w:val="72"/>
        </w:rPr>
        <w:t>под утицајем већег раста од претходно објављеног у сектору услуга, посматрано са производне стране, односно снажније инвестиционе активности посматрано по агрегатима употребе.</w:t>
      </w:r>
    </w:p>
    <w:p w14:paraId="722D9E73" w14:textId="77777777" w:rsidR="000353A6" w:rsidRPr="00671E8F" w:rsidRDefault="000353A6" w:rsidP="000353A6">
      <w:pPr>
        <w:spacing w:after="120"/>
        <w:jc w:val="center"/>
        <w:rPr>
          <w:b/>
          <w:color w:val="002060"/>
          <w:szCs w:val="21"/>
        </w:rPr>
      </w:pPr>
      <w:r w:rsidRPr="00671E8F">
        <w:rPr>
          <w:b/>
          <w:color w:val="002060"/>
          <w:szCs w:val="21"/>
        </w:rPr>
        <w:t>БДП, текуће цене, млрд РСД</w:t>
      </w:r>
    </w:p>
    <w:p w14:paraId="5B249B03" w14:textId="77777777" w:rsidR="000353A6" w:rsidRPr="00671E8F" w:rsidRDefault="000353A6" w:rsidP="000353A6">
      <w:pPr>
        <w:spacing w:after="120"/>
        <w:rPr>
          <w:rFonts w:cstheme="minorHAnsi"/>
          <w:bCs/>
          <w:szCs w:val="72"/>
        </w:rPr>
      </w:pPr>
      <w:r w:rsidRPr="00671E8F">
        <w:rPr>
          <w:noProof/>
          <w:lang w:val="en-US"/>
        </w:rPr>
        <w:drawing>
          <wp:inline distT="0" distB="0" distL="0" distR="0" wp14:anchorId="6BE2CDCF" wp14:editId="385F68C4">
            <wp:extent cx="2743200" cy="1619250"/>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265B9809" w14:textId="77777777" w:rsidR="000353A6" w:rsidRPr="00671E8F" w:rsidRDefault="000353A6" w:rsidP="000353A6">
      <w:pPr>
        <w:spacing w:after="120"/>
        <w:jc w:val="center"/>
        <w:rPr>
          <w:b/>
          <w:color w:val="002060"/>
          <w:szCs w:val="21"/>
        </w:rPr>
      </w:pPr>
      <w:r w:rsidRPr="00671E8F">
        <w:rPr>
          <w:b/>
          <w:color w:val="002060"/>
          <w:szCs w:val="21"/>
        </w:rPr>
        <w:t>Реалне стопе раста БДП, %</w:t>
      </w:r>
    </w:p>
    <w:p w14:paraId="22E451DC" w14:textId="77777777" w:rsidR="000353A6" w:rsidRPr="00671E8F" w:rsidRDefault="000353A6" w:rsidP="000353A6">
      <w:pPr>
        <w:spacing w:after="120"/>
        <w:rPr>
          <w:rFonts w:cstheme="minorHAnsi"/>
          <w:bCs/>
          <w:szCs w:val="72"/>
        </w:rPr>
      </w:pPr>
      <w:r w:rsidRPr="00671E8F">
        <w:rPr>
          <w:noProof/>
          <w:lang w:val="en-US"/>
        </w:rPr>
        <w:drawing>
          <wp:inline distT="0" distB="0" distL="0" distR="0" wp14:anchorId="17C35B1A" wp14:editId="3C8AB868">
            <wp:extent cx="2743200" cy="1460500"/>
            <wp:effectExtent l="0" t="0" r="0" b="635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2C252E6E" w14:textId="77777777" w:rsidR="000353A6" w:rsidRPr="00671E8F" w:rsidRDefault="000353A6" w:rsidP="000353A6">
      <w:pPr>
        <w:spacing w:after="120"/>
        <w:rPr>
          <w:rFonts w:cstheme="minorHAnsi"/>
          <w:bCs/>
          <w:szCs w:val="72"/>
        </w:rPr>
      </w:pPr>
      <w:r w:rsidRPr="00671E8F">
        <w:rPr>
          <w:rFonts w:cstheme="minorHAnsi"/>
          <w:bCs/>
          <w:szCs w:val="72"/>
        </w:rPr>
        <w:lastRenderedPageBreak/>
        <w:t>Према подацима РЗС, раст БДП у првом кварталу 2024. године износио је 4,6% мг., док је у другом тромесечју раст привреде био 4,0% мг., што је у складу са претходним очекивањима Министарства финансија за овај период.</w:t>
      </w:r>
      <w:r w:rsidRPr="00671E8F">
        <w:rPr>
          <w:rStyle w:val="FootnoteReference"/>
          <w:rFonts w:cstheme="minorHAnsi"/>
          <w:bCs/>
          <w:szCs w:val="72"/>
        </w:rPr>
        <w:footnoteReference w:id="1"/>
      </w:r>
    </w:p>
    <w:p w14:paraId="2972ECB5" w14:textId="42D15324" w:rsidR="000353A6" w:rsidRPr="00671E8F" w:rsidRDefault="000353A6" w:rsidP="000353A6">
      <w:pPr>
        <w:spacing w:after="120"/>
        <w:rPr>
          <w:rFonts w:cstheme="minorHAnsi"/>
          <w:bCs/>
          <w:szCs w:val="72"/>
        </w:rPr>
      </w:pPr>
      <w:r w:rsidRPr="00671E8F">
        <w:rPr>
          <w:rFonts w:cstheme="minorHAnsi"/>
          <w:bCs/>
          <w:szCs w:val="72"/>
        </w:rPr>
        <w:t>Посматрано са производне стране, раст БДП у првој половини 2024. године од 4,3% био је вођен услужним сектором, који је остварио раст од 5,0%. Повећање економске активности забележено је код свих услужних делатности, а најзначајнији допринос дошао је од трговине, саобраћаја и туризма, као и од стручно-техничких услуга и ИКТ.</w:t>
      </w:r>
      <w:r w:rsidRPr="00671E8F">
        <w:rPr>
          <w:rFonts w:cstheme="minorHAnsi"/>
          <w:bCs/>
          <w:color w:val="FF0000"/>
          <w:szCs w:val="72"/>
        </w:rPr>
        <w:t xml:space="preserve"> </w:t>
      </w:r>
      <w:r w:rsidRPr="00671E8F">
        <w:rPr>
          <w:rFonts w:cstheme="minorHAnsi"/>
          <w:bCs/>
          <w:szCs w:val="72"/>
        </w:rPr>
        <w:t>Упркос и даље слабој спољној тражњи и ремонту капацитета у НИС, индустријска производња је забележила раст БДВ</w:t>
      </w:r>
      <w:r w:rsidR="00984A71" w:rsidRPr="00671E8F">
        <w:rPr>
          <w:rFonts w:cstheme="minorHAnsi"/>
          <w:bCs/>
          <w:szCs w:val="72"/>
        </w:rPr>
        <w:t xml:space="preserve"> </w:t>
      </w:r>
      <w:r w:rsidRPr="00671E8F">
        <w:rPr>
          <w:rFonts w:cstheme="minorHAnsi"/>
          <w:bCs/>
          <w:szCs w:val="72"/>
        </w:rPr>
        <w:t>од 2,1% у првој половини године, захваљујући пре свега активирању нових производних капацитета као резултат ефектуирања СДИ из претходног периода. Грађевинарство је било веће за 9,9% услед наставка реализације инфраструктурних пројеката, као и раста приватних инвестиција, док је пољопривреда према првим проценама РЗС забележила пад од око 4% услед неповољних агрометеоролошких услова.</w:t>
      </w:r>
    </w:p>
    <w:p w14:paraId="38EF9ED1" w14:textId="77777777" w:rsidR="000353A6" w:rsidRPr="00671E8F" w:rsidRDefault="000353A6" w:rsidP="000353A6">
      <w:pPr>
        <w:spacing w:after="0"/>
        <w:jc w:val="center"/>
        <w:rPr>
          <w:b/>
          <w:color w:val="002060"/>
          <w:szCs w:val="21"/>
        </w:rPr>
      </w:pPr>
      <w:r w:rsidRPr="00671E8F">
        <w:rPr>
          <w:b/>
          <w:color w:val="002060"/>
          <w:szCs w:val="21"/>
        </w:rPr>
        <w:t>Доприноси стопи реалног раста БДП, производни приступ, п.п.</w:t>
      </w:r>
    </w:p>
    <w:p w14:paraId="5BAC8134" w14:textId="77777777" w:rsidR="000353A6" w:rsidRPr="00671E8F" w:rsidRDefault="000353A6" w:rsidP="000353A6">
      <w:pPr>
        <w:spacing w:after="40"/>
        <w:rPr>
          <w:rFonts w:cstheme="minorHAnsi"/>
          <w:bCs/>
          <w:szCs w:val="72"/>
        </w:rPr>
      </w:pPr>
      <w:r w:rsidRPr="00671E8F">
        <w:rPr>
          <w:noProof/>
          <w:lang w:val="en-US"/>
        </w:rPr>
        <w:drawing>
          <wp:inline distT="0" distB="0" distL="0" distR="0" wp14:anchorId="30D13DF5" wp14:editId="4B671E6C">
            <wp:extent cx="2743200" cy="2329732"/>
            <wp:effectExtent l="0" t="0" r="0" b="0"/>
            <wp:docPr id="48" name="Chart 48">
              <a:extLst xmlns:a="http://schemas.openxmlformats.org/drawingml/2006/main">
                <a:ext uri="{FF2B5EF4-FFF2-40B4-BE49-F238E27FC236}">
                  <a16:creationId xmlns:a16="http://schemas.microsoft.com/office/drawing/2014/main" id="{00000000-0008-0000-0B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03E59A76" w14:textId="77777777" w:rsidR="000353A6" w:rsidRPr="00671E8F" w:rsidRDefault="000353A6" w:rsidP="000353A6">
      <w:pPr>
        <w:spacing w:after="120"/>
        <w:rPr>
          <w:rFonts w:cstheme="minorHAnsi"/>
          <w:bCs/>
          <w:sz w:val="16"/>
          <w:szCs w:val="16"/>
        </w:rPr>
      </w:pPr>
      <w:r w:rsidRPr="00671E8F">
        <w:rPr>
          <w:rFonts w:cstheme="minorHAnsi"/>
          <w:bCs/>
          <w:sz w:val="16"/>
          <w:szCs w:val="16"/>
        </w:rPr>
        <w:t>Извор: РЗС</w:t>
      </w:r>
    </w:p>
    <w:p w14:paraId="28833F2B" w14:textId="6D8327A8" w:rsidR="000353A6" w:rsidRPr="00671E8F" w:rsidRDefault="000353A6" w:rsidP="000353A6">
      <w:pPr>
        <w:rPr>
          <w:rFonts w:cstheme="minorHAnsi"/>
          <w:bCs/>
          <w:szCs w:val="72"/>
        </w:rPr>
      </w:pPr>
      <w:r w:rsidRPr="00671E8F">
        <w:rPr>
          <w:rFonts w:cstheme="minorHAnsi"/>
          <w:bCs/>
          <w:szCs w:val="72"/>
        </w:rPr>
        <w:t xml:space="preserve">Посматрано по агрегатима употребе, раст БДП у првој половини 2024. године у потпуности је био опредељен домаћом тражњом. Повећање реалног расположивог дохотка становништва, пре </w:t>
      </w:r>
      <w:r w:rsidRPr="00671E8F">
        <w:rPr>
          <w:rFonts w:cstheme="minorHAnsi"/>
          <w:bCs/>
          <w:szCs w:val="72"/>
        </w:rPr>
        <w:t xml:space="preserve">свега као резултат раста зарада и пензија уз раст запослености, одразио се на убрзање приватне потрошње која је била већа за 4,6%. Истовремено, инвестиције у основне фондове оствариле су раст од 8,0% захваљујући, пре свега већим грађевинским радовима, али и убрзању приватних инвестиција. Допринос нето извоза био је негативан услед бржег раста увозне активности (6,0%) од извозне (2,9%) као последица повећаног увоза опреме за инвестиционе потребе, као и потрошне робе услед раста приватне потрошње домаћинстава. </w:t>
      </w:r>
    </w:p>
    <w:p w14:paraId="4E1B1549" w14:textId="77777777" w:rsidR="000353A6" w:rsidRPr="00671E8F" w:rsidRDefault="000353A6" w:rsidP="000353A6">
      <w:pPr>
        <w:spacing w:after="0"/>
        <w:jc w:val="center"/>
        <w:rPr>
          <w:b/>
          <w:color w:val="002060"/>
          <w:szCs w:val="21"/>
        </w:rPr>
      </w:pPr>
      <w:r w:rsidRPr="00671E8F">
        <w:rPr>
          <w:b/>
          <w:color w:val="002060"/>
          <w:szCs w:val="21"/>
        </w:rPr>
        <w:t xml:space="preserve">Доприноси стопи реалног раста БДП, </w:t>
      </w:r>
      <w:r w:rsidRPr="00671E8F">
        <w:rPr>
          <w:b/>
          <w:color w:val="002060"/>
          <w:szCs w:val="21"/>
        </w:rPr>
        <w:br/>
        <w:t>расходни приступ, п.п.</w:t>
      </w:r>
    </w:p>
    <w:p w14:paraId="000C61FF" w14:textId="77777777" w:rsidR="000353A6" w:rsidRPr="00671E8F" w:rsidRDefault="000353A6" w:rsidP="000353A6">
      <w:pPr>
        <w:rPr>
          <w:rFonts w:cstheme="minorHAnsi"/>
          <w:bCs/>
          <w:szCs w:val="72"/>
        </w:rPr>
      </w:pPr>
      <w:r w:rsidRPr="00671E8F">
        <w:rPr>
          <w:rFonts w:cstheme="minorHAnsi"/>
          <w:bCs/>
          <w:noProof/>
          <w:szCs w:val="72"/>
          <w:lang w:val="en-US"/>
        </w:rPr>
        <w:drawing>
          <wp:inline distT="0" distB="0" distL="0" distR="0" wp14:anchorId="252BCFD2" wp14:editId="0346FC5C">
            <wp:extent cx="2743200" cy="2107096"/>
            <wp:effectExtent l="0" t="0" r="0" b="7620"/>
            <wp:docPr id="49" name="Chart 49">
              <a:extLst xmlns:a="http://schemas.openxmlformats.org/drawingml/2006/main">
                <a:ext uri="{FF2B5EF4-FFF2-40B4-BE49-F238E27FC236}">
                  <a16:creationId xmlns:a16="http://schemas.microsoft.com/office/drawing/2014/main" id="{00000000-0008-0000-0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76182A42" w14:textId="77777777" w:rsidR="000353A6" w:rsidRPr="00671E8F" w:rsidRDefault="000353A6" w:rsidP="000353A6">
      <w:pPr>
        <w:spacing w:after="120"/>
        <w:rPr>
          <w:rFonts w:cstheme="minorHAnsi"/>
          <w:bCs/>
          <w:sz w:val="16"/>
          <w:szCs w:val="16"/>
        </w:rPr>
      </w:pPr>
      <w:r w:rsidRPr="00671E8F">
        <w:rPr>
          <w:rFonts w:cstheme="minorHAnsi"/>
          <w:bCs/>
          <w:sz w:val="16"/>
          <w:szCs w:val="16"/>
        </w:rPr>
        <w:t>Извор: РЗС</w:t>
      </w:r>
    </w:p>
    <w:p w14:paraId="181A0FC8" w14:textId="23884255" w:rsidR="000353A6" w:rsidRPr="00671E8F" w:rsidRDefault="000353A6" w:rsidP="000353A6">
      <w:pPr>
        <w:rPr>
          <w:rFonts w:cstheme="minorHAnsi"/>
          <w:bCs/>
          <w:szCs w:val="72"/>
        </w:rPr>
      </w:pPr>
      <w:r w:rsidRPr="00671E8F">
        <w:rPr>
          <w:rFonts w:cstheme="minorHAnsi"/>
          <w:bCs/>
          <w:szCs w:val="72"/>
        </w:rPr>
        <w:t>Високофреквентни индикатори такође указују на стабилна привредна кретања током 2024. године</w:t>
      </w:r>
      <w:r w:rsidR="000E0EDA" w:rsidRPr="00671E8F">
        <w:rPr>
          <w:rFonts w:cstheme="minorHAnsi"/>
          <w:bCs/>
          <w:szCs w:val="72"/>
        </w:rPr>
        <w:t xml:space="preserve"> у</w:t>
      </w:r>
      <w:r w:rsidR="00BE67BE" w:rsidRPr="00671E8F">
        <w:rPr>
          <w:rFonts w:cstheme="minorHAnsi"/>
          <w:bCs/>
          <w:szCs w:val="72"/>
        </w:rPr>
        <w:t xml:space="preserve"> </w:t>
      </w:r>
      <w:r w:rsidR="000E0EDA" w:rsidRPr="00671E8F">
        <w:rPr>
          <w:rFonts w:cstheme="minorHAnsi"/>
          <w:bCs/>
          <w:szCs w:val="72"/>
        </w:rPr>
        <w:t>свим привредним</w:t>
      </w:r>
      <w:r w:rsidR="00BE67BE" w:rsidRPr="00671E8F">
        <w:rPr>
          <w:rFonts w:cstheme="minorHAnsi"/>
          <w:bCs/>
          <w:szCs w:val="72"/>
        </w:rPr>
        <w:t xml:space="preserve"> секторима</w:t>
      </w:r>
      <w:r w:rsidR="00B005A2" w:rsidRPr="00671E8F">
        <w:rPr>
          <w:rFonts w:cstheme="minorHAnsi"/>
          <w:bCs/>
          <w:szCs w:val="72"/>
        </w:rPr>
        <w:t>,</w:t>
      </w:r>
      <w:r w:rsidR="00BE67BE" w:rsidRPr="00671E8F">
        <w:rPr>
          <w:rFonts w:cstheme="minorHAnsi"/>
          <w:bCs/>
          <w:szCs w:val="72"/>
        </w:rPr>
        <w:t xml:space="preserve"> осим у пољопривреди.</w:t>
      </w:r>
    </w:p>
    <w:p w14:paraId="75305925" w14:textId="1637FC6E" w:rsidR="00BE67BE" w:rsidRPr="00671E8F" w:rsidRDefault="00BE67BE" w:rsidP="000353A6">
      <w:pPr>
        <w:rPr>
          <w:rFonts w:cstheme="minorHAnsi"/>
          <w:bCs/>
          <w:iCs/>
          <w:szCs w:val="72"/>
        </w:rPr>
      </w:pPr>
      <w:r w:rsidRPr="00671E8F">
        <w:rPr>
          <w:rFonts w:cstheme="minorHAnsi"/>
          <w:bCs/>
          <w:iCs/>
          <w:szCs w:val="72"/>
        </w:rPr>
        <w:t>Неповољни агрометеоролошки услови током летњих месеци</w:t>
      </w:r>
      <w:r w:rsidR="00B005A2" w:rsidRPr="00671E8F">
        <w:rPr>
          <w:rFonts w:cstheme="minorHAnsi"/>
          <w:bCs/>
          <w:iCs/>
          <w:szCs w:val="72"/>
        </w:rPr>
        <w:t>, пре свега</w:t>
      </w:r>
      <w:r w:rsidR="00615890" w:rsidRPr="00671E8F">
        <w:rPr>
          <w:rFonts w:cstheme="minorHAnsi"/>
          <w:bCs/>
          <w:iCs/>
          <w:szCs w:val="72"/>
        </w:rPr>
        <w:t xml:space="preserve"> у виду изузетно високих температура и </w:t>
      </w:r>
      <w:r w:rsidR="00B005A2" w:rsidRPr="00671E8F">
        <w:rPr>
          <w:rFonts w:cstheme="minorHAnsi"/>
          <w:bCs/>
          <w:iCs/>
          <w:szCs w:val="72"/>
        </w:rPr>
        <w:t>мале количине падавина,</w:t>
      </w:r>
      <w:r w:rsidRPr="00671E8F">
        <w:rPr>
          <w:rFonts w:cstheme="minorHAnsi"/>
          <w:bCs/>
          <w:iCs/>
          <w:szCs w:val="72"/>
        </w:rPr>
        <w:t xml:space="preserve"> у великој м</w:t>
      </w:r>
      <w:r w:rsidR="00615890" w:rsidRPr="00671E8F">
        <w:rPr>
          <w:rFonts w:cstheme="minorHAnsi"/>
          <w:bCs/>
          <w:iCs/>
          <w:szCs w:val="72"/>
        </w:rPr>
        <w:t>ери су се одразили на род кукуру</w:t>
      </w:r>
      <w:r w:rsidRPr="00671E8F">
        <w:rPr>
          <w:rFonts w:cstheme="minorHAnsi"/>
          <w:bCs/>
          <w:iCs/>
          <w:szCs w:val="72"/>
        </w:rPr>
        <w:t xml:space="preserve">за и индустријског биља. Према </w:t>
      </w:r>
      <w:r w:rsidR="00615890" w:rsidRPr="00671E8F">
        <w:rPr>
          <w:rFonts w:cstheme="minorHAnsi"/>
          <w:bCs/>
          <w:iCs/>
          <w:szCs w:val="72"/>
        </w:rPr>
        <w:t xml:space="preserve">прелиминарним </w:t>
      </w:r>
      <w:r w:rsidRPr="00671E8F">
        <w:rPr>
          <w:rFonts w:cstheme="minorHAnsi"/>
          <w:bCs/>
          <w:iCs/>
          <w:szCs w:val="72"/>
        </w:rPr>
        <w:t>подацима РЗС</w:t>
      </w:r>
      <w:r w:rsidR="00615890" w:rsidRPr="00671E8F">
        <w:rPr>
          <w:rFonts w:cstheme="minorHAnsi"/>
          <w:bCs/>
          <w:iCs/>
          <w:szCs w:val="72"/>
        </w:rPr>
        <w:t>, род кукуруза</w:t>
      </w:r>
      <w:r w:rsidR="00B005A2" w:rsidRPr="00671E8F">
        <w:rPr>
          <w:rFonts w:cstheme="minorHAnsi"/>
          <w:bCs/>
          <w:iCs/>
          <w:szCs w:val="72"/>
        </w:rPr>
        <w:t xml:space="preserve"> је износио</w:t>
      </w:r>
      <w:r w:rsidRPr="00671E8F">
        <w:rPr>
          <w:rFonts w:cstheme="minorHAnsi"/>
          <w:bCs/>
          <w:iCs/>
          <w:szCs w:val="72"/>
        </w:rPr>
        <w:t xml:space="preserve"> </w:t>
      </w:r>
      <w:r w:rsidR="00615890" w:rsidRPr="00671E8F">
        <w:rPr>
          <w:rFonts w:cstheme="minorHAnsi"/>
          <w:bCs/>
          <w:iCs/>
          <w:szCs w:val="72"/>
        </w:rPr>
        <w:t xml:space="preserve">5,4 милиона тона, што је пад од 18,2% у односу на производњу остварену у прошлој години. Мања је производња и сунцокрета за 7,1%, као и соје за 32,3%, док је једино производња шећерне репе у оквиру индустријског биља забележила раст од 4,3%. Када је реч о пшеници регистрован је пад </w:t>
      </w:r>
      <w:r w:rsidR="00615890" w:rsidRPr="00671E8F">
        <w:rPr>
          <w:rFonts w:cstheme="minorHAnsi"/>
          <w:bCs/>
          <w:iCs/>
          <w:szCs w:val="72"/>
        </w:rPr>
        <w:lastRenderedPageBreak/>
        <w:t xml:space="preserve">производње од 15,9%, пре свега као последица мање засејаних површина. </w:t>
      </w:r>
      <w:r w:rsidR="00B005A2" w:rsidRPr="00671E8F">
        <w:rPr>
          <w:rFonts w:cstheme="minorHAnsi"/>
          <w:bCs/>
          <w:iCs/>
          <w:szCs w:val="72"/>
        </w:rPr>
        <w:t>У оквиру воћарских култура, очекује се већа производња шљива, за 6,8% и</w:t>
      </w:r>
      <w:r w:rsidR="00984A71" w:rsidRPr="00671E8F">
        <w:rPr>
          <w:rFonts w:cstheme="minorHAnsi"/>
          <w:bCs/>
          <w:iCs/>
          <w:szCs w:val="72"/>
        </w:rPr>
        <w:t xml:space="preserve"> </w:t>
      </w:r>
      <w:r w:rsidR="00B005A2" w:rsidRPr="00671E8F">
        <w:rPr>
          <w:rFonts w:cstheme="minorHAnsi"/>
          <w:bCs/>
          <w:iCs/>
          <w:szCs w:val="72"/>
        </w:rPr>
        <w:t xml:space="preserve">јабука, за 2,5%, док је производња малина мања за 4,7%, а вишања за 5,5%. </w:t>
      </w:r>
    </w:p>
    <w:p w14:paraId="28B1B7E3" w14:textId="0FA69C17" w:rsidR="000353A6" w:rsidRPr="00671E8F" w:rsidRDefault="000353A6" w:rsidP="000353A6">
      <w:pPr>
        <w:rPr>
          <w:rFonts w:cstheme="minorHAnsi"/>
          <w:bCs/>
          <w:iCs/>
          <w:szCs w:val="72"/>
        </w:rPr>
      </w:pPr>
      <w:r w:rsidRPr="00671E8F">
        <w:rPr>
          <w:rFonts w:cstheme="minorHAnsi"/>
          <w:bCs/>
          <w:iCs/>
          <w:szCs w:val="72"/>
        </w:rPr>
        <w:t>У првих осам месеци 2024. године индустријска производњa je забележила повећање физичког обима од 2,6% мг. У овом периоду, раст је вођен већим обимом производње прерађивачке ин</w:t>
      </w:r>
      <w:r w:rsidR="00766439" w:rsidRPr="00671E8F">
        <w:rPr>
          <w:rFonts w:cstheme="minorHAnsi"/>
          <w:bCs/>
          <w:iCs/>
          <w:szCs w:val="72"/>
        </w:rPr>
        <w:t xml:space="preserve">дустрије, док је утицај </w:t>
      </w:r>
      <w:r w:rsidRPr="00671E8F">
        <w:rPr>
          <w:rFonts w:cstheme="minorHAnsi"/>
          <w:bCs/>
          <w:iCs/>
          <w:szCs w:val="72"/>
        </w:rPr>
        <w:t xml:space="preserve">енергетског сектора био негативан услед мање </w:t>
      </w:r>
      <w:r w:rsidR="00BE67BE" w:rsidRPr="00671E8F">
        <w:rPr>
          <w:rFonts w:cstheme="minorHAnsi"/>
          <w:bCs/>
          <w:iCs/>
          <w:szCs w:val="72"/>
        </w:rPr>
        <w:t>производње електричне енергије.</w:t>
      </w:r>
    </w:p>
    <w:p w14:paraId="44E859C1" w14:textId="77777777" w:rsidR="000353A6" w:rsidRPr="00671E8F" w:rsidRDefault="000353A6" w:rsidP="000353A6">
      <w:pPr>
        <w:spacing w:after="0"/>
        <w:jc w:val="center"/>
        <w:rPr>
          <w:rFonts w:cstheme="minorHAnsi"/>
          <w:b/>
          <w:bCs/>
          <w:iCs/>
          <w:color w:val="002060"/>
          <w:szCs w:val="72"/>
        </w:rPr>
      </w:pPr>
      <w:r w:rsidRPr="00671E8F">
        <w:rPr>
          <w:rFonts w:cstheme="minorHAnsi"/>
          <w:b/>
          <w:bCs/>
          <w:iCs/>
          <w:color w:val="002060"/>
          <w:szCs w:val="72"/>
        </w:rPr>
        <w:t>Индекс физичког обима прерађивачке индустрије, 2023=100</w:t>
      </w:r>
    </w:p>
    <w:p w14:paraId="20C8163C" w14:textId="77777777" w:rsidR="000353A6" w:rsidRPr="00671E8F" w:rsidRDefault="000353A6" w:rsidP="000353A6">
      <w:pPr>
        <w:spacing w:after="60"/>
        <w:rPr>
          <w:rFonts w:cstheme="minorHAnsi"/>
          <w:bCs/>
          <w:iCs/>
          <w:color w:val="FF0000"/>
          <w:szCs w:val="72"/>
        </w:rPr>
      </w:pPr>
      <w:r w:rsidRPr="00671E8F">
        <w:rPr>
          <w:noProof/>
          <w:lang w:val="en-US"/>
        </w:rPr>
        <w:drawing>
          <wp:inline distT="0" distB="0" distL="0" distR="0" wp14:anchorId="035439E9" wp14:editId="284EB6B3">
            <wp:extent cx="2743200" cy="1606164"/>
            <wp:effectExtent l="0" t="0" r="0" b="0"/>
            <wp:docPr id="2" name="Chart 2">
              <a:extLst xmlns:a="http://schemas.openxmlformats.org/drawingml/2006/main">
                <a:ext uri="{FF2B5EF4-FFF2-40B4-BE49-F238E27FC236}">
                  <a16:creationId xmlns:a16="http://schemas.microsoft.com/office/drawing/2014/main" id="{00000000-0008-0000-1B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3709BC76" w14:textId="77777777" w:rsidR="000353A6" w:rsidRPr="00671E8F" w:rsidRDefault="000353A6" w:rsidP="000353A6">
      <w:pPr>
        <w:spacing w:after="40"/>
        <w:jc w:val="center"/>
        <w:rPr>
          <w:rFonts w:cstheme="minorHAnsi"/>
          <w:b/>
          <w:bCs/>
          <w:iCs/>
          <w:color w:val="002060"/>
          <w:szCs w:val="72"/>
        </w:rPr>
      </w:pPr>
      <w:r w:rsidRPr="00671E8F">
        <w:rPr>
          <w:rFonts w:cstheme="minorHAnsi"/>
          <w:b/>
          <w:bCs/>
          <w:iCs/>
          <w:color w:val="002060"/>
          <w:szCs w:val="72"/>
        </w:rPr>
        <w:t>Индекс физичког обима рударства, 2023=100</w:t>
      </w:r>
    </w:p>
    <w:p w14:paraId="0B8FCB58" w14:textId="77777777" w:rsidR="000353A6" w:rsidRPr="00671E8F" w:rsidRDefault="000353A6" w:rsidP="000353A6">
      <w:pPr>
        <w:spacing w:after="40"/>
        <w:rPr>
          <w:rFonts w:cstheme="minorHAnsi"/>
          <w:bCs/>
          <w:iCs/>
          <w:color w:val="FF0000"/>
          <w:szCs w:val="72"/>
        </w:rPr>
      </w:pPr>
      <w:r w:rsidRPr="00671E8F">
        <w:rPr>
          <w:noProof/>
          <w:lang w:val="en-US"/>
        </w:rPr>
        <w:drawing>
          <wp:inline distT="0" distB="0" distL="0" distR="0" wp14:anchorId="5E9A62D9" wp14:editId="420D766D">
            <wp:extent cx="2743200" cy="1478915"/>
            <wp:effectExtent l="0" t="0" r="0" b="6985"/>
            <wp:docPr id="33" name="Chart 33">
              <a:extLst xmlns:a="http://schemas.openxmlformats.org/drawingml/2006/main">
                <a:ext uri="{FF2B5EF4-FFF2-40B4-BE49-F238E27FC236}">
                  <a16:creationId xmlns:a16="http://schemas.microsoft.com/office/drawing/2014/main" id="{00000000-0008-0000-1B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2678A598" w14:textId="77777777" w:rsidR="000353A6" w:rsidRPr="00671E8F" w:rsidRDefault="000353A6" w:rsidP="000353A6">
      <w:pPr>
        <w:spacing w:after="0"/>
        <w:jc w:val="center"/>
        <w:rPr>
          <w:rFonts w:cstheme="minorHAnsi"/>
          <w:b/>
          <w:bCs/>
          <w:iCs/>
          <w:color w:val="002060"/>
          <w:spacing w:val="-2"/>
          <w:szCs w:val="72"/>
        </w:rPr>
      </w:pPr>
      <w:r w:rsidRPr="00671E8F">
        <w:rPr>
          <w:rFonts w:cstheme="minorHAnsi"/>
          <w:b/>
          <w:bCs/>
          <w:iCs/>
          <w:color w:val="002060"/>
          <w:spacing w:val="-2"/>
          <w:szCs w:val="72"/>
        </w:rPr>
        <w:t>Индекс физичког обима снабдевања електричном енергијом, гасом и паром, 2023=100</w:t>
      </w:r>
    </w:p>
    <w:p w14:paraId="7D757BA7" w14:textId="77777777" w:rsidR="000353A6" w:rsidRPr="00671E8F" w:rsidRDefault="000353A6" w:rsidP="000353A6">
      <w:pPr>
        <w:spacing w:after="60"/>
        <w:jc w:val="left"/>
        <w:rPr>
          <w:rFonts w:cstheme="minorHAnsi"/>
          <w:bCs/>
          <w:iCs/>
          <w:color w:val="FF0000"/>
          <w:szCs w:val="72"/>
        </w:rPr>
      </w:pPr>
      <w:r w:rsidRPr="00671E8F">
        <w:rPr>
          <w:noProof/>
          <w:lang w:val="en-US"/>
        </w:rPr>
        <w:drawing>
          <wp:inline distT="0" distB="0" distL="0" distR="0" wp14:anchorId="1A00A3CD" wp14:editId="27CDBF96">
            <wp:extent cx="2743200" cy="1375576"/>
            <wp:effectExtent l="0" t="0" r="0" b="0"/>
            <wp:docPr id="37" name="Chart 37">
              <a:extLst xmlns:a="http://schemas.openxmlformats.org/drawingml/2006/main">
                <a:ext uri="{FF2B5EF4-FFF2-40B4-BE49-F238E27FC236}">
                  <a16:creationId xmlns:a16="http://schemas.microsoft.com/office/drawing/2014/main" id="{00000000-0008-0000-1B00-00004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1F15A1CB" w14:textId="77777777" w:rsidR="000353A6" w:rsidRPr="00671E8F" w:rsidRDefault="000353A6" w:rsidP="000353A6">
      <w:pPr>
        <w:spacing w:after="0" w:line="240" w:lineRule="auto"/>
        <w:rPr>
          <w:rFonts w:cstheme="minorHAnsi"/>
          <w:bCs/>
          <w:color w:val="FF0000"/>
          <w:sz w:val="16"/>
          <w:szCs w:val="72"/>
        </w:rPr>
      </w:pPr>
      <w:r w:rsidRPr="00671E8F">
        <w:rPr>
          <w:noProof/>
          <w:color w:val="FF0000"/>
          <w:lang w:val="en-US"/>
        </w:rPr>
        <w:drawing>
          <wp:inline distT="0" distB="0" distL="0" distR="0" wp14:anchorId="6C81EC82" wp14:editId="4F5B16AF">
            <wp:extent cx="2743200" cy="137080"/>
            <wp:effectExtent l="0" t="0" r="0" b="0"/>
            <wp:docPr id="2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8"/>
                    <a:stretch>
                      <a:fillRect/>
                    </a:stretch>
                  </pic:blipFill>
                  <pic:spPr>
                    <a:xfrm>
                      <a:off x="0" y="0"/>
                      <a:ext cx="2743200" cy="137080"/>
                    </a:xfrm>
                    <a:prstGeom prst="rect">
                      <a:avLst/>
                    </a:prstGeom>
                  </pic:spPr>
                </pic:pic>
              </a:graphicData>
            </a:graphic>
          </wp:inline>
        </w:drawing>
      </w:r>
    </w:p>
    <w:p w14:paraId="1BECA06C" w14:textId="77777777" w:rsidR="000353A6" w:rsidRPr="00671E8F" w:rsidRDefault="000353A6" w:rsidP="000353A6">
      <w:pPr>
        <w:spacing w:after="0" w:line="240" w:lineRule="auto"/>
        <w:rPr>
          <w:rFonts w:cstheme="minorHAnsi"/>
          <w:bCs/>
          <w:iCs/>
          <w:szCs w:val="72"/>
        </w:rPr>
      </w:pPr>
      <w:r w:rsidRPr="00671E8F">
        <w:rPr>
          <w:rFonts w:cstheme="minorHAnsi"/>
          <w:bCs/>
          <w:sz w:val="16"/>
          <w:szCs w:val="72"/>
        </w:rPr>
        <w:t>Извор: Министарство финансија</w:t>
      </w:r>
    </w:p>
    <w:p w14:paraId="5FD30123" w14:textId="55A58908" w:rsidR="000353A6" w:rsidRPr="00671E8F" w:rsidRDefault="000353A6" w:rsidP="000353A6">
      <w:pPr>
        <w:rPr>
          <w:rFonts w:cstheme="minorHAnsi"/>
          <w:bCs/>
          <w:szCs w:val="72"/>
        </w:rPr>
      </w:pPr>
      <w:r w:rsidRPr="00671E8F">
        <w:rPr>
          <w:rFonts w:cstheme="minorHAnsi"/>
          <w:bCs/>
          <w:szCs w:val="72"/>
        </w:rPr>
        <w:t>Прерађивачка индустрија је у првих осам месеци остварила повећање од 4,1%. Раст је био диверсификован и остварен у 15 од 24 делатности. Најзначајнији позитиван допринос расту прерађивачке индустрије у овом периоду потиче од производње основних метала и електронске индустрије које су забележиле повећање од 38,6% и 77,7% мг., респективно. У претходних осам месеци, про</w:t>
      </w:r>
      <w:r w:rsidR="00793531" w:rsidRPr="00671E8F">
        <w:rPr>
          <w:rFonts w:cstheme="minorHAnsi"/>
          <w:bCs/>
          <w:szCs w:val="72"/>
        </w:rPr>
        <w:t>и</w:t>
      </w:r>
      <w:r w:rsidRPr="00671E8F">
        <w:rPr>
          <w:rFonts w:cstheme="minorHAnsi"/>
          <w:bCs/>
          <w:szCs w:val="72"/>
        </w:rPr>
        <w:t>зводња прехрамбених производа, као једне од најзначајнијих делатности прерађивачке индустрије, забележила је раст од 6,5% мг. Након пада производње металних производа у претходној години од 9,6%, активност ове делатности се опоравила током 2024. године, забележивши раст од 10,4% у првих осам месеци. Упркос и даље слабој спољној тражњи, аутомобилска индустрија бележи раст од 6,4%, а производња електричне опреме и гумарска индустрија остварују повећање физичког обима од 6,5% и 9,9%, респективно, захваљујући пре свега ефектуирању СДИ из претходног периода. С друге стране, делатности које су оствариле пад производње збирно су имале негативан утицај на кретање прерађивачке индустрије од 1,9 п.п. Најзначајнији негативан допринос у првих осам месеци 2024. године потекао је од нафтне индустрије са смањењем производње од 18,2% мг., као последица планског ремонта у прерађивачком комплексу НИС током априла и маја када је производња нафтних деривата била готово потпуно обустављена. У истом периоду, обим производње машинске и фармацеутске индустрије је био нижи за 8,0%</w:t>
      </w:r>
      <w:r w:rsidR="00984A71" w:rsidRPr="00671E8F">
        <w:rPr>
          <w:rFonts w:cstheme="minorHAnsi"/>
          <w:bCs/>
          <w:szCs w:val="72"/>
        </w:rPr>
        <w:t xml:space="preserve"> </w:t>
      </w:r>
      <w:r w:rsidRPr="00671E8F">
        <w:rPr>
          <w:rFonts w:cstheme="minorHAnsi"/>
          <w:bCs/>
          <w:szCs w:val="72"/>
        </w:rPr>
        <w:t xml:space="preserve">и 4,3% мг. респективно. </w:t>
      </w:r>
    </w:p>
    <w:p w14:paraId="3CDF7481" w14:textId="68C1AC50" w:rsidR="000353A6" w:rsidRPr="00671E8F" w:rsidRDefault="00766439" w:rsidP="000353A6">
      <w:pPr>
        <w:rPr>
          <w:rFonts w:cstheme="minorHAnsi"/>
          <w:bCs/>
          <w:szCs w:val="72"/>
        </w:rPr>
      </w:pPr>
      <w:r w:rsidRPr="00671E8F">
        <w:rPr>
          <w:rFonts w:cstheme="minorHAnsi"/>
          <w:bCs/>
          <w:szCs w:val="72"/>
        </w:rPr>
        <w:t xml:space="preserve">Производњу </w:t>
      </w:r>
      <w:r w:rsidR="000353A6" w:rsidRPr="00671E8F">
        <w:rPr>
          <w:rFonts w:cstheme="minorHAnsi"/>
          <w:bCs/>
          <w:szCs w:val="72"/>
        </w:rPr>
        <w:t>енергетског сектора у првих осам месеци 2024. године карактеришу дивергентна кретања. У рударству је забележен раст од 7,8% пре свега као резултат веће експлоатације руде метала за 18,0%, док је најзначајнији негативан допринос потекао од експлоатације угља која је била мања за 3,9%. Истовремено, обим производње електричне енергије био је мањи за 7,2% пре свега услед лоше хидролошке ситуације, као и ремонта производних капацитета ЕПС током летњих месеци.</w:t>
      </w:r>
    </w:p>
    <w:p w14:paraId="63855C11" w14:textId="77777777" w:rsidR="000353A6" w:rsidRPr="00671E8F" w:rsidRDefault="000353A6" w:rsidP="000353A6">
      <w:pPr>
        <w:spacing w:after="0"/>
        <w:rPr>
          <w:rFonts w:cstheme="minorHAnsi"/>
          <w:bCs/>
          <w:iCs/>
          <w:color w:val="FF0000"/>
          <w:sz w:val="14"/>
          <w:szCs w:val="72"/>
        </w:rPr>
        <w:sectPr w:rsidR="000353A6" w:rsidRPr="00671E8F" w:rsidSect="000353A6">
          <w:type w:val="continuous"/>
          <w:pgSz w:w="12240" w:h="15840" w:code="1"/>
          <w:pgMar w:top="1440" w:right="1440" w:bottom="1440" w:left="1440" w:header="720" w:footer="720" w:gutter="0"/>
          <w:cols w:num="2" w:space="720"/>
          <w:docGrid w:linePitch="360"/>
          <w15:footnoteColumns w:val="1"/>
        </w:sectPr>
      </w:pPr>
    </w:p>
    <w:p w14:paraId="0E29E4E6" w14:textId="77777777" w:rsidR="000353A6" w:rsidRPr="00671E8F" w:rsidRDefault="000353A6" w:rsidP="000353A6">
      <w:pPr>
        <w:spacing w:after="60" w:line="240" w:lineRule="auto"/>
        <w:rPr>
          <w:rFonts w:cstheme="minorHAnsi"/>
          <w:b/>
          <w:color w:val="FF0000"/>
        </w:rPr>
      </w:pPr>
    </w:p>
    <w:p w14:paraId="783F1488" w14:textId="77777777" w:rsidR="000353A6" w:rsidRPr="00671E8F" w:rsidRDefault="000353A6" w:rsidP="008527D6">
      <w:pPr>
        <w:spacing w:after="60" w:line="240" w:lineRule="auto"/>
        <w:jc w:val="center"/>
        <w:rPr>
          <w:rFonts w:cstheme="minorHAnsi"/>
          <w:b/>
          <w:color w:val="002060"/>
        </w:rPr>
      </w:pPr>
      <w:r w:rsidRPr="00671E8F">
        <w:rPr>
          <w:rFonts w:cstheme="minorHAnsi"/>
          <w:b/>
          <w:color w:val="002060"/>
        </w:rPr>
        <w:lastRenderedPageBreak/>
        <w:t>Индекси физичког обима водећих делатности прерађивачке индустрије, 2023=100</w:t>
      </w:r>
    </w:p>
    <w:tbl>
      <w:tblPr>
        <w:tblStyle w:val="TableGrid5"/>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0353A6" w:rsidRPr="00671E8F" w14:paraId="25F69906" w14:textId="77777777" w:rsidTr="000353A6">
        <w:tc>
          <w:tcPr>
            <w:tcW w:w="4681" w:type="dxa"/>
          </w:tcPr>
          <w:p w14:paraId="2703A277" w14:textId="77777777" w:rsidR="000353A6" w:rsidRPr="00671E8F" w:rsidRDefault="000353A6" w:rsidP="000353A6">
            <w:pPr>
              <w:spacing w:before="40" w:after="20"/>
              <w:jc w:val="center"/>
            </w:pPr>
            <w:r w:rsidRPr="00671E8F">
              <w:t>Производња основних метала</w:t>
            </w:r>
          </w:p>
          <w:p w14:paraId="517C68D9"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7482214C" wp14:editId="3F4445C3">
                  <wp:extent cx="2880000" cy="1188720"/>
                  <wp:effectExtent l="0" t="0" r="0" b="0"/>
                  <wp:docPr id="39" name="Chart 39">
                    <a:extLst xmlns:a="http://schemas.openxmlformats.org/drawingml/2006/main">
                      <a:ext uri="{FF2B5EF4-FFF2-40B4-BE49-F238E27FC236}">
                        <a16:creationId xmlns:a16="http://schemas.microsoft.com/office/drawing/2014/main" id="{00000000-0008-0000-1B00-00001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c>
          <w:tcPr>
            <w:tcW w:w="4679" w:type="dxa"/>
          </w:tcPr>
          <w:p w14:paraId="2CCF40D3" w14:textId="77777777" w:rsidR="000353A6" w:rsidRPr="00671E8F" w:rsidRDefault="000353A6" w:rsidP="000353A6">
            <w:pPr>
              <w:spacing w:before="40" w:after="20"/>
              <w:jc w:val="center"/>
              <w:rPr>
                <w:color w:val="FF0000"/>
              </w:rPr>
            </w:pPr>
            <w:r w:rsidRPr="00671E8F">
              <w:t xml:space="preserve">Произв. рачунара, електронских и оптичких производа </w:t>
            </w:r>
            <w:r w:rsidRPr="00671E8F">
              <w:rPr>
                <w:noProof/>
                <w:lang w:val="en-US"/>
              </w:rPr>
              <w:drawing>
                <wp:inline distT="0" distB="0" distL="0" distR="0" wp14:anchorId="39352C12" wp14:editId="47E88D66">
                  <wp:extent cx="2880000" cy="1188720"/>
                  <wp:effectExtent l="0" t="0" r="0" b="0"/>
                  <wp:docPr id="8" name="Chart 8">
                    <a:extLst xmlns:a="http://schemas.openxmlformats.org/drawingml/2006/main">
                      <a:ext uri="{FF2B5EF4-FFF2-40B4-BE49-F238E27FC236}">
                        <a16:creationId xmlns:a16="http://schemas.microsoft.com/office/drawing/2014/main" id="{00000000-0008-0000-1B00-00004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r w:rsidR="000353A6" w:rsidRPr="00671E8F" w14:paraId="50476C1E" w14:textId="77777777" w:rsidTr="000353A6">
        <w:tc>
          <w:tcPr>
            <w:tcW w:w="4681" w:type="dxa"/>
          </w:tcPr>
          <w:p w14:paraId="005941C4" w14:textId="77777777" w:rsidR="000353A6" w:rsidRPr="00671E8F" w:rsidRDefault="000353A6" w:rsidP="000353A6">
            <w:pPr>
              <w:spacing w:before="40" w:after="20"/>
              <w:jc w:val="center"/>
            </w:pPr>
            <w:r w:rsidRPr="00671E8F">
              <w:t>Производња прехрамбених производа</w:t>
            </w:r>
          </w:p>
          <w:p w14:paraId="7B3CB3B9"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3F855A3F" wp14:editId="79E3F4B5">
                  <wp:extent cx="2880000" cy="1188720"/>
                  <wp:effectExtent l="0" t="0" r="0" b="0"/>
                  <wp:docPr id="6" name="Chart 6">
                    <a:extLst xmlns:a="http://schemas.openxmlformats.org/drawingml/2006/main">
                      <a:ext uri="{FF2B5EF4-FFF2-40B4-BE49-F238E27FC236}">
                        <a16:creationId xmlns:a16="http://schemas.microsoft.com/office/drawing/2014/main" id="{00000000-0008-0000-1B00-00001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c>
          <w:tcPr>
            <w:tcW w:w="4679" w:type="dxa"/>
          </w:tcPr>
          <w:p w14:paraId="62C7B0E6" w14:textId="77777777" w:rsidR="000353A6" w:rsidRPr="00671E8F" w:rsidRDefault="000353A6" w:rsidP="000353A6">
            <w:pPr>
              <w:spacing w:before="40" w:after="20"/>
              <w:jc w:val="center"/>
            </w:pPr>
            <w:r w:rsidRPr="00671E8F">
              <w:t>Производња металних производа, осим машина</w:t>
            </w:r>
          </w:p>
          <w:p w14:paraId="21DA56FA"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392FAB15" wp14:editId="74C30AAF">
                  <wp:extent cx="2880000" cy="1188720"/>
                  <wp:effectExtent l="0" t="0" r="0" b="0"/>
                  <wp:docPr id="90" name="Chart 90">
                    <a:extLst xmlns:a="http://schemas.openxmlformats.org/drawingml/2006/main">
                      <a:ext uri="{FF2B5EF4-FFF2-40B4-BE49-F238E27FC236}">
                        <a16:creationId xmlns:a16="http://schemas.microsoft.com/office/drawing/2014/main" id="{00000000-0008-0000-1B00-00003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0353A6" w:rsidRPr="00671E8F" w14:paraId="3C16A798" w14:textId="77777777" w:rsidTr="003625AD">
        <w:tc>
          <w:tcPr>
            <w:tcW w:w="4681" w:type="dxa"/>
          </w:tcPr>
          <w:p w14:paraId="5F0B96AF" w14:textId="77777777" w:rsidR="000353A6" w:rsidRPr="00671E8F" w:rsidRDefault="000353A6" w:rsidP="000353A6">
            <w:pPr>
              <w:spacing w:before="40" w:after="20"/>
              <w:jc w:val="center"/>
            </w:pPr>
            <w:r w:rsidRPr="00671E8F">
              <w:t>Производња моторних возила и приколица</w:t>
            </w:r>
          </w:p>
          <w:p w14:paraId="5AA0A4F8"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797DD568" wp14:editId="6B70DE1B">
                  <wp:extent cx="2880000" cy="1188720"/>
                  <wp:effectExtent l="0" t="0" r="0" b="0"/>
                  <wp:docPr id="43" name="Chart 43">
                    <a:extLst xmlns:a="http://schemas.openxmlformats.org/drawingml/2006/main">
                      <a:ext uri="{FF2B5EF4-FFF2-40B4-BE49-F238E27FC236}">
                        <a16:creationId xmlns:a16="http://schemas.microsoft.com/office/drawing/2014/main" id="{00000000-0008-0000-1B00-00002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c>
          <w:tcPr>
            <w:tcW w:w="4679" w:type="dxa"/>
          </w:tcPr>
          <w:p w14:paraId="5FE59F6D" w14:textId="77777777" w:rsidR="000353A6" w:rsidRPr="00671E8F" w:rsidRDefault="000353A6" w:rsidP="000353A6">
            <w:pPr>
              <w:spacing w:before="40" w:after="20"/>
              <w:jc w:val="center"/>
            </w:pPr>
            <w:r w:rsidRPr="00671E8F">
              <w:t>Производња производа од гуме и пластике</w:t>
            </w:r>
          </w:p>
          <w:p w14:paraId="0721F091" w14:textId="1661E7D4" w:rsidR="000353A6" w:rsidRPr="00671E8F" w:rsidRDefault="003625AD" w:rsidP="000353A6">
            <w:pPr>
              <w:spacing w:before="40" w:after="20"/>
              <w:jc w:val="center"/>
              <w:rPr>
                <w:color w:val="FF0000"/>
              </w:rPr>
            </w:pPr>
            <w:r w:rsidRPr="00671E8F">
              <w:rPr>
                <w:noProof/>
                <w:lang w:val="en-US"/>
              </w:rPr>
              <w:drawing>
                <wp:inline distT="0" distB="0" distL="0" distR="0" wp14:anchorId="45077852" wp14:editId="74AF136D">
                  <wp:extent cx="2880000" cy="1188720"/>
                  <wp:effectExtent l="0" t="0" r="0" b="0"/>
                  <wp:docPr id="3" name="Chart 3">
                    <a:extLst xmlns:a="http://schemas.openxmlformats.org/drawingml/2006/main">
                      <a:ext uri="{FF2B5EF4-FFF2-40B4-BE49-F238E27FC236}">
                        <a16:creationId xmlns:a16="http://schemas.microsoft.com/office/drawing/2014/main" id="{00000000-0008-0000-1B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r w:rsidR="000353A6" w:rsidRPr="00671E8F" w14:paraId="0BF71E09" w14:textId="77777777" w:rsidTr="000353A6">
        <w:tc>
          <w:tcPr>
            <w:tcW w:w="4681" w:type="dxa"/>
          </w:tcPr>
          <w:p w14:paraId="4C283F8B" w14:textId="77777777" w:rsidR="000353A6" w:rsidRPr="00671E8F" w:rsidRDefault="000353A6" w:rsidP="000353A6">
            <w:pPr>
              <w:spacing w:before="40" w:after="20"/>
              <w:jc w:val="center"/>
              <w:rPr>
                <w:spacing w:val="-6"/>
              </w:rPr>
            </w:pPr>
            <w:r w:rsidRPr="00671E8F">
              <w:rPr>
                <w:spacing w:val="-6"/>
              </w:rPr>
              <w:t>Производња електричне опреме</w:t>
            </w:r>
          </w:p>
          <w:p w14:paraId="3F1AA2B8"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395C34F7" wp14:editId="2168C205">
                  <wp:extent cx="2881465" cy="1188720"/>
                  <wp:effectExtent l="0" t="0" r="0" b="0"/>
                  <wp:docPr id="11" name="Chart 11">
                    <a:extLst xmlns:a="http://schemas.openxmlformats.org/drawingml/2006/main">
                      <a:ext uri="{FF2B5EF4-FFF2-40B4-BE49-F238E27FC236}">
                        <a16:creationId xmlns:a16="http://schemas.microsoft.com/office/drawing/2014/main" id="{00000000-0008-0000-1B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c>
          <w:tcPr>
            <w:tcW w:w="4679" w:type="dxa"/>
          </w:tcPr>
          <w:p w14:paraId="7BE143E8" w14:textId="77777777" w:rsidR="000353A6" w:rsidRPr="00671E8F" w:rsidRDefault="000353A6" w:rsidP="000353A6">
            <w:pPr>
              <w:spacing w:before="40" w:after="20"/>
              <w:jc w:val="center"/>
              <w:rPr>
                <w:color w:val="FF0000"/>
              </w:rPr>
            </w:pPr>
            <w:r w:rsidRPr="00671E8F">
              <w:t>Производња кокса и деривата нафте</w:t>
            </w:r>
            <w:r w:rsidRPr="00671E8F">
              <w:rPr>
                <w:noProof/>
                <w:lang w:val="en-US"/>
              </w:rPr>
              <w:drawing>
                <wp:inline distT="0" distB="0" distL="0" distR="0" wp14:anchorId="4AE80EEF" wp14:editId="4391CDDA">
                  <wp:extent cx="2880000" cy="1188720"/>
                  <wp:effectExtent l="0" t="0" r="0" b="0"/>
                  <wp:docPr id="24" name="Chart 24">
                    <a:extLst xmlns:a="http://schemas.openxmlformats.org/drawingml/2006/main">
                      <a:ext uri="{FF2B5EF4-FFF2-40B4-BE49-F238E27FC236}">
                        <a16:creationId xmlns:a16="http://schemas.microsoft.com/office/drawing/2014/main" id="{00000000-0008-0000-1B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r w:rsidR="000353A6" w:rsidRPr="00671E8F" w14:paraId="37CD3124" w14:textId="77777777" w:rsidTr="000353A6">
        <w:tc>
          <w:tcPr>
            <w:tcW w:w="4681" w:type="dxa"/>
          </w:tcPr>
          <w:p w14:paraId="2247F166" w14:textId="77777777" w:rsidR="000353A6" w:rsidRPr="00671E8F" w:rsidRDefault="000353A6" w:rsidP="000353A6">
            <w:pPr>
              <w:spacing w:before="40" w:after="20"/>
              <w:jc w:val="center"/>
            </w:pPr>
            <w:r w:rsidRPr="00671E8F">
              <w:t>Производња машина и опреме на дугом месту непоменуте</w:t>
            </w:r>
          </w:p>
          <w:p w14:paraId="3D049D63"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4B92F4AB" wp14:editId="5FC1211B">
                  <wp:extent cx="2881465" cy="1188720"/>
                  <wp:effectExtent l="0" t="0" r="0" b="0"/>
                  <wp:docPr id="92" name="Chart 92">
                    <a:extLst xmlns:a="http://schemas.openxmlformats.org/drawingml/2006/main">
                      <a:ext uri="{FF2B5EF4-FFF2-40B4-BE49-F238E27FC236}">
                        <a16:creationId xmlns:a16="http://schemas.microsoft.com/office/drawing/2014/main" id="{00000000-0008-0000-1B00-00003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c>
          <w:tcPr>
            <w:tcW w:w="4679" w:type="dxa"/>
          </w:tcPr>
          <w:p w14:paraId="7516B5CE" w14:textId="77777777" w:rsidR="000353A6" w:rsidRPr="00671E8F" w:rsidRDefault="000353A6" w:rsidP="000353A6">
            <w:pPr>
              <w:spacing w:before="40" w:after="20"/>
              <w:jc w:val="center"/>
            </w:pPr>
            <w:r w:rsidRPr="00671E8F">
              <w:t>Производња основних фармацеут. производа</w:t>
            </w:r>
          </w:p>
          <w:p w14:paraId="03498DAF" w14:textId="77777777" w:rsidR="000353A6" w:rsidRPr="00671E8F" w:rsidRDefault="000353A6" w:rsidP="000353A6">
            <w:pPr>
              <w:spacing w:before="40" w:after="20"/>
              <w:jc w:val="center"/>
              <w:rPr>
                <w:color w:val="FF0000"/>
              </w:rPr>
            </w:pPr>
            <w:r w:rsidRPr="00671E8F">
              <w:rPr>
                <w:noProof/>
                <w:lang w:val="en-US"/>
              </w:rPr>
              <w:drawing>
                <wp:inline distT="0" distB="0" distL="0" distR="0" wp14:anchorId="0F1FF29C" wp14:editId="57AB106E">
                  <wp:extent cx="2880000" cy="1188720"/>
                  <wp:effectExtent l="0" t="0" r="0" b="0"/>
                  <wp:docPr id="34" name="Chart 34">
                    <a:extLst xmlns:a="http://schemas.openxmlformats.org/drawingml/2006/main">
                      <a:ext uri="{FF2B5EF4-FFF2-40B4-BE49-F238E27FC236}">
                        <a16:creationId xmlns:a16="http://schemas.microsoft.com/office/drawing/2014/main" id="{00000000-0008-0000-1B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14:paraId="55E2FF41" w14:textId="77777777" w:rsidR="000353A6" w:rsidRPr="00671E8F" w:rsidRDefault="000353A6" w:rsidP="000353A6">
      <w:pPr>
        <w:spacing w:after="0" w:line="240" w:lineRule="auto"/>
        <w:jc w:val="center"/>
        <w:rPr>
          <w:rFonts w:cstheme="minorHAnsi"/>
          <w:b/>
          <w:bCs/>
          <w:color w:val="FF0000"/>
          <w:sz w:val="18"/>
          <w:szCs w:val="72"/>
        </w:rPr>
      </w:pPr>
      <w:r w:rsidRPr="00671E8F">
        <w:rPr>
          <w:noProof/>
          <w:color w:val="FF0000"/>
          <w:lang w:val="en-US"/>
        </w:rPr>
        <w:drawing>
          <wp:inline distT="0" distB="0" distL="0" distR="0" wp14:anchorId="58A229EB" wp14:editId="602F1408">
            <wp:extent cx="4371429" cy="219048"/>
            <wp:effectExtent l="0" t="0" r="0" b="0"/>
            <wp:docPr id="5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8"/>
                    <a:stretch>
                      <a:fillRect/>
                    </a:stretch>
                  </pic:blipFill>
                  <pic:spPr>
                    <a:xfrm>
                      <a:off x="0" y="0"/>
                      <a:ext cx="4371429" cy="219048"/>
                    </a:xfrm>
                    <a:prstGeom prst="rect">
                      <a:avLst/>
                    </a:prstGeom>
                  </pic:spPr>
                </pic:pic>
              </a:graphicData>
            </a:graphic>
          </wp:inline>
        </w:drawing>
      </w:r>
    </w:p>
    <w:p w14:paraId="1730F82A" w14:textId="183736F7" w:rsidR="000353A6" w:rsidRPr="00671E8F" w:rsidRDefault="000353A6" w:rsidP="008A12AB">
      <w:pPr>
        <w:spacing w:after="0" w:line="240" w:lineRule="auto"/>
        <w:jc w:val="left"/>
        <w:rPr>
          <w:rFonts w:cstheme="minorHAnsi"/>
          <w:b/>
          <w:bCs/>
          <w:sz w:val="14"/>
          <w:szCs w:val="72"/>
        </w:rPr>
        <w:sectPr w:rsidR="000353A6" w:rsidRPr="00671E8F" w:rsidSect="000353A6">
          <w:type w:val="continuous"/>
          <w:pgSz w:w="12240" w:h="15840" w:code="1"/>
          <w:pgMar w:top="1440" w:right="1440" w:bottom="1440" w:left="1440" w:header="720" w:footer="720" w:gutter="0"/>
          <w:cols w:space="720"/>
          <w:docGrid w:linePitch="360"/>
        </w:sectPr>
      </w:pPr>
      <w:r w:rsidRPr="00671E8F">
        <w:rPr>
          <w:rFonts w:cstheme="minorHAnsi"/>
          <w:bCs/>
          <w:sz w:val="16"/>
          <w:szCs w:val="72"/>
        </w:rPr>
        <w:t>Извор: Министарство финансија</w:t>
      </w:r>
    </w:p>
    <w:p w14:paraId="76460AA3" w14:textId="77777777" w:rsidR="00185913" w:rsidRPr="00671E8F" w:rsidRDefault="00185913" w:rsidP="000353A6">
      <w:pPr>
        <w:spacing w:after="80"/>
        <w:rPr>
          <w:rFonts w:cstheme="minorHAnsi"/>
          <w:bCs/>
          <w:spacing w:val="-4"/>
          <w:szCs w:val="72"/>
        </w:rPr>
      </w:pPr>
    </w:p>
    <w:p w14:paraId="135FD57F" w14:textId="77777777" w:rsidR="00185913" w:rsidRPr="00671E8F" w:rsidRDefault="00185913" w:rsidP="000353A6">
      <w:pPr>
        <w:spacing w:after="80"/>
        <w:rPr>
          <w:rFonts w:cstheme="minorHAnsi"/>
          <w:bCs/>
          <w:spacing w:val="-4"/>
          <w:szCs w:val="72"/>
        </w:rPr>
      </w:pPr>
    </w:p>
    <w:p w14:paraId="27B2A5D0" w14:textId="4BB900C8" w:rsidR="000353A6" w:rsidRPr="00671E8F" w:rsidRDefault="000353A6" w:rsidP="000353A6">
      <w:pPr>
        <w:spacing w:after="80"/>
        <w:rPr>
          <w:rFonts w:cstheme="minorHAnsi"/>
          <w:bCs/>
          <w:szCs w:val="72"/>
        </w:rPr>
      </w:pPr>
      <w:r w:rsidRPr="00671E8F">
        <w:rPr>
          <w:rFonts w:cstheme="minorHAnsi"/>
          <w:bCs/>
          <w:spacing w:val="-4"/>
          <w:szCs w:val="72"/>
        </w:rPr>
        <w:lastRenderedPageBreak/>
        <w:t xml:space="preserve">Наставак позитивних кретања забележен је и у грађевинарству. У првој половини 2024. године вредност изведених грађевинских радова била је реално већа за 13,3% мг., подржана растом вредности изведених радова у нискоградњи од 19,0% мг. и високоградњи од 2,6% мг. </w:t>
      </w:r>
    </w:p>
    <w:p w14:paraId="0B8FDBE1" w14:textId="77777777" w:rsidR="000353A6" w:rsidRPr="00671E8F" w:rsidRDefault="000353A6" w:rsidP="000353A6">
      <w:pPr>
        <w:spacing w:after="0" w:line="240" w:lineRule="auto"/>
        <w:jc w:val="center"/>
        <w:rPr>
          <w:rFonts w:cstheme="minorHAnsi"/>
          <w:b/>
          <w:bCs/>
          <w:iCs/>
          <w:color w:val="002060"/>
          <w:szCs w:val="72"/>
        </w:rPr>
      </w:pPr>
      <w:r w:rsidRPr="00671E8F">
        <w:rPr>
          <w:rFonts w:cstheme="minorHAnsi"/>
          <w:b/>
          <w:bCs/>
          <w:iCs/>
          <w:color w:val="002060"/>
          <w:szCs w:val="72"/>
        </w:rPr>
        <w:t>Индекси вредности изведених грађевинских радова (2023=100)</w:t>
      </w:r>
    </w:p>
    <w:p w14:paraId="28F30CDF" w14:textId="77777777" w:rsidR="000353A6" w:rsidRPr="00671E8F" w:rsidRDefault="000353A6" w:rsidP="000353A6">
      <w:pPr>
        <w:spacing w:after="0" w:line="240" w:lineRule="auto"/>
        <w:rPr>
          <w:rFonts w:cstheme="minorHAnsi"/>
          <w:bCs/>
          <w:color w:val="FF0000"/>
          <w:szCs w:val="72"/>
        </w:rPr>
      </w:pPr>
      <w:r w:rsidRPr="00671E8F">
        <w:rPr>
          <w:noProof/>
          <w:lang w:val="en-US"/>
        </w:rPr>
        <w:drawing>
          <wp:inline distT="0" distB="0" distL="0" distR="0" wp14:anchorId="092053D2" wp14:editId="383C5BC2">
            <wp:extent cx="2734056" cy="1453896"/>
            <wp:effectExtent l="0" t="0" r="0" b="0"/>
            <wp:docPr id="59" name="Chart 59">
              <a:extLst xmlns:a="http://schemas.openxmlformats.org/drawingml/2006/main">
                <a:ext uri="{FF2B5EF4-FFF2-40B4-BE49-F238E27FC236}">
                  <a16:creationId xmlns:a16="http://schemas.microsoft.com/office/drawing/2014/main" id="{00000000-0008-0000-1E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0F41A174" w14:textId="77777777" w:rsidR="000353A6" w:rsidRPr="00671E8F" w:rsidRDefault="000353A6" w:rsidP="000353A6">
      <w:pPr>
        <w:spacing w:after="80"/>
        <w:rPr>
          <w:rFonts w:cstheme="minorHAnsi"/>
          <w:bCs/>
          <w:sz w:val="16"/>
          <w:szCs w:val="16"/>
        </w:rPr>
      </w:pPr>
      <w:r w:rsidRPr="00671E8F">
        <w:rPr>
          <w:rFonts w:cstheme="minorHAnsi"/>
          <w:bCs/>
          <w:sz w:val="16"/>
          <w:szCs w:val="16"/>
        </w:rPr>
        <w:t>Извор: РЗС</w:t>
      </w:r>
    </w:p>
    <w:p w14:paraId="63DB9BD5" w14:textId="77777777" w:rsidR="000353A6" w:rsidRPr="00671E8F" w:rsidRDefault="000353A6" w:rsidP="000353A6">
      <w:pPr>
        <w:spacing w:after="80"/>
        <w:rPr>
          <w:rFonts w:cstheme="minorHAnsi"/>
          <w:bCs/>
          <w:szCs w:val="72"/>
        </w:rPr>
      </w:pPr>
      <w:r w:rsidRPr="00671E8F">
        <w:rPr>
          <w:rFonts w:cstheme="minorHAnsi"/>
          <w:bCs/>
          <w:szCs w:val="72"/>
        </w:rPr>
        <w:t xml:space="preserve">Са успоравањем инфлације и растом реалног расположивог дохотка становништва од средине претходне године дошло је до убрзања активности реалног промета у трговини на мало. Такви трендови настављени су и током 2024. године, при чему је раст промета у сталним ценама у првих осам месеци био већи за 7,1%. У овом периоду, повећање промета у трговини на мало праћено је </w:t>
      </w:r>
      <w:r w:rsidRPr="00671E8F">
        <w:rPr>
          <w:rFonts w:cstheme="minorHAnsi"/>
          <w:bCs/>
          <w:szCs w:val="72"/>
        </w:rPr>
        <w:t>реалним растом промета све три категорије производа - прехрамбених производа за 7,5% мг., непрехрамбених производа за 8,9% мг. и моторних горива за 3,1% мг.</w:t>
      </w:r>
    </w:p>
    <w:p w14:paraId="7AF61929" w14:textId="3324A5E2" w:rsidR="000353A6" w:rsidRPr="00671E8F" w:rsidRDefault="000353A6" w:rsidP="000353A6">
      <w:pPr>
        <w:spacing w:after="80"/>
        <w:rPr>
          <w:rFonts w:cstheme="minorHAnsi"/>
          <w:bCs/>
          <w:szCs w:val="72"/>
        </w:rPr>
      </w:pPr>
      <w:r w:rsidRPr="00671E8F">
        <w:rPr>
          <w:rFonts w:cstheme="minorHAnsi"/>
          <w:bCs/>
          <w:szCs w:val="72"/>
        </w:rPr>
        <w:t xml:space="preserve">Током 2024. године настављена су добра кретања у туризму и угоститељству, при чему је у првих осам месеци број долазака и ноћења туриста међугодишње увећан за 7,3% и 3,4%, респективно, праћен растом активности страних туриста. </w:t>
      </w:r>
      <w:r w:rsidR="00C769A1" w:rsidRPr="00671E8F">
        <w:rPr>
          <w:rFonts w:cstheme="minorHAnsi"/>
          <w:bCs/>
          <w:szCs w:val="72"/>
        </w:rPr>
        <w:t>У првих осам</w:t>
      </w:r>
      <w:r w:rsidRPr="00671E8F">
        <w:rPr>
          <w:rFonts w:cstheme="minorHAnsi"/>
          <w:bCs/>
          <w:szCs w:val="72"/>
        </w:rPr>
        <w:t xml:space="preserve"> месеци, девизни прилив од тур</w:t>
      </w:r>
      <w:r w:rsidR="00C769A1" w:rsidRPr="00671E8F">
        <w:rPr>
          <w:rFonts w:cstheme="minorHAnsi"/>
          <w:bCs/>
          <w:szCs w:val="72"/>
        </w:rPr>
        <w:t>из</w:t>
      </w:r>
      <w:r w:rsidR="007A78CA" w:rsidRPr="00671E8F">
        <w:rPr>
          <w:rFonts w:cstheme="minorHAnsi"/>
          <w:bCs/>
          <w:szCs w:val="72"/>
        </w:rPr>
        <w:t>ма је међугодишње увећан за 13</w:t>
      </w:r>
      <w:r w:rsidRPr="00671E8F">
        <w:rPr>
          <w:rFonts w:cstheme="minorHAnsi"/>
          <w:bCs/>
          <w:szCs w:val="72"/>
        </w:rPr>
        <w:t>%. Поред тога, настављен је раст промета у угоститељству, при чему је у првих седам месеци реално већи за 10,3% мг.</w:t>
      </w:r>
    </w:p>
    <w:p w14:paraId="4E30317B" w14:textId="65C773D8" w:rsidR="000353A6" w:rsidRPr="00671E8F" w:rsidRDefault="000353A6" w:rsidP="000353A6">
      <w:pPr>
        <w:spacing w:after="80"/>
        <w:rPr>
          <w:rFonts w:cstheme="minorHAnsi"/>
          <w:bCs/>
          <w:szCs w:val="72"/>
        </w:rPr>
      </w:pPr>
      <w:r w:rsidRPr="00671E8F">
        <w:rPr>
          <w:rFonts w:cstheme="minorHAnsi"/>
          <w:bCs/>
          <w:szCs w:val="72"/>
        </w:rPr>
        <w:t xml:space="preserve">Сектор информационо комуникационих технологија континуирано расте уз све значајнију улогу овог сектора, при чему је у првих шест месеци 2024. године остварен снажан реални раст БДВ овог сектора од 6,1% мг. Ово је праћено и повећањем извозне активности ИКТ сектора током 2024. године, при чему је у првих </w:t>
      </w:r>
      <w:r w:rsidR="004865CA" w:rsidRPr="00671E8F">
        <w:rPr>
          <w:rFonts w:cstheme="minorHAnsi"/>
          <w:bCs/>
          <w:szCs w:val="72"/>
        </w:rPr>
        <w:t>осам</w:t>
      </w:r>
      <w:r w:rsidRPr="00671E8F">
        <w:rPr>
          <w:rFonts w:cstheme="minorHAnsi"/>
          <w:bCs/>
          <w:color w:val="FF0000"/>
          <w:szCs w:val="72"/>
        </w:rPr>
        <w:t xml:space="preserve"> </w:t>
      </w:r>
      <w:r w:rsidRPr="00671E8F">
        <w:rPr>
          <w:rFonts w:cstheme="minorHAnsi"/>
          <w:bCs/>
          <w:szCs w:val="72"/>
        </w:rPr>
        <w:t>месе</w:t>
      </w:r>
      <w:r w:rsidR="00C769A1" w:rsidRPr="00671E8F">
        <w:rPr>
          <w:rFonts w:cstheme="minorHAnsi"/>
          <w:bCs/>
          <w:szCs w:val="72"/>
        </w:rPr>
        <w:t>ци извоз овог сектора вредео 2,6</w:t>
      </w:r>
      <w:r w:rsidRPr="00671E8F">
        <w:rPr>
          <w:rFonts w:cstheme="minorHAnsi"/>
          <w:bCs/>
          <w:szCs w:val="72"/>
        </w:rPr>
        <w:t xml:space="preserve"> млрд евра, одно</w:t>
      </w:r>
      <w:r w:rsidR="00C769A1" w:rsidRPr="00671E8F">
        <w:rPr>
          <w:rFonts w:cstheme="minorHAnsi"/>
          <w:bCs/>
          <w:szCs w:val="72"/>
        </w:rPr>
        <w:t>сно међугодишње је повећан за 18,6</w:t>
      </w:r>
      <w:r w:rsidRPr="00671E8F">
        <w:rPr>
          <w:rFonts w:cstheme="minorHAnsi"/>
          <w:bCs/>
          <w:szCs w:val="72"/>
        </w:rPr>
        <w:t>%, чиме је опредељено нешто више од две петине укупног извоза услужних делатности.</w:t>
      </w:r>
    </w:p>
    <w:p w14:paraId="29E711A1" w14:textId="77777777" w:rsidR="000353A6" w:rsidRPr="00671E8F" w:rsidRDefault="000353A6" w:rsidP="000353A6">
      <w:pPr>
        <w:spacing w:before="240" w:after="0"/>
        <w:jc w:val="center"/>
        <w:rPr>
          <w:rFonts w:cstheme="minorHAnsi"/>
          <w:b/>
          <w:color w:val="FF0000"/>
          <w:sz w:val="6"/>
        </w:rPr>
        <w:sectPr w:rsidR="000353A6" w:rsidRPr="00671E8F" w:rsidSect="000353A6">
          <w:type w:val="continuous"/>
          <w:pgSz w:w="12240" w:h="15840" w:code="1"/>
          <w:pgMar w:top="1440" w:right="1440" w:bottom="1440" w:left="1440" w:header="720" w:footer="720" w:gutter="0"/>
          <w:cols w:num="2" w:space="720"/>
          <w:docGrid w:linePitch="360"/>
        </w:sectPr>
      </w:pPr>
    </w:p>
    <w:p w14:paraId="209C0E14" w14:textId="77777777" w:rsidR="000353A6" w:rsidRPr="00671E8F" w:rsidRDefault="000353A6" w:rsidP="0074568F">
      <w:pPr>
        <w:spacing w:before="80" w:after="80"/>
        <w:jc w:val="center"/>
        <w:rPr>
          <w:rFonts w:cstheme="minorHAnsi"/>
          <w:b/>
          <w:color w:val="002060"/>
        </w:rPr>
      </w:pPr>
      <w:r w:rsidRPr="00671E8F">
        <w:rPr>
          <w:rFonts w:cstheme="minorHAnsi"/>
          <w:b/>
          <w:color w:val="002060"/>
        </w:rPr>
        <w:t>Високофреквентни индикатори најзначајнијих услужних делатности, 2023=100</w:t>
      </w:r>
    </w:p>
    <w:tbl>
      <w:tblPr>
        <w:tblStyle w:val="TableGrid6"/>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0353A6" w:rsidRPr="00671E8F" w14:paraId="7B47FA72" w14:textId="77777777" w:rsidTr="000353A6">
        <w:tc>
          <w:tcPr>
            <w:tcW w:w="4681" w:type="dxa"/>
          </w:tcPr>
          <w:p w14:paraId="1DD4DEC6" w14:textId="77777777" w:rsidR="000353A6" w:rsidRPr="00671E8F" w:rsidRDefault="000353A6" w:rsidP="000353A6">
            <w:pPr>
              <w:spacing w:before="60"/>
              <w:jc w:val="center"/>
            </w:pPr>
            <w:r w:rsidRPr="00671E8F">
              <w:t>Промет у трговини на мало у сталним ценама</w:t>
            </w:r>
          </w:p>
          <w:p w14:paraId="0A730CAD" w14:textId="77777777" w:rsidR="000353A6" w:rsidRPr="00671E8F" w:rsidRDefault="000353A6" w:rsidP="000353A6">
            <w:pPr>
              <w:spacing w:before="60"/>
              <w:jc w:val="center"/>
              <w:rPr>
                <w:color w:val="FF0000"/>
              </w:rPr>
            </w:pPr>
            <w:r w:rsidRPr="00671E8F">
              <w:rPr>
                <w:noProof/>
                <w:lang w:val="en-US"/>
              </w:rPr>
              <w:drawing>
                <wp:inline distT="0" distB="0" distL="0" distR="0" wp14:anchorId="7E98EB5A" wp14:editId="4B89DFA5">
                  <wp:extent cx="2881504" cy="1188720"/>
                  <wp:effectExtent l="0" t="0" r="0" b="0"/>
                  <wp:docPr id="9" name="Chart 9">
                    <a:extLst xmlns:a="http://schemas.openxmlformats.org/drawingml/2006/main">
                      <a:ext uri="{FF2B5EF4-FFF2-40B4-BE49-F238E27FC236}">
                        <a16:creationId xmlns:a16="http://schemas.microsoft.com/office/drawing/2014/main" id="{00000000-0008-0000-1C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c>
          <w:tcPr>
            <w:tcW w:w="4679" w:type="dxa"/>
          </w:tcPr>
          <w:p w14:paraId="7ABA0BE8" w14:textId="77777777" w:rsidR="000353A6" w:rsidRPr="00671E8F" w:rsidRDefault="000353A6" w:rsidP="000353A6">
            <w:pPr>
              <w:spacing w:before="60"/>
              <w:jc w:val="center"/>
            </w:pPr>
            <w:r w:rsidRPr="00671E8F">
              <w:t>Промет у угоститељству у сталним ценама</w:t>
            </w:r>
          </w:p>
          <w:p w14:paraId="4E67B2ED" w14:textId="77777777" w:rsidR="000353A6" w:rsidRPr="00671E8F" w:rsidRDefault="000353A6" w:rsidP="000353A6">
            <w:pPr>
              <w:spacing w:before="60"/>
              <w:jc w:val="center"/>
              <w:rPr>
                <w:color w:val="FF0000"/>
              </w:rPr>
            </w:pPr>
            <w:r w:rsidRPr="00671E8F">
              <w:rPr>
                <w:noProof/>
                <w:lang w:val="en-US"/>
              </w:rPr>
              <w:drawing>
                <wp:inline distT="0" distB="0" distL="0" distR="0" wp14:anchorId="035591D7" wp14:editId="04C890DE">
                  <wp:extent cx="2880000" cy="1188720"/>
                  <wp:effectExtent l="0" t="0" r="0" b="0"/>
                  <wp:docPr id="17" name="Chart 17">
                    <a:extLst xmlns:a="http://schemas.openxmlformats.org/drawingml/2006/main">
                      <a:ext uri="{FF2B5EF4-FFF2-40B4-BE49-F238E27FC236}">
                        <a16:creationId xmlns:a16="http://schemas.microsoft.com/office/drawing/2014/main" id="{00000000-0008-0000-1C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r w:rsidR="000353A6" w:rsidRPr="00671E8F" w14:paraId="7DF63E87" w14:textId="77777777" w:rsidTr="000353A6">
        <w:tc>
          <w:tcPr>
            <w:tcW w:w="4681" w:type="dxa"/>
          </w:tcPr>
          <w:p w14:paraId="135FEB24" w14:textId="77777777" w:rsidR="000353A6" w:rsidRPr="00671E8F" w:rsidRDefault="000353A6" w:rsidP="000353A6">
            <w:pPr>
              <w:spacing w:before="60"/>
              <w:jc w:val="center"/>
              <w:rPr>
                <w:color w:val="FF0000"/>
              </w:rPr>
            </w:pPr>
          </w:p>
        </w:tc>
        <w:tc>
          <w:tcPr>
            <w:tcW w:w="4679" w:type="dxa"/>
          </w:tcPr>
          <w:p w14:paraId="61CC8424" w14:textId="77777777" w:rsidR="000353A6" w:rsidRPr="00671E8F" w:rsidRDefault="000353A6" w:rsidP="000353A6">
            <w:pPr>
              <w:spacing w:before="60"/>
              <w:jc w:val="center"/>
              <w:rPr>
                <w:color w:val="FF0000"/>
              </w:rPr>
            </w:pPr>
          </w:p>
        </w:tc>
      </w:tr>
      <w:tr w:rsidR="000353A6" w:rsidRPr="00671E8F" w14:paraId="55E4E927" w14:textId="77777777" w:rsidTr="000A179B">
        <w:tc>
          <w:tcPr>
            <w:tcW w:w="4681" w:type="dxa"/>
          </w:tcPr>
          <w:p w14:paraId="6AC9BEFF" w14:textId="77777777" w:rsidR="000353A6" w:rsidRPr="00671E8F" w:rsidRDefault="000353A6" w:rsidP="000353A6">
            <w:pPr>
              <w:jc w:val="center"/>
            </w:pPr>
            <w:r w:rsidRPr="00671E8F">
              <w:t>Извоз услуга телекомуникација, компјутерских и информацијских услуга</w:t>
            </w:r>
          </w:p>
          <w:p w14:paraId="58B12383" w14:textId="0563380A" w:rsidR="000353A6" w:rsidRPr="00671E8F" w:rsidRDefault="00873C41" w:rsidP="000353A6">
            <w:pPr>
              <w:jc w:val="center"/>
              <w:rPr>
                <w:color w:val="FF0000"/>
              </w:rPr>
            </w:pPr>
            <w:r w:rsidRPr="00671E8F">
              <w:rPr>
                <w:noProof/>
                <w:lang w:val="en-US"/>
              </w:rPr>
              <w:drawing>
                <wp:inline distT="0" distB="0" distL="0" distR="0" wp14:anchorId="4A698A95" wp14:editId="628B6723">
                  <wp:extent cx="2880000" cy="1188720"/>
                  <wp:effectExtent l="0" t="0" r="0" b="0"/>
                  <wp:docPr id="16" name="Chart 16">
                    <a:extLst xmlns:a="http://schemas.openxmlformats.org/drawingml/2006/main">
                      <a:ext uri="{FF2B5EF4-FFF2-40B4-BE49-F238E27FC236}">
                        <a16:creationId xmlns:a16="http://schemas.microsoft.com/office/drawing/2014/main" id="{00000000-0008-0000-1D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c>
          <w:tcPr>
            <w:tcW w:w="4679" w:type="dxa"/>
          </w:tcPr>
          <w:p w14:paraId="1EAC4191" w14:textId="77777777" w:rsidR="000353A6" w:rsidRPr="00671E8F" w:rsidRDefault="000353A6" w:rsidP="000353A6">
            <w:pPr>
              <w:jc w:val="center"/>
              <w:rPr>
                <w:color w:val="FF0000"/>
                <w:sz w:val="18"/>
              </w:rPr>
            </w:pPr>
            <w:r w:rsidRPr="00671E8F">
              <w:t>Извоз туристичких услуга</w:t>
            </w:r>
            <w:r w:rsidRPr="00671E8F">
              <w:rPr>
                <w:color w:val="FF0000"/>
              </w:rPr>
              <w:br w:type="textWrapping" w:clear="all"/>
            </w:r>
          </w:p>
          <w:p w14:paraId="515C1D82" w14:textId="4B680C4C" w:rsidR="000353A6" w:rsidRPr="00671E8F" w:rsidRDefault="000A179B" w:rsidP="000353A6">
            <w:pPr>
              <w:spacing w:before="60"/>
              <w:jc w:val="center"/>
              <w:rPr>
                <w:color w:val="FF0000"/>
              </w:rPr>
            </w:pPr>
            <w:r w:rsidRPr="00671E8F">
              <w:rPr>
                <w:noProof/>
                <w:lang w:val="en-US"/>
              </w:rPr>
              <w:drawing>
                <wp:inline distT="0" distB="0" distL="0" distR="0" wp14:anchorId="71AC97CC" wp14:editId="472DB8BF">
                  <wp:extent cx="2880000" cy="1188720"/>
                  <wp:effectExtent l="0" t="0" r="0" b="0"/>
                  <wp:docPr id="14" name="Chart 14">
                    <a:extLst xmlns:a="http://schemas.openxmlformats.org/drawingml/2006/main">
                      <a:ext uri="{FF2B5EF4-FFF2-40B4-BE49-F238E27FC236}">
                        <a16:creationId xmlns:a16="http://schemas.microsoft.com/office/drawing/2014/main" id="{00000000-0008-0000-1D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bl>
    <w:p w14:paraId="49D170B5" w14:textId="77777777" w:rsidR="000353A6" w:rsidRPr="00671E8F" w:rsidRDefault="000353A6" w:rsidP="000353A6">
      <w:pPr>
        <w:spacing w:before="40" w:after="0" w:line="240" w:lineRule="auto"/>
        <w:jc w:val="center"/>
        <w:rPr>
          <w:rFonts w:cstheme="minorHAnsi"/>
          <w:b/>
          <w:sz w:val="18"/>
        </w:rPr>
      </w:pPr>
      <w:r w:rsidRPr="00671E8F">
        <w:rPr>
          <w:noProof/>
          <w:lang w:val="en-US"/>
        </w:rPr>
        <w:drawing>
          <wp:inline distT="0" distB="0" distL="0" distR="0" wp14:anchorId="043FB796" wp14:editId="1B72AEE4">
            <wp:extent cx="4371429" cy="219048"/>
            <wp:effectExtent l="0" t="0" r="0" b="0"/>
            <wp:docPr id="2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68"/>
                    <a:stretch>
                      <a:fillRect/>
                    </a:stretch>
                  </pic:blipFill>
                  <pic:spPr>
                    <a:xfrm>
                      <a:off x="0" y="0"/>
                      <a:ext cx="4371429" cy="219048"/>
                    </a:xfrm>
                    <a:prstGeom prst="rect">
                      <a:avLst/>
                    </a:prstGeom>
                  </pic:spPr>
                </pic:pic>
              </a:graphicData>
            </a:graphic>
          </wp:inline>
        </w:drawing>
      </w:r>
    </w:p>
    <w:p w14:paraId="02DDAD0B" w14:textId="77777777" w:rsidR="000353A6" w:rsidRPr="00671E8F" w:rsidRDefault="000353A6" w:rsidP="000353A6">
      <w:pPr>
        <w:spacing w:after="0"/>
        <w:jc w:val="left"/>
        <w:rPr>
          <w:rFonts w:cstheme="minorHAnsi"/>
          <w:bCs/>
          <w:sz w:val="16"/>
          <w:szCs w:val="72"/>
        </w:rPr>
      </w:pPr>
      <w:r w:rsidRPr="00671E8F">
        <w:rPr>
          <w:rFonts w:cstheme="minorHAnsi"/>
          <w:bCs/>
          <w:sz w:val="16"/>
          <w:szCs w:val="72"/>
        </w:rPr>
        <w:t>Извор: Министарство финансија</w:t>
      </w:r>
    </w:p>
    <w:p w14:paraId="0D4437F2" w14:textId="77777777" w:rsidR="000353A6" w:rsidRPr="00671E8F" w:rsidRDefault="000353A6" w:rsidP="000353A6">
      <w:pPr>
        <w:tabs>
          <w:tab w:val="left" w:pos="720"/>
          <w:tab w:val="left" w:pos="1440"/>
        </w:tabs>
        <w:spacing w:after="0"/>
        <w:rPr>
          <w:rFonts w:cstheme="minorHAnsi"/>
          <w:bCs/>
          <w:sz w:val="10"/>
          <w:szCs w:val="12"/>
        </w:rPr>
      </w:pPr>
    </w:p>
    <w:p w14:paraId="0D22F432" w14:textId="77777777" w:rsidR="000353A6" w:rsidRPr="00671E8F" w:rsidRDefault="000353A6" w:rsidP="000353A6">
      <w:pPr>
        <w:tabs>
          <w:tab w:val="left" w:pos="720"/>
          <w:tab w:val="left" w:pos="1440"/>
        </w:tabs>
        <w:spacing w:after="0"/>
        <w:rPr>
          <w:rFonts w:cstheme="minorHAnsi"/>
          <w:bCs/>
          <w:sz w:val="10"/>
          <w:szCs w:val="12"/>
        </w:rPr>
        <w:sectPr w:rsidR="000353A6" w:rsidRPr="00671E8F" w:rsidSect="000353A6">
          <w:type w:val="continuous"/>
          <w:pgSz w:w="12240" w:h="15840" w:code="1"/>
          <w:pgMar w:top="1440" w:right="1440" w:bottom="1440" w:left="1440" w:header="720" w:footer="720" w:gutter="0"/>
          <w:cols w:space="720"/>
          <w:docGrid w:linePitch="360"/>
        </w:sectPr>
      </w:pPr>
    </w:p>
    <w:p w14:paraId="10FECBE5" w14:textId="1016F639" w:rsidR="000353A6" w:rsidRPr="00671E8F" w:rsidRDefault="000353A6" w:rsidP="000353A6">
      <w:pPr>
        <w:spacing w:after="80"/>
        <w:rPr>
          <w:rFonts w:cstheme="minorHAnsi"/>
          <w:bCs/>
          <w:szCs w:val="72"/>
        </w:rPr>
      </w:pPr>
      <w:r w:rsidRPr="00671E8F">
        <w:rPr>
          <w:rFonts w:cstheme="minorHAnsi"/>
          <w:bCs/>
          <w:szCs w:val="72"/>
        </w:rPr>
        <w:lastRenderedPageBreak/>
        <w:t>Полазећи од текућих трендова у погледу кретања привредне активности, узимајући у обзир донете мере економске политике, ефекте наставка реализације инфраструктурних пројеката додатно подржаних новим инвестиционим циклусом у оквиру програма „Скок у будућност – Србија 2027”, уз уважавање економских изгледа најважнијих спољнотрговинских партнера, Министарство финансија очекује раст БДП у 2024. години од 3,8%, што је непромењено у односу на претходна очекивања. Међутим, матрицу ризика привредног раста у 2024. години која је у претходном документу била асиметрична навише, сада оцењујемо као симетричну, будући да је током летњих месеци дошло до материјал</w:t>
      </w:r>
      <w:r w:rsidR="00BE67BE" w:rsidRPr="00671E8F">
        <w:rPr>
          <w:rFonts w:cstheme="minorHAnsi"/>
          <w:bCs/>
          <w:szCs w:val="72"/>
        </w:rPr>
        <w:t>и</w:t>
      </w:r>
      <w:r w:rsidRPr="00671E8F">
        <w:rPr>
          <w:rFonts w:cstheme="minorHAnsi"/>
          <w:bCs/>
          <w:szCs w:val="72"/>
        </w:rPr>
        <w:t>зације негативног ризика везаног за обим пољопривредне производње услед изузетно непо</w:t>
      </w:r>
      <w:r w:rsidR="0051015F" w:rsidRPr="00671E8F">
        <w:rPr>
          <w:rFonts w:cstheme="minorHAnsi"/>
          <w:bCs/>
          <w:szCs w:val="72"/>
        </w:rPr>
        <w:t>вољних агрометеоролошких услова који су утицали да пољопривредна сезона буде значајно испод просечне.</w:t>
      </w:r>
      <w:r w:rsidRPr="00671E8F">
        <w:rPr>
          <w:rFonts w:cstheme="minorHAnsi"/>
          <w:bCs/>
          <w:szCs w:val="72"/>
        </w:rPr>
        <w:t xml:space="preserve"> </w:t>
      </w:r>
    </w:p>
    <w:p w14:paraId="19E0BB15" w14:textId="77777777" w:rsidR="000353A6" w:rsidRPr="00671E8F" w:rsidRDefault="000353A6" w:rsidP="000353A6">
      <w:pPr>
        <w:spacing w:after="80"/>
        <w:rPr>
          <w:rFonts w:cstheme="minorHAnsi"/>
          <w:bCs/>
          <w:szCs w:val="72"/>
        </w:rPr>
      </w:pPr>
    </w:p>
    <w:p w14:paraId="5D75CBA0" w14:textId="1D9F9B61" w:rsidR="000353A6" w:rsidRPr="00671E8F" w:rsidRDefault="000353A6" w:rsidP="000353A6">
      <w:pPr>
        <w:tabs>
          <w:tab w:val="left" w:pos="720"/>
          <w:tab w:val="left" w:pos="1440"/>
        </w:tabs>
        <w:spacing w:after="0"/>
        <w:jc w:val="center"/>
        <w:rPr>
          <w:rFonts w:cstheme="minorHAnsi"/>
          <w:b/>
          <w:color w:val="002060"/>
          <w:spacing w:val="-4"/>
        </w:rPr>
      </w:pPr>
      <w:r w:rsidRPr="00671E8F">
        <w:rPr>
          <w:rFonts w:cstheme="minorHAnsi"/>
          <w:b/>
          <w:color w:val="002060"/>
          <w:spacing w:val="-4"/>
        </w:rPr>
        <w:t>Пројекција динамике кварталног БДП (%, мг) потребна за достизање годишње процене привредног раста од 3,8% у 2024. години</w:t>
      </w:r>
      <w:r w:rsidR="007F5E7A" w:rsidRPr="00671E8F">
        <w:rPr>
          <w:rFonts w:cstheme="minorHAnsi"/>
          <w:b/>
          <w:color w:val="002060"/>
          <w:spacing w:val="-4"/>
        </w:rPr>
        <w:t xml:space="preserve"> са матрицом ризика</w:t>
      </w:r>
    </w:p>
    <w:p w14:paraId="0B119F68" w14:textId="77777777" w:rsidR="000353A6" w:rsidRPr="00671E8F" w:rsidRDefault="000353A6" w:rsidP="000353A6">
      <w:pPr>
        <w:tabs>
          <w:tab w:val="left" w:pos="720"/>
          <w:tab w:val="left" w:pos="1440"/>
        </w:tabs>
        <w:spacing w:after="0"/>
        <w:rPr>
          <w:rFonts w:cstheme="minorHAnsi"/>
          <w:bCs/>
          <w:szCs w:val="72"/>
        </w:rPr>
      </w:pPr>
      <w:r w:rsidRPr="00671E8F">
        <w:rPr>
          <w:noProof/>
          <w:lang w:val="en-US"/>
        </w:rPr>
        <w:drawing>
          <wp:inline distT="0" distB="0" distL="0" distR="0" wp14:anchorId="19AC198D" wp14:editId="034C43ED">
            <wp:extent cx="2806810" cy="2242185"/>
            <wp:effectExtent l="0" t="0" r="0" b="5715"/>
            <wp:docPr id="93" name="Chart 93">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3E1D09EF" w14:textId="77777777" w:rsidR="000353A6" w:rsidRPr="00671E8F" w:rsidRDefault="000353A6" w:rsidP="000353A6">
      <w:pPr>
        <w:tabs>
          <w:tab w:val="left" w:pos="720"/>
          <w:tab w:val="left" w:pos="1440"/>
        </w:tabs>
        <w:spacing w:after="0"/>
        <w:rPr>
          <w:rFonts w:cstheme="minorHAnsi"/>
          <w:bCs/>
          <w:sz w:val="16"/>
          <w:szCs w:val="16"/>
        </w:rPr>
      </w:pPr>
      <w:r w:rsidRPr="00671E8F">
        <w:rPr>
          <w:rFonts w:cstheme="minorHAnsi"/>
          <w:bCs/>
          <w:sz w:val="16"/>
          <w:szCs w:val="16"/>
        </w:rPr>
        <w:t>Извор: Министарство финансија</w:t>
      </w:r>
    </w:p>
    <w:p w14:paraId="7B12F5A7" w14:textId="77777777" w:rsidR="000353A6" w:rsidRPr="00671E8F" w:rsidRDefault="000353A6" w:rsidP="000353A6">
      <w:pPr>
        <w:tabs>
          <w:tab w:val="left" w:pos="720"/>
          <w:tab w:val="left" w:pos="1440"/>
        </w:tabs>
        <w:rPr>
          <w:rFonts w:cstheme="minorHAnsi"/>
          <w:bCs/>
          <w:color w:val="FF0000"/>
          <w:szCs w:val="72"/>
        </w:rPr>
      </w:pPr>
    </w:p>
    <w:p w14:paraId="5CA38BD5" w14:textId="77777777" w:rsidR="007F5E7A" w:rsidRPr="00671E8F" w:rsidRDefault="007F5E7A" w:rsidP="000353A6">
      <w:pPr>
        <w:tabs>
          <w:tab w:val="left" w:pos="720"/>
          <w:tab w:val="left" w:pos="1440"/>
        </w:tabs>
        <w:rPr>
          <w:rFonts w:cstheme="minorHAnsi"/>
          <w:bCs/>
          <w:szCs w:val="72"/>
        </w:rPr>
      </w:pPr>
    </w:p>
    <w:p w14:paraId="7BEF1366" w14:textId="77777777" w:rsidR="007F5E7A" w:rsidRPr="00671E8F" w:rsidRDefault="007F5E7A" w:rsidP="000353A6">
      <w:pPr>
        <w:tabs>
          <w:tab w:val="left" w:pos="720"/>
          <w:tab w:val="left" w:pos="1440"/>
        </w:tabs>
        <w:rPr>
          <w:rFonts w:cstheme="minorHAnsi"/>
          <w:bCs/>
          <w:szCs w:val="72"/>
        </w:rPr>
      </w:pPr>
    </w:p>
    <w:p w14:paraId="2E1936C2" w14:textId="77777777" w:rsidR="007F5E7A" w:rsidRPr="00671E8F" w:rsidRDefault="007F5E7A" w:rsidP="000353A6">
      <w:pPr>
        <w:tabs>
          <w:tab w:val="left" w:pos="720"/>
          <w:tab w:val="left" w:pos="1440"/>
        </w:tabs>
        <w:rPr>
          <w:rFonts w:cstheme="minorHAnsi"/>
          <w:bCs/>
          <w:szCs w:val="72"/>
        </w:rPr>
      </w:pPr>
    </w:p>
    <w:p w14:paraId="36575CDA" w14:textId="77777777" w:rsidR="007F5E7A" w:rsidRPr="00671E8F" w:rsidRDefault="007F5E7A" w:rsidP="000353A6">
      <w:pPr>
        <w:tabs>
          <w:tab w:val="left" w:pos="720"/>
          <w:tab w:val="left" w:pos="1440"/>
        </w:tabs>
        <w:rPr>
          <w:rFonts w:cstheme="minorHAnsi"/>
          <w:bCs/>
          <w:szCs w:val="72"/>
        </w:rPr>
      </w:pPr>
    </w:p>
    <w:p w14:paraId="66CCDEEF" w14:textId="77777777" w:rsidR="007F5E7A" w:rsidRPr="00671E8F" w:rsidRDefault="007F5E7A" w:rsidP="000353A6">
      <w:pPr>
        <w:tabs>
          <w:tab w:val="left" w:pos="720"/>
          <w:tab w:val="left" w:pos="1440"/>
        </w:tabs>
        <w:rPr>
          <w:rFonts w:cstheme="minorHAnsi"/>
          <w:bCs/>
          <w:szCs w:val="72"/>
        </w:rPr>
      </w:pPr>
    </w:p>
    <w:p w14:paraId="21671416" w14:textId="7AE87B4E" w:rsidR="000353A6" w:rsidRPr="00671E8F" w:rsidRDefault="000353A6" w:rsidP="000353A6">
      <w:pPr>
        <w:tabs>
          <w:tab w:val="left" w:pos="720"/>
          <w:tab w:val="left" w:pos="1440"/>
        </w:tabs>
        <w:rPr>
          <w:rFonts w:cstheme="minorHAnsi"/>
          <w:bCs/>
          <w:szCs w:val="72"/>
        </w:rPr>
      </w:pPr>
      <w:r w:rsidRPr="00671E8F">
        <w:rPr>
          <w:rFonts w:cstheme="minorHAnsi"/>
          <w:bCs/>
          <w:szCs w:val="72"/>
        </w:rPr>
        <w:t>И у ревидираној процени, раст БДП у 2024. години биће у потпуности опредељен домаћом тражњом. Повећање зарада, како у приватном тако и у јавном сектору, уз раст минималне зараде од 17,8%, већа запосленост и раст пензија резултираће растом реалне личне потрошње од 4,5%. Остварена профитабилност домаће привреде у претходном периоду, наставак стабилног прилива СДИ, додатно подржано убрзањем реализације капиталних инфраструктурних пројеката у оквиру програма „Скок у будућност – Србија 2027”, резултираће убрзањем фиксних инвестиција за које се очекује раст од 9,2%, што је ревизија навише за 0,3 п.п. у односу на оригиналну процену. Активирање нових извозно оријентисаних капацитета као резултат ефектуирања СДИ обезбедиће наставак стабилног раста реалног извоза. Међутим, услед и даље слабих перформанси прерађивачке индустрије наших најважнијих спољнотрговинских партнера – Немачке и Италије и по том основу мањег од очекиваног раста робног извоза наше економије, раст укупног извоза ревидир</w:t>
      </w:r>
      <w:r w:rsidR="00A47218" w:rsidRPr="00671E8F">
        <w:rPr>
          <w:rFonts w:cstheme="minorHAnsi"/>
          <w:bCs/>
          <w:szCs w:val="72"/>
        </w:rPr>
        <w:t>ан је благо наниже – са 7</w:t>
      </w:r>
      <w:r w:rsidRPr="00671E8F">
        <w:rPr>
          <w:rFonts w:cstheme="minorHAnsi"/>
          <w:bCs/>
          <w:szCs w:val="72"/>
        </w:rPr>
        <w:t>% на 4,4%. И у новој процени очекује се бржи раст увозне активности од извозне, услед снажног раста инвестиционе активности и увоза опреме по том основу, као и због раст увоза потрошне робе услед веће потрошње домаћинстава.</w:t>
      </w:r>
    </w:p>
    <w:p w14:paraId="4A791E58" w14:textId="1214777D" w:rsidR="000353A6" w:rsidRPr="00671E8F" w:rsidRDefault="000353A6" w:rsidP="000353A6">
      <w:pPr>
        <w:tabs>
          <w:tab w:val="left" w:pos="720"/>
          <w:tab w:val="left" w:pos="1440"/>
        </w:tabs>
        <w:rPr>
          <w:rFonts w:cstheme="minorHAnsi"/>
          <w:bCs/>
          <w:szCs w:val="72"/>
        </w:rPr>
      </w:pPr>
      <w:r w:rsidRPr="00671E8F">
        <w:rPr>
          <w:rFonts w:cstheme="minorHAnsi"/>
          <w:bCs/>
          <w:szCs w:val="72"/>
        </w:rPr>
        <w:t xml:space="preserve">Посматрано са производне стране у 2024. години очекује се повећање креиране БДВ код свих привредних сектора, осим код пољопривреде за коју се према првим проценама РЗС очекује пад од око 4% услед неповољних агрометеоролошких услова током летњих месеци. Услужни сектор и у новој пројекцији задржава улогу доминантног извора економског раста. Раст би требало да буде диверсификован и остварен у свим услужним делатностима, а посебно снажан у трговини и саобраћају, туризму и угоститељству, уз наставак добрих резултата у ИКТ сектору и стручно техничким услугама. Индустрија ће наставити са растом и током 2024. године, пре свега услед активирања нових производних капацитета. Очекује се </w:t>
      </w:r>
      <w:r w:rsidR="00A47218" w:rsidRPr="00671E8F">
        <w:rPr>
          <w:rFonts w:cstheme="minorHAnsi"/>
          <w:bCs/>
          <w:szCs w:val="72"/>
        </w:rPr>
        <w:t>стабилан раст</w:t>
      </w:r>
      <w:r w:rsidRPr="00671E8F">
        <w:rPr>
          <w:rFonts w:cstheme="minorHAnsi"/>
          <w:bCs/>
          <w:szCs w:val="72"/>
        </w:rPr>
        <w:t xml:space="preserve"> грађевинске активности услед наставка извођења започетих инфраструктурних пројеката</w:t>
      </w:r>
      <w:r w:rsidR="007F5E7A" w:rsidRPr="00671E8F">
        <w:rPr>
          <w:rFonts w:cstheme="minorHAnsi"/>
          <w:bCs/>
          <w:szCs w:val="72"/>
        </w:rPr>
        <w:t>.</w:t>
      </w:r>
    </w:p>
    <w:p w14:paraId="238DF475" w14:textId="77777777" w:rsidR="000353A6" w:rsidRPr="00671E8F" w:rsidRDefault="000353A6" w:rsidP="000353A6">
      <w:pPr>
        <w:tabs>
          <w:tab w:val="left" w:pos="720"/>
          <w:tab w:val="left" w:pos="1440"/>
        </w:tabs>
        <w:rPr>
          <w:rFonts w:cstheme="minorHAnsi"/>
          <w:bCs/>
          <w:szCs w:val="72"/>
        </w:rPr>
      </w:pPr>
    </w:p>
    <w:p w14:paraId="17E7E1DB" w14:textId="77777777" w:rsidR="000353A6" w:rsidRPr="00671E8F" w:rsidRDefault="000353A6" w:rsidP="000353A6">
      <w:pPr>
        <w:tabs>
          <w:tab w:val="left" w:pos="720"/>
          <w:tab w:val="left" w:pos="1440"/>
        </w:tabs>
        <w:rPr>
          <w:rFonts w:cstheme="minorHAnsi"/>
          <w:bCs/>
          <w:szCs w:val="72"/>
        </w:rPr>
        <w:sectPr w:rsidR="000353A6" w:rsidRPr="00671E8F" w:rsidSect="000353A6">
          <w:type w:val="continuous"/>
          <w:pgSz w:w="12240" w:h="15840" w:code="1"/>
          <w:pgMar w:top="1440" w:right="1440" w:bottom="1440" w:left="1440" w:header="720" w:footer="720" w:gutter="0"/>
          <w:cols w:num="2" w:space="720"/>
          <w:docGrid w:linePitch="360"/>
        </w:sectPr>
      </w:pPr>
    </w:p>
    <w:p w14:paraId="35D04EA0" w14:textId="77777777" w:rsidR="000353A6" w:rsidRPr="00671E8F" w:rsidRDefault="000353A6" w:rsidP="00254447">
      <w:pPr>
        <w:spacing w:after="40"/>
        <w:jc w:val="center"/>
        <w:rPr>
          <w:rFonts w:ascii="Calibri" w:eastAsia="Calibri" w:hAnsi="Calibri" w:cs="Calibri"/>
          <w:b/>
          <w:color w:val="002060"/>
        </w:rPr>
      </w:pPr>
      <w:r w:rsidRPr="00671E8F">
        <w:rPr>
          <w:rFonts w:ascii="Calibri" w:eastAsia="Calibri" w:hAnsi="Calibri" w:cs="Calibri"/>
          <w:b/>
          <w:color w:val="002060"/>
        </w:rPr>
        <w:lastRenderedPageBreak/>
        <w:t>Табела 3. БДП, стопе реалног раста, %</w:t>
      </w:r>
    </w:p>
    <w:tbl>
      <w:tblPr>
        <w:tblStyle w:val="TableGrid"/>
        <w:tblW w:w="4999"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50"/>
        <w:gridCol w:w="1302"/>
        <w:gridCol w:w="1375"/>
        <w:gridCol w:w="1225"/>
        <w:gridCol w:w="1300"/>
        <w:gridCol w:w="1300"/>
      </w:tblGrid>
      <w:tr w:rsidR="000353A6" w:rsidRPr="00671E8F" w14:paraId="06D3B220" w14:textId="77777777" w:rsidTr="000353A6">
        <w:trPr>
          <w:jc w:val="center"/>
        </w:trPr>
        <w:tc>
          <w:tcPr>
            <w:tcW w:w="1524" w:type="pct"/>
            <w:tcBorders>
              <w:top w:val="single" w:sz="4" w:space="0" w:color="002060"/>
              <w:left w:val="single" w:sz="2" w:space="0" w:color="FFFFFF"/>
              <w:bottom w:val="single" w:sz="2" w:space="0" w:color="FFFFFF"/>
              <w:right w:val="single" w:sz="2" w:space="0" w:color="FFFFFF"/>
            </w:tcBorders>
          </w:tcPr>
          <w:p w14:paraId="13650F38" w14:textId="77777777" w:rsidR="000353A6" w:rsidRPr="00671E8F" w:rsidRDefault="000353A6" w:rsidP="000353A6">
            <w:pPr>
              <w:rPr>
                <w:rFonts w:ascii="Calibri" w:eastAsia="Calibri" w:hAnsi="Calibri" w:cs="Calibri"/>
                <w:color w:val="002060"/>
                <w:sz w:val="18"/>
              </w:rPr>
            </w:pPr>
          </w:p>
        </w:tc>
        <w:tc>
          <w:tcPr>
            <w:tcW w:w="696" w:type="pct"/>
            <w:tcBorders>
              <w:top w:val="single" w:sz="4" w:space="0" w:color="002060"/>
              <w:left w:val="single" w:sz="2" w:space="0" w:color="FFFFFF"/>
              <w:bottom w:val="single" w:sz="4" w:space="0" w:color="002060"/>
              <w:right w:val="single" w:sz="2" w:space="0" w:color="FFFFFF"/>
            </w:tcBorders>
            <w:vAlign w:val="center"/>
          </w:tcPr>
          <w:p w14:paraId="27058893"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2023</w:t>
            </w:r>
          </w:p>
        </w:tc>
        <w:tc>
          <w:tcPr>
            <w:tcW w:w="735" w:type="pct"/>
            <w:tcBorders>
              <w:top w:val="single" w:sz="4" w:space="0" w:color="002060"/>
              <w:left w:val="single" w:sz="2" w:space="0" w:color="FFFFFF"/>
              <w:bottom w:val="single" w:sz="4" w:space="0" w:color="002060"/>
              <w:right w:val="single" w:sz="2" w:space="0" w:color="FFFFFF"/>
            </w:tcBorders>
            <w:vAlign w:val="center"/>
          </w:tcPr>
          <w:p w14:paraId="1A552FD8"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Q1 2024</w:t>
            </w:r>
          </w:p>
        </w:tc>
        <w:tc>
          <w:tcPr>
            <w:tcW w:w="655" w:type="pct"/>
            <w:tcBorders>
              <w:top w:val="single" w:sz="4" w:space="0" w:color="002060"/>
              <w:left w:val="single" w:sz="2" w:space="0" w:color="FFFFFF"/>
              <w:bottom w:val="single" w:sz="4" w:space="0" w:color="002060"/>
              <w:right w:val="single" w:sz="2" w:space="0" w:color="FFFFFF"/>
            </w:tcBorders>
          </w:tcPr>
          <w:p w14:paraId="51192D09" w14:textId="77777777" w:rsidR="000353A6" w:rsidRPr="00671E8F" w:rsidRDefault="000353A6" w:rsidP="000353A6">
            <w:pPr>
              <w:jc w:val="center"/>
              <w:rPr>
                <w:rFonts w:ascii="Calibri" w:eastAsia="Calibri" w:hAnsi="Calibri" w:cs="Calibri"/>
                <w:color w:val="002060"/>
                <w:sz w:val="18"/>
              </w:rPr>
            </w:pPr>
          </w:p>
          <w:p w14:paraId="4DE19B9E"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Q2 2024</w:t>
            </w:r>
          </w:p>
        </w:tc>
        <w:tc>
          <w:tcPr>
            <w:tcW w:w="695" w:type="pct"/>
            <w:tcBorders>
              <w:top w:val="single" w:sz="4" w:space="0" w:color="002060"/>
              <w:left w:val="single" w:sz="2" w:space="0" w:color="FFFFFF"/>
              <w:bottom w:val="single" w:sz="4" w:space="0" w:color="002060"/>
              <w:right w:val="single" w:sz="2" w:space="0" w:color="FFFFFF"/>
            </w:tcBorders>
            <w:vAlign w:val="center"/>
          </w:tcPr>
          <w:p w14:paraId="631BE512"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2024* (претходна процена)</w:t>
            </w:r>
          </w:p>
        </w:tc>
        <w:tc>
          <w:tcPr>
            <w:tcW w:w="695" w:type="pct"/>
            <w:tcBorders>
              <w:top w:val="single" w:sz="4" w:space="0" w:color="002060"/>
              <w:left w:val="single" w:sz="2" w:space="0" w:color="FFFFFF"/>
              <w:bottom w:val="single" w:sz="4" w:space="0" w:color="002060"/>
              <w:right w:val="single" w:sz="2" w:space="0" w:color="FFFFFF"/>
            </w:tcBorders>
            <w:vAlign w:val="center"/>
          </w:tcPr>
          <w:p w14:paraId="402FDA3A" w14:textId="77777777" w:rsidR="000353A6" w:rsidRPr="00671E8F" w:rsidRDefault="000353A6" w:rsidP="000353A6">
            <w:pPr>
              <w:jc w:val="center"/>
              <w:rPr>
                <w:rFonts w:ascii="Calibri" w:eastAsia="Calibri" w:hAnsi="Calibri" w:cs="Calibri"/>
                <w:color w:val="002060"/>
                <w:sz w:val="18"/>
              </w:rPr>
            </w:pPr>
            <w:r w:rsidRPr="00671E8F">
              <w:rPr>
                <w:rFonts w:ascii="Calibri" w:eastAsia="Calibri" w:hAnsi="Calibri" w:cs="Calibri"/>
                <w:color w:val="002060"/>
                <w:sz w:val="18"/>
              </w:rPr>
              <w:t>2024*</w:t>
            </w:r>
            <w:r w:rsidRPr="00671E8F">
              <w:rPr>
                <w:rFonts w:ascii="Calibri" w:eastAsia="Calibri" w:hAnsi="Calibri" w:cs="Calibri"/>
                <w:color w:val="002060"/>
                <w:sz w:val="18"/>
              </w:rPr>
              <w:br w:type="textWrapping" w:clear="all"/>
              <w:t>(ревидирана процена)</w:t>
            </w:r>
          </w:p>
        </w:tc>
      </w:tr>
      <w:tr w:rsidR="000353A6" w:rsidRPr="00671E8F" w14:paraId="4519CD0B" w14:textId="77777777" w:rsidTr="000353A6">
        <w:trPr>
          <w:jc w:val="center"/>
        </w:trPr>
        <w:tc>
          <w:tcPr>
            <w:tcW w:w="1524" w:type="pct"/>
            <w:tcBorders>
              <w:top w:val="single" w:sz="2" w:space="0" w:color="FFFFFF"/>
            </w:tcBorders>
          </w:tcPr>
          <w:p w14:paraId="02651AF2"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БДП</w:t>
            </w:r>
          </w:p>
        </w:tc>
        <w:tc>
          <w:tcPr>
            <w:tcW w:w="696" w:type="pct"/>
            <w:tcBorders>
              <w:top w:val="single" w:sz="4" w:space="0" w:color="002060"/>
            </w:tcBorders>
          </w:tcPr>
          <w:p w14:paraId="7BC7548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3,8</w:t>
            </w:r>
          </w:p>
        </w:tc>
        <w:tc>
          <w:tcPr>
            <w:tcW w:w="735" w:type="pct"/>
            <w:tcBorders>
              <w:top w:val="nil"/>
              <w:left w:val="nil"/>
              <w:bottom w:val="nil"/>
              <w:right w:val="nil"/>
            </w:tcBorders>
            <w:shd w:val="clear" w:color="auto" w:fill="auto"/>
            <w:vAlign w:val="center"/>
          </w:tcPr>
          <w:p w14:paraId="2903D6F5"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4,6</w:t>
            </w:r>
          </w:p>
        </w:tc>
        <w:tc>
          <w:tcPr>
            <w:tcW w:w="655" w:type="pct"/>
            <w:tcBorders>
              <w:top w:val="single" w:sz="4" w:space="0" w:color="002060"/>
            </w:tcBorders>
          </w:tcPr>
          <w:p w14:paraId="135A39D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4,0</w:t>
            </w:r>
          </w:p>
        </w:tc>
        <w:tc>
          <w:tcPr>
            <w:tcW w:w="695" w:type="pct"/>
            <w:tcBorders>
              <w:top w:val="nil"/>
              <w:left w:val="nil"/>
              <w:bottom w:val="nil"/>
              <w:right w:val="nil"/>
            </w:tcBorders>
            <w:shd w:val="clear" w:color="auto" w:fill="auto"/>
            <w:vAlign w:val="center"/>
          </w:tcPr>
          <w:p w14:paraId="076AAA5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3,8</w:t>
            </w:r>
          </w:p>
        </w:tc>
        <w:tc>
          <w:tcPr>
            <w:tcW w:w="695" w:type="pct"/>
            <w:tcBorders>
              <w:top w:val="nil"/>
              <w:left w:val="nil"/>
              <w:bottom w:val="nil"/>
              <w:right w:val="nil"/>
            </w:tcBorders>
            <w:shd w:val="clear" w:color="auto" w:fill="auto"/>
            <w:vAlign w:val="center"/>
          </w:tcPr>
          <w:p w14:paraId="22161B16"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3,8</w:t>
            </w:r>
          </w:p>
        </w:tc>
      </w:tr>
      <w:tr w:rsidR="000353A6" w:rsidRPr="00671E8F" w14:paraId="5D9B4FB6" w14:textId="77777777" w:rsidTr="000353A6">
        <w:trPr>
          <w:jc w:val="center"/>
        </w:trPr>
        <w:tc>
          <w:tcPr>
            <w:tcW w:w="1524" w:type="pct"/>
            <w:tcBorders>
              <w:top w:val="single" w:sz="2" w:space="0" w:color="FFFFFF"/>
            </w:tcBorders>
            <w:shd w:val="clear" w:color="auto" w:fill="E7E6E6"/>
          </w:tcPr>
          <w:p w14:paraId="09DC05BA" w14:textId="77777777" w:rsidR="000353A6" w:rsidRPr="00671E8F" w:rsidRDefault="000353A6" w:rsidP="000353A6">
            <w:pPr>
              <w:jc w:val="right"/>
              <w:rPr>
                <w:rFonts w:ascii="Calibri" w:eastAsia="Calibri" w:hAnsi="Calibri" w:cs="Calibri"/>
                <w:color w:val="002060"/>
                <w:sz w:val="18"/>
              </w:rPr>
            </w:pPr>
          </w:p>
        </w:tc>
        <w:tc>
          <w:tcPr>
            <w:tcW w:w="696" w:type="pct"/>
            <w:tcBorders>
              <w:top w:val="single" w:sz="2" w:space="0" w:color="FFFFFF"/>
            </w:tcBorders>
            <w:shd w:val="clear" w:color="auto" w:fill="E7E6E6"/>
          </w:tcPr>
          <w:p w14:paraId="58D4652B" w14:textId="77777777" w:rsidR="000353A6" w:rsidRPr="00671E8F" w:rsidRDefault="000353A6" w:rsidP="000353A6">
            <w:pPr>
              <w:ind w:right="397"/>
              <w:jc w:val="right"/>
              <w:rPr>
                <w:rFonts w:ascii="Calibri" w:eastAsia="Calibri" w:hAnsi="Calibri" w:cs="Calibri"/>
                <w:color w:val="002060"/>
                <w:sz w:val="18"/>
              </w:rPr>
            </w:pPr>
          </w:p>
        </w:tc>
        <w:tc>
          <w:tcPr>
            <w:tcW w:w="735" w:type="pct"/>
            <w:tcBorders>
              <w:top w:val="single" w:sz="8" w:space="0" w:color="FFFFFF"/>
              <w:left w:val="nil"/>
              <w:bottom w:val="nil"/>
              <w:right w:val="nil"/>
            </w:tcBorders>
            <w:shd w:val="clear" w:color="000000" w:fill="E7E6E6"/>
            <w:vAlign w:val="center"/>
          </w:tcPr>
          <w:p w14:paraId="673A1017" w14:textId="77777777" w:rsidR="000353A6" w:rsidRPr="00671E8F" w:rsidRDefault="000353A6" w:rsidP="000353A6">
            <w:pPr>
              <w:ind w:right="397"/>
              <w:jc w:val="right"/>
              <w:rPr>
                <w:rFonts w:ascii="Calibri" w:eastAsia="Calibri" w:hAnsi="Calibri" w:cs="Calibri"/>
                <w:color w:val="002060"/>
                <w:sz w:val="18"/>
              </w:rPr>
            </w:pPr>
          </w:p>
        </w:tc>
        <w:tc>
          <w:tcPr>
            <w:tcW w:w="655" w:type="pct"/>
            <w:tcBorders>
              <w:top w:val="single" w:sz="2" w:space="0" w:color="FFFFFF"/>
            </w:tcBorders>
            <w:shd w:val="clear" w:color="auto" w:fill="E7E6E6"/>
          </w:tcPr>
          <w:p w14:paraId="39882AA8" w14:textId="77777777" w:rsidR="000353A6" w:rsidRPr="00671E8F" w:rsidRDefault="000353A6" w:rsidP="000353A6">
            <w:pPr>
              <w:ind w:right="397"/>
              <w:jc w:val="right"/>
              <w:rPr>
                <w:rFonts w:ascii="Calibri" w:eastAsia="Calibri" w:hAnsi="Calibri" w:cs="Calibri"/>
                <w:color w:val="002060"/>
                <w:sz w:val="18"/>
              </w:rPr>
            </w:pPr>
          </w:p>
        </w:tc>
        <w:tc>
          <w:tcPr>
            <w:tcW w:w="695" w:type="pct"/>
            <w:tcBorders>
              <w:top w:val="single" w:sz="8" w:space="0" w:color="FFFFFF"/>
              <w:left w:val="nil"/>
              <w:bottom w:val="nil"/>
              <w:right w:val="nil"/>
            </w:tcBorders>
            <w:shd w:val="clear" w:color="000000" w:fill="E7E6E6"/>
            <w:vAlign w:val="center"/>
          </w:tcPr>
          <w:p w14:paraId="37D942E0" w14:textId="77777777" w:rsidR="000353A6" w:rsidRPr="00671E8F" w:rsidRDefault="000353A6" w:rsidP="000353A6">
            <w:pPr>
              <w:ind w:right="397"/>
              <w:jc w:val="right"/>
              <w:rPr>
                <w:rFonts w:ascii="Calibri" w:eastAsia="Calibri" w:hAnsi="Calibri" w:cs="Calibri"/>
                <w:color w:val="002060"/>
                <w:sz w:val="18"/>
              </w:rPr>
            </w:pPr>
          </w:p>
        </w:tc>
        <w:tc>
          <w:tcPr>
            <w:tcW w:w="695" w:type="pct"/>
            <w:tcBorders>
              <w:top w:val="single" w:sz="8" w:space="0" w:color="FFFFFF"/>
              <w:left w:val="nil"/>
              <w:bottom w:val="nil"/>
              <w:right w:val="nil"/>
            </w:tcBorders>
            <w:shd w:val="clear" w:color="000000" w:fill="E7E6E6"/>
            <w:vAlign w:val="center"/>
          </w:tcPr>
          <w:p w14:paraId="24E76F08" w14:textId="77777777" w:rsidR="000353A6" w:rsidRPr="00671E8F" w:rsidRDefault="000353A6" w:rsidP="000353A6">
            <w:pPr>
              <w:ind w:right="397"/>
              <w:jc w:val="right"/>
              <w:rPr>
                <w:rFonts w:ascii="Calibri" w:eastAsia="Calibri" w:hAnsi="Calibri" w:cs="Calibri"/>
                <w:color w:val="002060"/>
                <w:sz w:val="18"/>
              </w:rPr>
            </w:pPr>
          </w:p>
        </w:tc>
      </w:tr>
      <w:tr w:rsidR="000353A6" w:rsidRPr="00671E8F" w14:paraId="31A06B88" w14:textId="77777777" w:rsidTr="000353A6">
        <w:trPr>
          <w:jc w:val="center"/>
        </w:trPr>
        <w:tc>
          <w:tcPr>
            <w:tcW w:w="1524" w:type="pct"/>
          </w:tcPr>
          <w:p w14:paraId="2A4DCFBC"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Приватна потрошња</w:t>
            </w:r>
          </w:p>
        </w:tc>
        <w:tc>
          <w:tcPr>
            <w:tcW w:w="696" w:type="pct"/>
          </w:tcPr>
          <w:p w14:paraId="0627383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0,5</w:t>
            </w:r>
          </w:p>
        </w:tc>
        <w:tc>
          <w:tcPr>
            <w:tcW w:w="735" w:type="pct"/>
            <w:tcBorders>
              <w:top w:val="nil"/>
              <w:left w:val="nil"/>
              <w:bottom w:val="nil"/>
              <w:right w:val="nil"/>
            </w:tcBorders>
            <w:shd w:val="clear" w:color="auto" w:fill="auto"/>
            <w:vAlign w:val="center"/>
          </w:tcPr>
          <w:p w14:paraId="29A546F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4,4</w:t>
            </w:r>
          </w:p>
        </w:tc>
        <w:tc>
          <w:tcPr>
            <w:tcW w:w="655" w:type="pct"/>
          </w:tcPr>
          <w:p w14:paraId="449F49A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4,7</w:t>
            </w:r>
          </w:p>
        </w:tc>
        <w:tc>
          <w:tcPr>
            <w:tcW w:w="695" w:type="pct"/>
            <w:tcBorders>
              <w:top w:val="nil"/>
              <w:left w:val="nil"/>
              <w:bottom w:val="nil"/>
              <w:right w:val="nil"/>
            </w:tcBorders>
            <w:shd w:val="clear" w:color="auto" w:fill="auto"/>
            <w:vAlign w:val="center"/>
          </w:tcPr>
          <w:p w14:paraId="2DD9EED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4,5</w:t>
            </w:r>
          </w:p>
        </w:tc>
        <w:tc>
          <w:tcPr>
            <w:tcW w:w="695" w:type="pct"/>
            <w:tcBorders>
              <w:top w:val="nil"/>
              <w:left w:val="nil"/>
              <w:bottom w:val="nil"/>
              <w:right w:val="nil"/>
            </w:tcBorders>
            <w:shd w:val="clear" w:color="auto" w:fill="auto"/>
            <w:vAlign w:val="center"/>
          </w:tcPr>
          <w:p w14:paraId="1CACF0D9"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4,5</w:t>
            </w:r>
          </w:p>
        </w:tc>
      </w:tr>
      <w:tr w:rsidR="000353A6" w:rsidRPr="00671E8F" w14:paraId="566B2894" w14:textId="77777777" w:rsidTr="000353A6">
        <w:trPr>
          <w:jc w:val="center"/>
        </w:trPr>
        <w:tc>
          <w:tcPr>
            <w:tcW w:w="1524" w:type="pct"/>
          </w:tcPr>
          <w:p w14:paraId="724A0ACF"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Државна потрошња</w:t>
            </w:r>
          </w:p>
        </w:tc>
        <w:tc>
          <w:tcPr>
            <w:tcW w:w="696" w:type="pct"/>
          </w:tcPr>
          <w:p w14:paraId="1D8D8F34"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-2,4</w:t>
            </w:r>
          </w:p>
        </w:tc>
        <w:tc>
          <w:tcPr>
            <w:tcW w:w="735" w:type="pct"/>
            <w:tcBorders>
              <w:top w:val="nil"/>
              <w:left w:val="nil"/>
              <w:bottom w:val="nil"/>
              <w:right w:val="nil"/>
            </w:tcBorders>
            <w:shd w:val="clear" w:color="auto" w:fill="auto"/>
            <w:vAlign w:val="center"/>
          </w:tcPr>
          <w:p w14:paraId="5ABB75DC"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3,6</w:t>
            </w:r>
          </w:p>
        </w:tc>
        <w:tc>
          <w:tcPr>
            <w:tcW w:w="655" w:type="pct"/>
          </w:tcPr>
          <w:p w14:paraId="64A56D0F"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4,5</w:t>
            </w:r>
          </w:p>
        </w:tc>
        <w:tc>
          <w:tcPr>
            <w:tcW w:w="695" w:type="pct"/>
            <w:tcBorders>
              <w:top w:val="nil"/>
              <w:left w:val="nil"/>
              <w:bottom w:val="nil"/>
              <w:right w:val="nil"/>
            </w:tcBorders>
            <w:shd w:val="clear" w:color="auto" w:fill="auto"/>
            <w:vAlign w:val="center"/>
          </w:tcPr>
          <w:p w14:paraId="3955C71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2,4</w:t>
            </w:r>
          </w:p>
        </w:tc>
        <w:tc>
          <w:tcPr>
            <w:tcW w:w="695" w:type="pct"/>
            <w:tcBorders>
              <w:top w:val="nil"/>
              <w:left w:val="nil"/>
              <w:bottom w:val="nil"/>
              <w:right w:val="nil"/>
            </w:tcBorders>
            <w:shd w:val="clear" w:color="auto" w:fill="auto"/>
            <w:vAlign w:val="center"/>
          </w:tcPr>
          <w:p w14:paraId="2AC4AE9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3,1</w:t>
            </w:r>
          </w:p>
        </w:tc>
      </w:tr>
      <w:tr w:rsidR="000353A6" w:rsidRPr="00671E8F" w14:paraId="4876C8DE" w14:textId="77777777" w:rsidTr="000353A6">
        <w:trPr>
          <w:jc w:val="center"/>
        </w:trPr>
        <w:tc>
          <w:tcPr>
            <w:tcW w:w="1524" w:type="pct"/>
          </w:tcPr>
          <w:p w14:paraId="68009F6A"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Инвестиције у основна средства</w:t>
            </w:r>
          </w:p>
        </w:tc>
        <w:tc>
          <w:tcPr>
            <w:tcW w:w="696" w:type="pct"/>
          </w:tcPr>
          <w:p w14:paraId="7AF083B0"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9,7</w:t>
            </w:r>
          </w:p>
        </w:tc>
        <w:tc>
          <w:tcPr>
            <w:tcW w:w="735" w:type="pct"/>
            <w:tcBorders>
              <w:top w:val="nil"/>
              <w:left w:val="nil"/>
              <w:bottom w:val="nil"/>
              <w:right w:val="nil"/>
            </w:tcBorders>
            <w:shd w:val="clear" w:color="auto" w:fill="auto"/>
            <w:vAlign w:val="center"/>
          </w:tcPr>
          <w:p w14:paraId="77F90380"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7,5</w:t>
            </w:r>
          </w:p>
        </w:tc>
        <w:tc>
          <w:tcPr>
            <w:tcW w:w="655" w:type="pct"/>
          </w:tcPr>
          <w:p w14:paraId="27083C6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8,5</w:t>
            </w:r>
          </w:p>
        </w:tc>
        <w:tc>
          <w:tcPr>
            <w:tcW w:w="695" w:type="pct"/>
            <w:tcBorders>
              <w:top w:val="nil"/>
              <w:left w:val="nil"/>
              <w:bottom w:val="nil"/>
              <w:right w:val="nil"/>
            </w:tcBorders>
            <w:shd w:val="clear" w:color="auto" w:fill="auto"/>
            <w:vAlign w:val="center"/>
          </w:tcPr>
          <w:p w14:paraId="02026C2E"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8,9</w:t>
            </w:r>
          </w:p>
        </w:tc>
        <w:tc>
          <w:tcPr>
            <w:tcW w:w="695" w:type="pct"/>
            <w:tcBorders>
              <w:top w:val="nil"/>
              <w:left w:val="nil"/>
              <w:bottom w:val="nil"/>
              <w:right w:val="nil"/>
            </w:tcBorders>
            <w:shd w:val="clear" w:color="auto" w:fill="auto"/>
            <w:vAlign w:val="center"/>
          </w:tcPr>
          <w:p w14:paraId="31FCC0A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9,2</w:t>
            </w:r>
          </w:p>
        </w:tc>
      </w:tr>
      <w:tr w:rsidR="000353A6" w:rsidRPr="00671E8F" w14:paraId="08F0DCF3" w14:textId="77777777" w:rsidTr="000353A6">
        <w:trPr>
          <w:jc w:val="center"/>
        </w:trPr>
        <w:tc>
          <w:tcPr>
            <w:tcW w:w="1524" w:type="pct"/>
          </w:tcPr>
          <w:p w14:paraId="1004B81B"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Извоз робе и услуга</w:t>
            </w:r>
          </w:p>
        </w:tc>
        <w:tc>
          <w:tcPr>
            <w:tcW w:w="696" w:type="pct"/>
          </w:tcPr>
          <w:p w14:paraId="201793E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2,7</w:t>
            </w:r>
          </w:p>
        </w:tc>
        <w:tc>
          <w:tcPr>
            <w:tcW w:w="735" w:type="pct"/>
            <w:tcBorders>
              <w:top w:val="nil"/>
              <w:left w:val="nil"/>
              <w:bottom w:val="nil"/>
              <w:right w:val="nil"/>
            </w:tcBorders>
            <w:shd w:val="clear" w:color="auto" w:fill="auto"/>
            <w:vAlign w:val="center"/>
          </w:tcPr>
          <w:p w14:paraId="43924303"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1,3</w:t>
            </w:r>
          </w:p>
        </w:tc>
        <w:tc>
          <w:tcPr>
            <w:tcW w:w="655" w:type="pct"/>
          </w:tcPr>
          <w:p w14:paraId="5D219D1C"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4,4</w:t>
            </w:r>
          </w:p>
        </w:tc>
        <w:tc>
          <w:tcPr>
            <w:tcW w:w="695" w:type="pct"/>
            <w:tcBorders>
              <w:top w:val="nil"/>
              <w:left w:val="nil"/>
              <w:bottom w:val="nil"/>
              <w:right w:val="nil"/>
            </w:tcBorders>
            <w:shd w:val="clear" w:color="auto" w:fill="auto"/>
            <w:vAlign w:val="center"/>
          </w:tcPr>
          <w:p w14:paraId="6D951EE6"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7,0</w:t>
            </w:r>
          </w:p>
        </w:tc>
        <w:tc>
          <w:tcPr>
            <w:tcW w:w="695" w:type="pct"/>
            <w:tcBorders>
              <w:top w:val="nil"/>
              <w:left w:val="nil"/>
              <w:bottom w:val="nil"/>
              <w:right w:val="nil"/>
            </w:tcBorders>
            <w:shd w:val="clear" w:color="auto" w:fill="auto"/>
            <w:vAlign w:val="center"/>
          </w:tcPr>
          <w:p w14:paraId="0CCF54B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4,4</w:t>
            </w:r>
          </w:p>
        </w:tc>
      </w:tr>
      <w:tr w:rsidR="000353A6" w:rsidRPr="00671E8F" w14:paraId="1C3927BE" w14:textId="77777777" w:rsidTr="000353A6">
        <w:trPr>
          <w:jc w:val="center"/>
        </w:trPr>
        <w:tc>
          <w:tcPr>
            <w:tcW w:w="1524" w:type="pct"/>
          </w:tcPr>
          <w:p w14:paraId="1B59172B"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Увоз робе и услуга</w:t>
            </w:r>
          </w:p>
        </w:tc>
        <w:tc>
          <w:tcPr>
            <w:tcW w:w="696" w:type="pct"/>
          </w:tcPr>
          <w:p w14:paraId="43DA8BA3"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-1,6</w:t>
            </w:r>
          </w:p>
        </w:tc>
        <w:tc>
          <w:tcPr>
            <w:tcW w:w="735" w:type="pct"/>
            <w:tcBorders>
              <w:top w:val="nil"/>
              <w:left w:val="nil"/>
              <w:bottom w:val="nil"/>
              <w:right w:val="nil"/>
            </w:tcBorders>
            <w:shd w:val="clear" w:color="auto" w:fill="auto"/>
            <w:vAlign w:val="center"/>
          </w:tcPr>
          <w:p w14:paraId="322BBCD7"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3,5</w:t>
            </w:r>
          </w:p>
        </w:tc>
        <w:tc>
          <w:tcPr>
            <w:tcW w:w="655" w:type="pct"/>
          </w:tcPr>
          <w:p w14:paraId="52F848A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8,5</w:t>
            </w:r>
          </w:p>
        </w:tc>
        <w:tc>
          <w:tcPr>
            <w:tcW w:w="695" w:type="pct"/>
            <w:tcBorders>
              <w:top w:val="nil"/>
              <w:left w:val="nil"/>
              <w:bottom w:val="nil"/>
              <w:right w:val="nil"/>
            </w:tcBorders>
            <w:shd w:val="clear" w:color="auto" w:fill="auto"/>
            <w:vAlign w:val="center"/>
          </w:tcPr>
          <w:p w14:paraId="1A08835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8,6</w:t>
            </w:r>
          </w:p>
        </w:tc>
        <w:tc>
          <w:tcPr>
            <w:tcW w:w="695" w:type="pct"/>
            <w:tcBorders>
              <w:top w:val="nil"/>
              <w:left w:val="nil"/>
              <w:bottom w:val="nil"/>
              <w:right w:val="nil"/>
            </w:tcBorders>
            <w:shd w:val="clear" w:color="auto" w:fill="auto"/>
            <w:vAlign w:val="center"/>
          </w:tcPr>
          <w:p w14:paraId="53A280EF"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8,0</w:t>
            </w:r>
          </w:p>
        </w:tc>
      </w:tr>
      <w:tr w:rsidR="000353A6" w:rsidRPr="00671E8F" w14:paraId="6E67CB59" w14:textId="77777777" w:rsidTr="000353A6">
        <w:trPr>
          <w:trHeight w:val="144"/>
          <w:jc w:val="center"/>
        </w:trPr>
        <w:tc>
          <w:tcPr>
            <w:tcW w:w="1524" w:type="pct"/>
            <w:shd w:val="clear" w:color="auto" w:fill="E7E6E6"/>
          </w:tcPr>
          <w:p w14:paraId="57B67279" w14:textId="77777777" w:rsidR="000353A6" w:rsidRPr="00671E8F" w:rsidRDefault="000353A6" w:rsidP="000353A6">
            <w:pPr>
              <w:ind w:left="-15"/>
              <w:jc w:val="right"/>
              <w:rPr>
                <w:rFonts w:ascii="Calibri" w:eastAsia="Calibri" w:hAnsi="Calibri" w:cs="Calibri"/>
                <w:color w:val="002060"/>
                <w:sz w:val="18"/>
              </w:rPr>
            </w:pPr>
          </w:p>
        </w:tc>
        <w:tc>
          <w:tcPr>
            <w:tcW w:w="696" w:type="pct"/>
            <w:shd w:val="clear" w:color="auto" w:fill="E7E6E6"/>
          </w:tcPr>
          <w:p w14:paraId="0D526C9E" w14:textId="77777777" w:rsidR="000353A6" w:rsidRPr="00671E8F" w:rsidRDefault="000353A6" w:rsidP="000353A6">
            <w:pPr>
              <w:ind w:left="-15" w:right="397"/>
              <w:jc w:val="right"/>
              <w:rPr>
                <w:rFonts w:ascii="Calibri" w:eastAsia="Calibri" w:hAnsi="Calibri" w:cs="Calibri"/>
                <w:color w:val="002060"/>
                <w:sz w:val="18"/>
              </w:rPr>
            </w:pPr>
          </w:p>
        </w:tc>
        <w:tc>
          <w:tcPr>
            <w:tcW w:w="735" w:type="pct"/>
            <w:tcBorders>
              <w:top w:val="nil"/>
              <w:left w:val="nil"/>
              <w:bottom w:val="nil"/>
              <w:right w:val="nil"/>
            </w:tcBorders>
            <w:shd w:val="clear" w:color="000000" w:fill="E7E6E6"/>
            <w:vAlign w:val="center"/>
          </w:tcPr>
          <w:p w14:paraId="2E1DA904" w14:textId="77777777" w:rsidR="000353A6" w:rsidRPr="00671E8F" w:rsidRDefault="000353A6" w:rsidP="000353A6">
            <w:pPr>
              <w:ind w:left="-15" w:right="397"/>
              <w:jc w:val="right"/>
              <w:rPr>
                <w:rFonts w:ascii="Calibri" w:eastAsia="Calibri" w:hAnsi="Calibri" w:cs="Calibri"/>
                <w:color w:val="002060"/>
                <w:sz w:val="18"/>
              </w:rPr>
            </w:pPr>
          </w:p>
        </w:tc>
        <w:tc>
          <w:tcPr>
            <w:tcW w:w="655" w:type="pct"/>
            <w:shd w:val="clear" w:color="auto" w:fill="E7E6E6"/>
          </w:tcPr>
          <w:p w14:paraId="42E9BA19" w14:textId="77777777" w:rsidR="000353A6" w:rsidRPr="00671E8F" w:rsidRDefault="000353A6" w:rsidP="000353A6">
            <w:pPr>
              <w:ind w:left="-15" w:right="397"/>
              <w:jc w:val="right"/>
              <w:rPr>
                <w:rFonts w:ascii="Calibri" w:eastAsia="Calibri" w:hAnsi="Calibri" w:cs="Calibri"/>
                <w:color w:val="002060"/>
                <w:sz w:val="18"/>
              </w:rPr>
            </w:pPr>
          </w:p>
        </w:tc>
        <w:tc>
          <w:tcPr>
            <w:tcW w:w="695" w:type="pct"/>
            <w:tcBorders>
              <w:top w:val="nil"/>
              <w:left w:val="nil"/>
              <w:bottom w:val="nil"/>
              <w:right w:val="nil"/>
            </w:tcBorders>
            <w:shd w:val="clear" w:color="000000" w:fill="E7E6E6"/>
            <w:vAlign w:val="center"/>
          </w:tcPr>
          <w:p w14:paraId="1B951B0A" w14:textId="77777777" w:rsidR="000353A6" w:rsidRPr="00671E8F" w:rsidRDefault="000353A6" w:rsidP="000353A6">
            <w:pPr>
              <w:ind w:left="-15" w:right="397"/>
              <w:jc w:val="right"/>
              <w:rPr>
                <w:rFonts w:ascii="Calibri" w:eastAsia="Calibri" w:hAnsi="Calibri" w:cs="Calibri"/>
                <w:color w:val="002060"/>
                <w:sz w:val="18"/>
              </w:rPr>
            </w:pPr>
          </w:p>
        </w:tc>
        <w:tc>
          <w:tcPr>
            <w:tcW w:w="695" w:type="pct"/>
            <w:tcBorders>
              <w:top w:val="nil"/>
              <w:left w:val="nil"/>
              <w:bottom w:val="nil"/>
              <w:right w:val="nil"/>
            </w:tcBorders>
            <w:shd w:val="clear" w:color="000000" w:fill="E7E6E6"/>
            <w:vAlign w:val="center"/>
          </w:tcPr>
          <w:p w14:paraId="423B0CD3" w14:textId="77777777" w:rsidR="000353A6" w:rsidRPr="00671E8F" w:rsidRDefault="000353A6" w:rsidP="000353A6">
            <w:pPr>
              <w:ind w:left="-15" w:right="397"/>
              <w:jc w:val="right"/>
              <w:rPr>
                <w:rFonts w:ascii="Calibri" w:eastAsia="Calibri" w:hAnsi="Calibri" w:cs="Calibri"/>
                <w:color w:val="002060"/>
                <w:sz w:val="18"/>
              </w:rPr>
            </w:pPr>
          </w:p>
        </w:tc>
      </w:tr>
      <w:tr w:rsidR="000353A6" w:rsidRPr="00671E8F" w14:paraId="1A8F1520" w14:textId="77777777" w:rsidTr="000353A6">
        <w:trPr>
          <w:jc w:val="center"/>
        </w:trPr>
        <w:tc>
          <w:tcPr>
            <w:tcW w:w="1524" w:type="pct"/>
          </w:tcPr>
          <w:p w14:paraId="1EF1073A"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Пољопривреда</w:t>
            </w:r>
          </w:p>
        </w:tc>
        <w:tc>
          <w:tcPr>
            <w:tcW w:w="696" w:type="pct"/>
          </w:tcPr>
          <w:p w14:paraId="1FAEF325"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7,4</w:t>
            </w:r>
          </w:p>
        </w:tc>
        <w:tc>
          <w:tcPr>
            <w:tcW w:w="735" w:type="pct"/>
            <w:tcBorders>
              <w:top w:val="nil"/>
              <w:left w:val="nil"/>
              <w:bottom w:val="nil"/>
              <w:right w:val="nil"/>
            </w:tcBorders>
            <w:shd w:val="clear" w:color="auto" w:fill="auto"/>
            <w:vAlign w:val="center"/>
          </w:tcPr>
          <w:p w14:paraId="15B29954"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-3,7</w:t>
            </w:r>
          </w:p>
        </w:tc>
        <w:tc>
          <w:tcPr>
            <w:tcW w:w="655" w:type="pct"/>
          </w:tcPr>
          <w:p w14:paraId="7FB0D88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-4,1</w:t>
            </w:r>
          </w:p>
        </w:tc>
        <w:tc>
          <w:tcPr>
            <w:tcW w:w="695" w:type="pct"/>
            <w:tcBorders>
              <w:top w:val="nil"/>
              <w:left w:val="nil"/>
              <w:bottom w:val="nil"/>
              <w:right w:val="nil"/>
            </w:tcBorders>
            <w:shd w:val="clear" w:color="auto" w:fill="auto"/>
            <w:vAlign w:val="center"/>
          </w:tcPr>
          <w:p w14:paraId="3E70531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-0,8</w:t>
            </w:r>
          </w:p>
        </w:tc>
        <w:tc>
          <w:tcPr>
            <w:tcW w:w="695" w:type="pct"/>
            <w:tcBorders>
              <w:top w:val="nil"/>
              <w:left w:val="nil"/>
              <w:bottom w:val="nil"/>
              <w:right w:val="nil"/>
            </w:tcBorders>
            <w:shd w:val="clear" w:color="auto" w:fill="auto"/>
            <w:vAlign w:val="center"/>
          </w:tcPr>
          <w:p w14:paraId="762F95B4"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-4,2</w:t>
            </w:r>
          </w:p>
        </w:tc>
      </w:tr>
      <w:tr w:rsidR="000353A6" w:rsidRPr="00671E8F" w14:paraId="70D52388" w14:textId="77777777" w:rsidTr="000353A6">
        <w:trPr>
          <w:jc w:val="center"/>
        </w:trPr>
        <w:tc>
          <w:tcPr>
            <w:tcW w:w="1524" w:type="pct"/>
          </w:tcPr>
          <w:p w14:paraId="7E2A347A"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Индустрија</w:t>
            </w:r>
          </w:p>
        </w:tc>
        <w:tc>
          <w:tcPr>
            <w:tcW w:w="696" w:type="pct"/>
          </w:tcPr>
          <w:p w14:paraId="342C33F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2,1</w:t>
            </w:r>
          </w:p>
        </w:tc>
        <w:tc>
          <w:tcPr>
            <w:tcW w:w="735" w:type="pct"/>
            <w:tcBorders>
              <w:top w:val="nil"/>
              <w:left w:val="nil"/>
              <w:bottom w:val="nil"/>
              <w:right w:val="nil"/>
            </w:tcBorders>
            <w:shd w:val="clear" w:color="auto" w:fill="auto"/>
            <w:vAlign w:val="center"/>
          </w:tcPr>
          <w:p w14:paraId="1ED175B3"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2,9</w:t>
            </w:r>
          </w:p>
        </w:tc>
        <w:tc>
          <w:tcPr>
            <w:tcW w:w="655" w:type="pct"/>
          </w:tcPr>
          <w:p w14:paraId="649D2300"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1,4</w:t>
            </w:r>
          </w:p>
        </w:tc>
        <w:tc>
          <w:tcPr>
            <w:tcW w:w="695" w:type="pct"/>
            <w:tcBorders>
              <w:top w:val="nil"/>
              <w:left w:val="nil"/>
              <w:bottom w:val="nil"/>
              <w:right w:val="nil"/>
            </w:tcBorders>
            <w:shd w:val="clear" w:color="auto" w:fill="auto"/>
            <w:vAlign w:val="center"/>
          </w:tcPr>
          <w:p w14:paraId="7B54A21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2,8</w:t>
            </w:r>
          </w:p>
        </w:tc>
        <w:tc>
          <w:tcPr>
            <w:tcW w:w="695" w:type="pct"/>
            <w:tcBorders>
              <w:top w:val="nil"/>
              <w:left w:val="nil"/>
              <w:bottom w:val="nil"/>
              <w:right w:val="nil"/>
            </w:tcBorders>
            <w:shd w:val="clear" w:color="auto" w:fill="auto"/>
            <w:vAlign w:val="center"/>
          </w:tcPr>
          <w:p w14:paraId="78DA7C07"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2,8</w:t>
            </w:r>
          </w:p>
        </w:tc>
      </w:tr>
      <w:tr w:rsidR="000353A6" w:rsidRPr="00671E8F" w14:paraId="57730E77" w14:textId="77777777" w:rsidTr="000353A6">
        <w:trPr>
          <w:jc w:val="center"/>
        </w:trPr>
        <w:tc>
          <w:tcPr>
            <w:tcW w:w="1524" w:type="pct"/>
          </w:tcPr>
          <w:p w14:paraId="3BC11683"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Грађевинарство</w:t>
            </w:r>
          </w:p>
        </w:tc>
        <w:tc>
          <w:tcPr>
            <w:tcW w:w="696" w:type="pct"/>
          </w:tcPr>
          <w:p w14:paraId="79896E09"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10,5</w:t>
            </w:r>
          </w:p>
        </w:tc>
        <w:tc>
          <w:tcPr>
            <w:tcW w:w="735" w:type="pct"/>
            <w:tcBorders>
              <w:top w:val="nil"/>
              <w:left w:val="nil"/>
              <w:bottom w:val="nil"/>
              <w:right w:val="nil"/>
            </w:tcBorders>
            <w:shd w:val="clear" w:color="auto" w:fill="auto"/>
            <w:vAlign w:val="center"/>
          </w:tcPr>
          <w:p w14:paraId="284F564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13,7</w:t>
            </w:r>
          </w:p>
        </w:tc>
        <w:tc>
          <w:tcPr>
            <w:tcW w:w="655" w:type="pct"/>
          </w:tcPr>
          <w:p w14:paraId="06AE3B04"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7,2</w:t>
            </w:r>
          </w:p>
        </w:tc>
        <w:tc>
          <w:tcPr>
            <w:tcW w:w="695" w:type="pct"/>
            <w:tcBorders>
              <w:top w:val="nil"/>
              <w:left w:val="nil"/>
              <w:bottom w:val="nil"/>
              <w:right w:val="nil"/>
            </w:tcBorders>
            <w:shd w:val="clear" w:color="auto" w:fill="auto"/>
            <w:vAlign w:val="center"/>
          </w:tcPr>
          <w:p w14:paraId="651AABAB"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9,1</w:t>
            </w:r>
          </w:p>
        </w:tc>
        <w:tc>
          <w:tcPr>
            <w:tcW w:w="695" w:type="pct"/>
            <w:tcBorders>
              <w:top w:val="nil"/>
              <w:left w:val="nil"/>
              <w:bottom w:val="nil"/>
              <w:right w:val="nil"/>
            </w:tcBorders>
            <w:shd w:val="clear" w:color="auto" w:fill="auto"/>
            <w:vAlign w:val="center"/>
          </w:tcPr>
          <w:p w14:paraId="4B38A73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9,1</w:t>
            </w:r>
          </w:p>
        </w:tc>
      </w:tr>
      <w:tr w:rsidR="000353A6" w:rsidRPr="00671E8F" w14:paraId="176CC377" w14:textId="77777777" w:rsidTr="000353A6">
        <w:trPr>
          <w:trHeight w:val="163"/>
          <w:jc w:val="center"/>
        </w:trPr>
        <w:tc>
          <w:tcPr>
            <w:tcW w:w="1524" w:type="pct"/>
          </w:tcPr>
          <w:p w14:paraId="73FEDB3F"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Услуге</w:t>
            </w:r>
          </w:p>
        </w:tc>
        <w:tc>
          <w:tcPr>
            <w:tcW w:w="696" w:type="pct"/>
          </w:tcPr>
          <w:p w14:paraId="132DEEEF" w14:textId="77777777" w:rsidR="000353A6" w:rsidRPr="00671E8F" w:rsidRDefault="000353A6" w:rsidP="000353A6">
            <w:pPr>
              <w:tabs>
                <w:tab w:val="left" w:pos="420"/>
                <w:tab w:val="center" w:pos="586"/>
              </w:tabs>
              <w:ind w:right="397"/>
              <w:jc w:val="right"/>
              <w:rPr>
                <w:rFonts w:ascii="Calibri" w:eastAsia="Calibri" w:hAnsi="Calibri" w:cs="Calibri"/>
                <w:color w:val="002060"/>
                <w:sz w:val="18"/>
              </w:rPr>
            </w:pPr>
            <w:r w:rsidRPr="00671E8F">
              <w:rPr>
                <w:rFonts w:ascii="Calibri" w:eastAsia="Calibri" w:hAnsi="Calibri" w:cs="Calibri"/>
                <w:color w:val="002060"/>
                <w:sz w:val="18"/>
              </w:rPr>
              <w:t>5,1</w:t>
            </w:r>
          </w:p>
        </w:tc>
        <w:tc>
          <w:tcPr>
            <w:tcW w:w="735" w:type="pct"/>
            <w:tcBorders>
              <w:top w:val="nil"/>
              <w:left w:val="nil"/>
              <w:right w:val="nil"/>
            </w:tcBorders>
            <w:shd w:val="clear" w:color="auto" w:fill="auto"/>
            <w:vAlign w:val="center"/>
          </w:tcPr>
          <w:p w14:paraId="643401CA"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5,0</w:t>
            </w:r>
          </w:p>
        </w:tc>
        <w:tc>
          <w:tcPr>
            <w:tcW w:w="655" w:type="pct"/>
          </w:tcPr>
          <w:p w14:paraId="3A35A0B6"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5,1</w:t>
            </w:r>
          </w:p>
        </w:tc>
        <w:tc>
          <w:tcPr>
            <w:tcW w:w="695" w:type="pct"/>
            <w:tcBorders>
              <w:top w:val="nil"/>
              <w:left w:val="nil"/>
              <w:right w:val="nil"/>
            </w:tcBorders>
            <w:shd w:val="clear" w:color="auto" w:fill="auto"/>
            <w:vAlign w:val="center"/>
          </w:tcPr>
          <w:p w14:paraId="36634966"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4,0</w:t>
            </w:r>
          </w:p>
        </w:tc>
        <w:tc>
          <w:tcPr>
            <w:tcW w:w="695" w:type="pct"/>
            <w:tcBorders>
              <w:top w:val="nil"/>
              <w:left w:val="nil"/>
              <w:right w:val="nil"/>
            </w:tcBorders>
            <w:shd w:val="clear" w:color="auto" w:fill="auto"/>
            <w:vAlign w:val="center"/>
          </w:tcPr>
          <w:p w14:paraId="1A039B6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4,3</w:t>
            </w:r>
          </w:p>
        </w:tc>
      </w:tr>
      <w:tr w:rsidR="000353A6" w:rsidRPr="00671E8F" w14:paraId="1503AB36" w14:textId="77777777" w:rsidTr="000353A6">
        <w:trPr>
          <w:trHeight w:val="163"/>
          <w:jc w:val="center"/>
        </w:trPr>
        <w:tc>
          <w:tcPr>
            <w:tcW w:w="1524" w:type="pct"/>
            <w:tcBorders>
              <w:bottom w:val="single" w:sz="4" w:space="0" w:color="002060"/>
            </w:tcBorders>
          </w:tcPr>
          <w:p w14:paraId="42935CEF" w14:textId="77777777" w:rsidR="000353A6" w:rsidRPr="00671E8F" w:rsidRDefault="000353A6" w:rsidP="000353A6">
            <w:pPr>
              <w:ind w:left="-15"/>
              <w:rPr>
                <w:rFonts w:ascii="Calibri" w:eastAsia="Calibri" w:hAnsi="Calibri" w:cs="Calibri"/>
                <w:color w:val="002060"/>
                <w:sz w:val="18"/>
              </w:rPr>
            </w:pPr>
            <w:r w:rsidRPr="00671E8F">
              <w:rPr>
                <w:rFonts w:ascii="Calibri" w:eastAsia="Calibri" w:hAnsi="Calibri" w:cs="Calibri"/>
                <w:color w:val="002060"/>
                <w:sz w:val="18"/>
              </w:rPr>
              <w:t>Нето порези</w:t>
            </w:r>
          </w:p>
        </w:tc>
        <w:tc>
          <w:tcPr>
            <w:tcW w:w="696" w:type="pct"/>
            <w:tcBorders>
              <w:bottom w:val="single" w:sz="4" w:space="0" w:color="002060"/>
            </w:tcBorders>
          </w:tcPr>
          <w:p w14:paraId="2A611936" w14:textId="77777777" w:rsidR="000353A6" w:rsidRPr="00671E8F" w:rsidRDefault="000353A6" w:rsidP="000353A6">
            <w:pPr>
              <w:tabs>
                <w:tab w:val="left" w:pos="420"/>
                <w:tab w:val="center" w:pos="586"/>
              </w:tabs>
              <w:ind w:right="397"/>
              <w:jc w:val="right"/>
              <w:rPr>
                <w:rFonts w:ascii="Calibri" w:eastAsia="Calibri" w:hAnsi="Calibri" w:cs="Calibri"/>
                <w:color w:val="002060"/>
                <w:sz w:val="18"/>
              </w:rPr>
            </w:pPr>
            <w:r w:rsidRPr="00671E8F">
              <w:rPr>
                <w:rFonts w:ascii="Calibri" w:eastAsia="Calibri" w:hAnsi="Calibri" w:cs="Calibri"/>
                <w:color w:val="002060"/>
                <w:sz w:val="18"/>
              </w:rPr>
              <w:t>-1,7</w:t>
            </w:r>
          </w:p>
        </w:tc>
        <w:tc>
          <w:tcPr>
            <w:tcW w:w="735" w:type="pct"/>
            <w:tcBorders>
              <w:top w:val="nil"/>
              <w:left w:val="nil"/>
              <w:bottom w:val="single" w:sz="4" w:space="0" w:color="002060"/>
              <w:right w:val="nil"/>
            </w:tcBorders>
            <w:shd w:val="clear" w:color="auto" w:fill="auto"/>
            <w:vAlign w:val="center"/>
          </w:tcPr>
          <w:p w14:paraId="6A110508"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3,3</w:t>
            </w:r>
          </w:p>
        </w:tc>
        <w:tc>
          <w:tcPr>
            <w:tcW w:w="655" w:type="pct"/>
            <w:tcBorders>
              <w:bottom w:val="single" w:sz="4" w:space="0" w:color="002060"/>
            </w:tcBorders>
          </w:tcPr>
          <w:p w14:paraId="29FAEAA2"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3,7</w:t>
            </w:r>
          </w:p>
        </w:tc>
        <w:tc>
          <w:tcPr>
            <w:tcW w:w="695" w:type="pct"/>
            <w:tcBorders>
              <w:top w:val="nil"/>
              <w:left w:val="nil"/>
              <w:bottom w:val="single" w:sz="4" w:space="0" w:color="002060"/>
              <w:right w:val="nil"/>
            </w:tcBorders>
            <w:shd w:val="clear" w:color="auto" w:fill="auto"/>
            <w:vAlign w:val="center"/>
          </w:tcPr>
          <w:p w14:paraId="1A0823D1"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3,6</w:t>
            </w:r>
          </w:p>
        </w:tc>
        <w:tc>
          <w:tcPr>
            <w:tcW w:w="695" w:type="pct"/>
            <w:tcBorders>
              <w:top w:val="nil"/>
              <w:left w:val="nil"/>
              <w:bottom w:val="single" w:sz="4" w:space="0" w:color="002060"/>
              <w:right w:val="nil"/>
            </w:tcBorders>
            <w:shd w:val="clear" w:color="auto" w:fill="auto"/>
            <w:vAlign w:val="center"/>
          </w:tcPr>
          <w:p w14:paraId="4552D008" w14:textId="77777777" w:rsidR="000353A6" w:rsidRPr="00671E8F" w:rsidRDefault="000353A6" w:rsidP="000353A6">
            <w:pPr>
              <w:ind w:right="397"/>
              <w:jc w:val="right"/>
              <w:rPr>
                <w:rFonts w:ascii="Calibri" w:eastAsia="Calibri" w:hAnsi="Calibri" w:cs="Calibri"/>
                <w:color w:val="002060"/>
                <w:sz w:val="18"/>
              </w:rPr>
            </w:pPr>
            <w:r w:rsidRPr="00671E8F">
              <w:rPr>
                <w:rFonts w:ascii="Calibri" w:eastAsia="Calibri" w:hAnsi="Calibri" w:cs="Calibri"/>
                <w:color w:val="002060"/>
                <w:sz w:val="18"/>
              </w:rPr>
              <w:t>3,6</w:t>
            </w:r>
          </w:p>
        </w:tc>
      </w:tr>
    </w:tbl>
    <w:p w14:paraId="48CBE419" w14:textId="77777777" w:rsidR="000353A6" w:rsidRPr="00671E8F" w:rsidRDefault="000353A6" w:rsidP="000353A6">
      <w:pPr>
        <w:spacing w:before="40" w:after="0"/>
        <w:rPr>
          <w:rFonts w:ascii="Calibri" w:eastAsia="Calibri" w:hAnsi="Calibri" w:cs="Calibri"/>
          <w:bCs/>
          <w:sz w:val="16"/>
          <w:szCs w:val="72"/>
        </w:rPr>
      </w:pPr>
      <w:r w:rsidRPr="00671E8F">
        <w:rPr>
          <w:rFonts w:ascii="Calibri" w:eastAsia="Calibri" w:hAnsi="Calibri" w:cs="Calibri"/>
          <w:bCs/>
          <w:sz w:val="16"/>
          <w:szCs w:val="72"/>
        </w:rPr>
        <w:t>Извор: РЗС</w:t>
      </w:r>
    </w:p>
    <w:p w14:paraId="33A9FA77" w14:textId="07EAE120" w:rsidR="000353A6" w:rsidRPr="00671E8F" w:rsidRDefault="000353A6" w:rsidP="00D66344">
      <w:pPr>
        <w:spacing w:before="40" w:after="40"/>
        <w:rPr>
          <w:rFonts w:ascii="Calibri" w:eastAsia="Calibri" w:hAnsi="Calibri" w:cs="Calibri"/>
          <w:bCs/>
          <w:sz w:val="16"/>
          <w:szCs w:val="72"/>
        </w:rPr>
        <w:sectPr w:rsidR="000353A6" w:rsidRPr="00671E8F" w:rsidSect="000353A6">
          <w:type w:val="continuous"/>
          <w:pgSz w:w="12240" w:h="15840" w:code="1"/>
          <w:pgMar w:top="1440" w:right="1440" w:bottom="1440" w:left="1440" w:header="720" w:footer="720" w:gutter="0"/>
          <w:cols w:space="720"/>
          <w:docGrid w:linePitch="360"/>
        </w:sectPr>
      </w:pPr>
      <w:r w:rsidRPr="00671E8F">
        <w:rPr>
          <w:rFonts w:ascii="Calibri" w:eastAsia="Calibri" w:hAnsi="Calibri" w:cs="Calibri"/>
          <w:bCs/>
          <w:sz w:val="16"/>
          <w:szCs w:val="72"/>
        </w:rPr>
        <w:t>* Министарство финансија</w:t>
      </w:r>
    </w:p>
    <w:p w14:paraId="61816FBE" w14:textId="3304F444" w:rsidR="000353A6" w:rsidRPr="00671E8F" w:rsidRDefault="000353A6" w:rsidP="00FA6BD0">
      <w:pPr>
        <w:spacing w:after="120"/>
        <w:jc w:val="left"/>
        <w:rPr>
          <w:rFonts w:cstheme="minorHAnsi"/>
          <w:b/>
          <w:color w:val="2F5496" w:themeColor="accent1" w:themeShade="BF"/>
          <w:sz w:val="22"/>
        </w:rPr>
        <w:sectPr w:rsidR="000353A6" w:rsidRPr="00671E8F" w:rsidSect="000353A6">
          <w:footerReference w:type="default" r:id="rId85"/>
          <w:headerReference w:type="first" r:id="rId86"/>
          <w:type w:val="continuous"/>
          <w:pgSz w:w="12240" w:h="15840" w:code="1"/>
          <w:pgMar w:top="1440" w:right="1440" w:bottom="1440" w:left="1440" w:header="720" w:footer="720" w:gutter="0"/>
          <w:cols w:space="720"/>
          <w:titlePg/>
          <w:docGrid w:linePitch="360"/>
        </w:sectPr>
      </w:pPr>
    </w:p>
    <w:p w14:paraId="5D6C1ED8" w14:textId="14AA3A0B" w:rsidR="000353A6" w:rsidRPr="00671E8F" w:rsidRDefault="000353A6" w:rsidP="00FA6BD0">
      <w:pPr>
        <w:spacing w:after="120"/>
        <w:jc w:val="left"/>
        <w:rPr>
          <w:color w:val="2F5496" w:themeColor="accent1" w:themeShade="BF"/>
        </w:rPr>
      </w:pPr>
      <w:r w:rsidRPr="00671E8F">
        <w:rPr>
          <w:rFonts w:cstheme="minorHAnsi"/>
          <w:b/>
          <w:color w:val="2F5496" w:themeColor="accent1" w:themeShade="BF"/>
          <w:sz w:val="22"/>
        </w:rPr>
        <w:t>Пројекције кретања реалног сектора у периоду 2025–2027. године</w:t>
      </w:r>
    </w:p>
    <w:p w14:paraId="17E81C4A" w14:textId="77777777" w:rsidR="000353A6" w:rsidRPr="00671E8F" w:rsidRDefault="000353A6" w:rsidP="008527D6">
      <w:pPr>
        <w:spacing w:after="120"/>
        <w:rPr>
          <w:rFonts w:cstheme="minorHAnsi"/>
          <w:bCs/>
          <w:spacing w:val="-2"/>
          <w:szCs w:val="72"/>
        </w:rPr>
      </w:pPr>
      <w:r w:rsidRPr="00671E8F">
        <w:rPr>
          <w:rFonts w:cstheme="minorHAnsi"/>
          <w:bCs/>
          <w:spacing w:val="-6"/>
          <w:szCs w:val="72"/>
        </w:rPr>
        <w:t xml:space="preserve">Очекивана средњорочна кретања реалног сектора узимају у обзир актуелне економске трендове и изгледе за Србију и међународно окружење. </w:t>
      </w:r>
      <w:r w:rsidRPr="00671E8F">
        <w:rPr>
          <w:rFonts w:cstheme="minorHAnsi"/>
          <w:bCs/>
          <w:spacing w:val="-2"/>
          <w:szCs w:val="72"/>
        </w:rPr>
        <w:t>Влада ће и у наредном периоду водити одговорну и предвидиву фискалну политику, синхронизовану са монетарном политиком</w:t>
      </w:r>
      <w:r w:rsidRPr="00671E8F" w:rsidDel="000966AF">
        <w:rPr>
          <w:rFonts w:cstheme="minorHAnsi"/>
          <w:bCs/>
          <w:spacing w:val="-2"/>
          <w:szCs w:val="72"/>
        </w:rPr>
        <w:t xml:space="preserve"> </w:t>
      </w:r>
      <w:r w:rsidRPr="00671E8F">
        <w:rPr>
          <w:rFonts w:cstheme="minorHAnsi"/>
          <w:bCs/>
          <w:spacing w:val="-2"/>
          <w:szCs w:val="72"/>
        </w:rPr>
        <w:t>и фокусирану на минимизирање негативних економских последица повећаних геополитичких тензија, али и на лоцирању нових извора раста. И овим трогодишњим сценариом Влада остаје посвећена очувању модела привредног раста који се заснива на инвестицијама и извозу, а који је подржан растом приватне потрошње и даљем расту стандарда становништва.</w:t>
      </w:r>
    </w:p>
    <w:p w14:paraId="3E91FF80" w14:textId="40B09510" w:rsidR="000353A6" w:rsidRPr="00671E8F" w:rsidRDefault="000353A6" w:rsidP="008527D6">
      <w:pPr>
        <w:spacing w:after="120"/>
        <w:rPr>
          <w:rFonts w:cstheme="minorHAnsi"/>
          <w:bCs/>
          <w:spacing w:val="-2"/>
          <w:szCs w:val="72"/>
        </w:rPr>
      </w:pPr>
      <w:r w:rsidRPr="00671E8F">
        <w:rPr>
          <w:rFonts w:cstheme="minorHAnsi"/>
          <w:bCs/>
          <w:spacing w:val="-2"/>
          <w:szCs w:val="72"/>
        </w:rPr>
        <w:t xml:space="preserve">Убрзање свих административних процедура, наставак пореског растерећењa привреде са циљем подизања њене конкурентности, потписивање споразума којима се обезбеђује очување постојећих и отварање нових ино тржишта, интензивније и ефикасније извођење инфраструктурних радова, очување енергетске стабилности уз реализацију пројеката из зелене агенде само су неке од мера које треба да обезбеде здраве фундаменте за раст БДП у условима растућих геополитичких тензија. Изградња сложене инфраструктуре у оквиру реализације програма „Скок у будућност – Србија 2027” представљаће </w:t>
      </w:r>
      <w:r w:rsidRPr="00671E8F">
        <w:rPr>
          <w:rFonts w:cstheme="minorHAnsi"/>
          <w:bCs/>
          <w:spacing w:val="-2"/>
          <w:szCs w:val="72"/>
        </w:rPr>
        <w:t xml:space="preserve">језгро јавних инвестиција у предстојећем периоду. </w:t>
      </w:r>
      <w:r w:rsidR="00D762FE" w:rsidRPr="00671E8F">
        <w:rPr>
          <w:rFonts w:cstheme="minorHAnsi"/>
          <w:bCs/>
          <w:spacing w:val="-2"/>
          <w:szCs w:val="72"/>
        </w:rPr>
        <w:t>Организација ЕXПО 2027 ће играти кључну улогу у позиционирању Србије на међународној сцени, а очекује се да ће значајно подстаћи развој у секторима као што су грађевинарство, туризам, иновације и технологије, чиме ће се додатно ојачати економска и међународна позиција земље.</w:t>
      </w:r>
      <w:r w:rsidR="00FD2C82" w:rsidRPr="00671E8F">
        <w:rPr>
          <w:rFonts w:cstheme="minorHAnsi"/>
          <w:bCs/>
          <w:spacing w:val="-2"/>
          <w:szCs w:val="72"/>
        </w:rPr>
        <w:t xml:space="preserve"> </w:t>
      </w:r>
      <w:r w:rsidRPr="00671E8F">
        <w:rPr>
          <w:rFonts w:cstheme="minorHAnsi"/>
          <w:bCs/>
          <w:spacing w:val="-2"/>
          <w:szCs w:val="72"/>
        </w:rPr>
        <w:t>Дигитална трансформација и изградња дигиталног екосистема остаје стратешка оријентација Владе. Наставиће се са модернизацијом и дигитализацијом која ће се огледати у даљем развоју и примени вештачке интелигенције и ширењу система суперкомпјутера, као и ширењу капацитета Државног дата центра. Истовремено, наст</w:t>
      </w:r>
      <w:r w:rsidR="002D2F5E" w:rsidRPr="00671E8F">
        <w:rPr>
          <w:rFonts w:cstheme="minorHAnsi"/>
          <w:bCs/>
          <w:spacing w:val="-2"/>
          <w:szCs w:val="72"/>
        </w:rPr>
        <w:t>ав</w:t>
      </w:r>
      <w:r w:rsidRPr="00671E8F">
        <w:rPr>
          <w:rFonts w:cstheme="minorHAnsi"/>
          <w:bCs/>
          <w:spacing w:val="-2"/>
          <w:szCs w:val="72"/>
        </w:rPr>
        <w:t xml:space="preserve">ља се са активностима које имају за циљ убрзани развој иновационог екосистема кроз проширење постојећих научно-технолошких паркова и изградњу нових, као и унапређење услова за отварање истраживачко-развојних центара познатих светских ИТ и других компанија. Планови реиндустријализације и унапређење пољопривредне производње у наредном периоду ће уважавати захтеве заштите животне средине. Обезбеђивање енергетске безбедности и одрживих извора енергије ће бити примарни циљ енергетске стратегије и процеса декарбонизације. Ефикаснији рад државне администрације, скраћивање процедура становништву и привреди са фокусом на дигитализацију убрзаће конвергенцију наше привреде ка развијеним </w:t>
      </w:r>
      <w:r w:rsidRPr="00671E8F">
        <w:rPr>
          <w:rFonts w:cstheme="minorHAnsi"/>
          <w:bCs/>
          <w:spacing w:val="-2"/>
          <w:szCs w:val="72"/>
        </w:rPr>
        <w:lastRenderedPageBreak/>
        <w:t>земљама. Систем фискализа</w:t>
      </w:r>
      <w:r w:rsidR="00FD2C82" w:rsidRPr="00671E8F">
        <w:rPr>
          <w:rFonts w:cstheme="minorHAnsi"/>
          <w:bCs/>
          <w:spacing w:val="-2"/>
          <w:szCs w:val="72"/>
        </w:rPr>
        <w:t>ције и измене царинских прописа</w:t>
      </w:r>
      <w:r w:rsidRPr="00671E8F">
        <w:rPr>
          <w:rFonts w:cstheme="minorHAnsi"/>
          <w:bCs/>
          <w:spacing w:val="-2"/>
          <w:szCs w:val="72"/>
        </w:rPr>
        <w:t xml:space="preserve"> смањује учешће сиве економије у укупним привредним токовима обезбеђујући повољан привредни амбијент. Механизам подстицаја СДИ и даље ће имати за циљ њихову секторску и регионалну дисперзију како би биле обезбеђене претпоставке равномерног развоја и пуне искоришћености компаративних предности.</w:t>
      </w:r>
    </w:p>
    <w:p w14:paraId="61835DC4" w14:textId="00F2B2CB" w:rsidR="000353A6" w:rsidRPr="00671E8F" w:rsidRDefault="000353A6" w:rsidP="00890E9C">
      <w:pPr>
        <w:spacing w:after="120"/>
        <w:rPr>
          <w:rFonts w:cstheme="minorHAnsi"/>
          <w:bCs/>
          <w:szCs w:val="72"/>
        </w:rPr>
        <w:sectPr w:rsidR="000353A6" w:rsidRPr="00671E8F" w:rsidSect="000353A6">
          <w:type w:val="continuous"/>
          <w:pgSz w:w="12240" w:h="15840" w:code="1"/>
          <w:pgMar w:top="1440" w:right="1440" w:bottom="1440" w:left="1440" w:header="720" w:footer="720" w:gutter="0"/>
          <w:cols w:num="2" w:space="720"/>
          <w:titlePg/>
          <w:docGrid w:linePitch="360"/>
        </w:sectPr>
      </w:pPr>
      <w:r w:rsidRPr="00671E8F">
        <w:rPr>
          <w:rFonts w:cstheme="minorHAnsi"/>
          <w:bCs/>
          <w:szCs w:val="72"/>
        </w:rPr>
        <w:t xml:space="preserve">И у ревидираном макроекономском оквиру пошло се од претпоставке да неће доћи до даље ескалације војних сукоба и додатног заоштравања међународних економских и политичких односа, да ће цене енергената остати на приближно истом нивоу као и тренутне, уз очувану сигурност </w:t>
      </w:r>
      <w:r w:rsidRPr="00671E8F">
        <w:rPr>
          <w:rFonts w:cstheme="minorHAnsi"/>
          <w:bCs/>
          <w:szCs w:val="72"/>
        </w:rPr>
        <w:t>снабдевања домаћих произвођача и потрошача, као и да неће доћи до значајнијих поремећаја на страни спољне тражње, пре свега у погледу споријег опоравка економије ЕУ као нашег најважнијег спољнотрговинског партнера. Такође, очекује се наставак стабилног прилива СДИ које ће обезбедити трансфер знања и технологија, као и нове продајне канале домаћим произвођачима. Неизвесност присутна код пројекција остаје висока због природе и обима шокова на глобалном нивоу. Канали преко којих они могу потенцијално деловати на домаћу привреду су бројни, често ланчано повезани, а сама јачина потенцијалних шокова је таква да у великој мери могу утицати на средњорочна кретања.</w:t>
      </w:r>
    </w:p>
    <w:tbl>
      <w:tblPr>
        <w:tblStyle w:val="TableGrid"/>
        <w:tblW w:w="4972" w:type="pct"/>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7"/>
        <w:gridCol w:w="925"/>
        <w:gridCol w:w="927"/>
        <w:gridCol w:w="942"/>
        <w:gridCol w:w="942"/>
        <w:gridCol w:w="955"/>
      </w:tblGrid>
      <w:tr w:rsidR="000353A6" w:rsidRPr="00671E8F" w14:paraId="4E1EF30F" w14:textId="77777777" w:rsidTr="00D66344">
        <w:trPr>
          <w:trHeight w:val="413"/>
        </w:trPr>
        <w:tc>
          <w:tcPr>
            <w:tcW w:w="5000" w:type="pct"/>
            <w:gridSpan w:val="6"/>
            <w:tcBorders>
              <w:bottom w:val="single" w:sz="4" w:space="0" w:color="002060"/>
            </w:tcBorders>
            <w:shd w:val="clear" w:color="auto" w:fill="auto"/>
            <w:vAlign w:val="center"/>
          </w:tcPr>
          <w:p w14:paraId="31C42DD4" w14:textId="77777777" w:rsidR="000353A6" w:rsidRPr="00671E8F" w:rsidRDefault="000353A6" w:rsidP="00FA6BD0">
            <w:pPr>
              <w:jc w:val="center"/>
              <w:rPr>
                <w:rFonts w:cstheme="minorHAnsi"/>
                <w:b/>
                <w:color w:val="002060"/>
                <w:sz w:val="16"/>
              </w:rPr>
            </w:pPr>
            <w:r w:rsidRPr="00671E8F">
              <w:rPr>
                <w:rFonts w:cstheme="minorHAnsi"/>
                <w:b/>
                <w:color w:val="002060"/>
              </w:rPr>
              <w:t>Табела 4. Пројекција основних макроекономских показатеља Републике Србије</w:t>
            </w:r>
          </w:p>
        </w:tc>
      </w:tr>
      <w:tr w:rsidR="000353A6" w:rsidRPr="00671E8F" w14:paraId="665584BD" w14:textId="77777777" w:rsidTr="00D66344">
        <w:trPr>
          <w:trHeight w:val="251"/>
        </w:trPr>
        <w:tc>
          <w:tcPr>
            <w:tcW w:w="2480" w:type="pct"/>
            <w:tcBorders>
              <w:top w:val="single" w:sz="4" w:space="0" w:color="002060"/>
              <w:bottom w:val="single" w:sz="2" w:space="0" w:color="FFFFFF" w:themeColor="background1"/>
            </w:tcBorders>
            <w:shd w:val="clear" w:color="auto" w:fill="auto"/>
          </w:tcPr>
          <w:p w14:paraId="145F6683" w14:textId="77777777" w:rsidR="000353A6" w:rsidRPr="00671E8F" w:rsidRDefault="000353A6" w:rsidP="00C130D2">
            <w:pPr>
              <w:rPr>
                <w:rFonts w:cstheme="minorHAnsi"/>
                <w:color w:val="002060"/>
                <w:sz w:val="18"/>
              </w:rPr>
            </w:pPr>
          </w:p>
        </w:tc>
        <w:tc>
          <w:tcPr>
            <w:tcW w:w="497" w:type="pct"/>
            <w:tcBorders>
              <w:top w:val="single" w:sz="4" w:space="0" w:color="002060"/>
              <w:bottom w:val="single" w:sz="4" w:space="0" w:color="FFFFFF" w:themeColor="background1"/>
            </w:tcBorders>
            <w:shd w:val="clear" w:color="auto" w:fill="auto"/>
          </w:tcPr>
          <w:p w14:paraId="2AEC5DD2" w14:textId="77777777" w:rsidR="000353A6" w:rsidRPr="00671E8F" w:rsidRDefault="000353A6" w:rsidP="00C130D2">
            <w:pPr>
              <w:jc w:val="center"/>
              <w:rPr>
                <w:rFonts w:cstheme="minorHAnsi"/>
                <w:color w:val="002060"/>
                <w:sz w:val="18"/>
              </w:rPr>
            </w:pPr>
            <w:r w:rsidRPr="00671E8F">
              <w:rPr>
                <w:rFonts w:cstheme="minorHAnsi"/>
                <w:color w:val="002060"/>
                <w:sz w:val="18"/>
              </w:rPr>
              <w:t>Процена</w:t>
            </w:r>
          </w:p>
        </w:tc>
        <w:tc>
          <w:tcPr>
            <w:tcW w:w="498" w:type="pct"/>
            <w:tcBorders>
              <w:top w:val="single" w:sz="4" w:space="0" w:color="002060"/>
              <w:bottom w:val="single" w:sz="2" w:space="0" w:color="FFFFFF" w:themeColor="background1"/>
            </w:tcBorders>
            <w:shd w:val="clear" w:color="auto" w:fill="auto"/>
          </w:tcPr>
          <w:p w14:paraId="48D81DE6" w14:textId="77777777" w:rsidR="000353A6" w:rsidRPr="00671E8F" w:rsidRDefault="000353A6" w:rsidP="00C130D2">
            <w:pPr>
              <w:jc w:val="center"/>
              <w:rPr>
                <w:rFonts w:cstheme="minorHAnsi"/>
                <w:color w:val="002060"/>
                <w:sz w:val="18"/>
              </w:rPr>
            </w:pPr>
          </w:p>
        </w:tc>
        <w:tc>
          <w:tcPr>
            <w:tcW w:w="1524" w:type="pct"/>
            <w:gridSpan w:val="3"/>
            <w:tcBorders>
              <w:top w:val="single" w:sz="4" w:space="0" w:color="002060"/>
              <w:bottom w:val="single" w:sz="4" w:space="0" w:color="FFFFFF" w:themeColor="background1"/>
            </w:tcBorders>
            <w:shd w:val="clear" w:color="auto" w:fill="auto"/>
          </w:tcPr>
          <w:p w14:paraId="25FFEDE1" w14:textId="77777777" w:rsidR="000353A6" w:rsidRPr="00671E8F" w:rsidRDefault="000353A6" w:rsidP="00C130D2">
            <w:pPr>
              <w:jc w:val="center"/>
              <w:rPr>
                <w:rFonts w:cstheme="minorHAnsi"/>
                <w:color w:val="002060"/>
                <w:sz w:val="18"/>
              </w:rPr>
            </w:pPr>
            <w:r w:rsidRPr="00671E8F">
              <w:rPr>
                <w:rFonts w:cstheme="minorHAnsi"/>
                <w:color w:val="002060"/>
                <w:sz w:val="18"/>
              </w:rPr>
              <w:t>Пројекције</w:t>
            </w:r>
          </w:p>
        </w:tc>
      </w:tr>
      <w:tr w:rsidR="000353A6" w:rsidRPr="00671E8F" w14:paraId="1AAEB962" w14:textId="77777777" w:rsidTr="00D66344">
        <w:trPr>
          <w:trHeight w:val="266"/>
        </w:trPr>
        <w:tc>
          <w:tcPr>
            <w:tcW w:w="2480" w:type="pct"/>
            <w:tcBorders>
              <w:top w:val="single" w:sz="2" w:space="0" w:color="FFFFFF" w:themeColor="background1"/>
            </w:tcBorders>
            <w:shd w:val="clear" w:color="auto" w:fill="auto"/>
          </w:tcPr>
          <w:p w14:paraId="79D222BE" w14:textId="77777777" w:rsidR="000353A6" w:rsidRPr="00671E8F" w:rsidRDefault="000353A6" w:rsidP="00C130D2">
            <w:pPr>
              <w:ind w:left="-15"/>
              <w:rPr>
                <w:rFonts w:cstheme="minorHAnsi"/>
                <w:color w:val="002060"/>
                <w:sz w:val="18"/>
                <w:szCs w:val="18"/>
              </w:rPr>
            </w:pPr>
          </w:p>
        </w:tc>
        <w:tc>
          <w:tcPr>
            <w:tcW w:w="497" w:type="pct"/>
            <w:tcBorders>
              <w:top w:val="single" w:sz="4" w:space="0" w:color="FFFFFF" w:themeColor="background1"/>
              <w:bottom w:val="single" w:sz="4" w:space="0" w:color="auto"/>
            </w:tcBorders>
            <w:shd w:val="clear" w:color="auto" w:fill="auto"/>
          </w:tcPr>
          <w:p w14:paraId="0D8BDC4C" w14:textId="77777777" w:rsidR="000353A6" w:rsidRPr="00671E8F" w:rsidRDefault="000353A6" w:rsidP="00C130D2">
            <w:pPr>
              <w:jc w:val="center"/>
              <w:rPr>
                <w:rFonts w:cstheme="minorHAnsi"/>
                <w:color w:val="002060"/>
                <w:sz w:val="18"/>
                <w:szCs w:val="18"/>
              </w:rPr>
            </w:pPr>
            <w:r w:rsidRPr="00671E8F">
              <w:rPr>
                <w:rFonts w:cstheme="minorHAnsi"/>
                <w:color w:val="002060"/>
                <w:sz w:val="18"/>
              </w:rPr>
              <w:t>2024</w:t>
            </w:r>
          </w:p>
        </w:tc>
        <w:tc>
          <w:tcPr>
            <w:tcW w:w="498" w:type="pct"/>
            <w:tcBorders>
              <w:top w:val="single" w:sz="2" w:space="0" w:color="FFFFFF" w:themeColor="background1"/>
            </w:tcBorders>
            <w:shd w:val="clear" w:color="auto" w:fill="auto"/>
          </w:tcPr>
          <w:p w14:paraId="498EFA18" w14:textId="77777777" w:rsidR="000353A6" w:rsidRPr="00671E8F" w:rsidRDefault="000353A6" w:rsidP="00C130D2">
            <w:pPr>
              <w:jc w:val="center"/>
              <w:rPr>
                <w:rFonts w:cstheme="minorHAnsi"/>
                <w:color w:val="002060"/>
                <w:sz w:val="18"/>
                <w:szCs w:val="18"/>
              </w:rPr>
            </w:pPr>
          </w:p>
        </w:tc>
        <w:tc>
          <w:tcPr>
            <w:tcW w:w="506" w:type="pct"/>
            <w:tcBorders>
              <w:top w:val="single" w:sz="4" w:space="0" w:color="FFFFFF" w:themeColor="background1"/>
              <w:bottom w:val="single" w:sz="4" w:space="0" w:color="auto"/>
            </w:tcBorders>
            <w:shd w:val="clear" w:color="auto" w:fill="auto"/>
          </w:tcPr>
          <w:p w14:paraId="0D1D4430" w14:textId="77777777" w:rsidR="000353A6" w:rsidRPr="00671E8F" w:rsidRDefault="000353A6" w:rsidP="00C130D2">
            <w:pPr>
              <w:jc w:val="center"/>
              <w:rPr>
                <w:rFonts w:cstheme="minorHAnsi"/>
                <w:color w:val="002060"/>
                <w:sz w:val="18"/>
                <w:szCs w:val="18"/>
              </w:rPr>
            </w:pPr>
            <w:r w:rsidRPr="00671E8F">
              <w:rPr>
                <w:rFonts w:cstheme="minorHAnsi"/>
                <w:color w:val="002060"/>
                <w:sz w:val="18"/>
              </w:rPr>
              <w:t>2025</w:t>
            </w:r>
          </w:p>
        </w:tc>
        <w:tc>
          <w:tcPr>
            <w:tcW w:w="506" w:type="pct"/>
            <w:tcBorders>
              <w:top w:val="single" w:sz="4" w:space="0" w:color="FFFFFF" w:themeColor="background1"/>
              <w:bottom w:val="single" w:sz="4" w:space="0" w:color="auto"/>
            </w:tcBorders>
            <w:shd w:val="clear" w:color="auto" w:fill="auto"/>
          </w:tcPr>
          <w:p w14:paraId="36CD9445" w14:textId="77777777" w:rsidR="000353A6" w:rsidRPr="00671E8F" w:rsidRDefault="000353A6" w:rsidP="00C130D2">
            <w:pPr>
              <w:jc w:val="center"/>
              <w:rPr>
                <w:rFonts w:cstheme="minorHAnsi"/>
                <w:color w:val="002060"/>
                <w:sz w:val="18"/>
                <w:szCs w:val="18"/>
              </w:rPr>
            </w:pPr>
            <w:r w:rsidRPr="00671E8F">
              <w:rPr>
                <w:rFonts w:cstheme="minorHAnsi"/>
                <w:color w:val="002060"/>
                <w:sz w:val="18"/>
              </w:rPr>
              <w:t>2026</w:t>
            </w:r>
          </w:p>
        </w:tc>
        <w:tc>
          <w:tcPr>
            <w:tcW w:w="512" w:type="pct"/>
            <w:tcBorders>
              <w:top w:val="single" w:sz="4" w:space="0" w:color="FFFFFF" w:themeColor="background1"/>
              <w:bottom w:val="single" w:sz="4" w:space="0" w:color="auto"/>
            </w:tcBorders>
            <w:shd w:val="clear" w:color="auto" w:fill="auto"/>
          </w:tcPr>
          <w:p w14:paraId="07BDE2B4" w14:textId="77777777" w:rsidR="000353A6" w:rsidRPr="00671E8F" w:rsidRDefault="000353A6" w:rsidP="00C130D2">
            <w:pPr>
              <w:jc w:val="center"/>
              <w:rPr>
                <w:rFonts w:cstheme="minorHAnsi"/>
                <w:color w:val="002060"/>
                <w:sz w:val="18"/>
                <w:szCs w:val="18"/>
              </w:rPr>
            </w:pPr>
            <w:r w:rsidRPr="00671E8F">
              <w:rPr>
                <w:rFonts w:cstheme="minorHAnsi"/>
                <w:color w:val="002060"/>
                <w:sz w:val="18"/>
              </w:rPr>
              <w:t>2027</w:t>
            </w:r>
          </w:p>
        </w:tc>
      </w:tr>
      <w:tr w:rsidR="000353A6" w:rsidRPr="00671E8F" w14:paraId="2F9F6976" w14:textId="77777777" w:rsidTr="00D66344">
        <w:trPr>
          <w:trHeight w:val="251"/>
        </w:trPr>
        <w:tc>
          <w:tcPr>
            <w:tcW w:w="2480" w:type="pct"/>
            <w:tcBorders>
              <w:top w:val="single" w:sz="2" w:space="0" w:color="FFFFFF" w:themeColor="background1"/>
            </w:tcBorders>
            <w:shd w:val="clear" w:color="auto" w:fill="auto"/>
          </w:tcPr>
          <w:p w14:paraId="3C0A9B99" w14:textId="77777777" w:rsidR="000353A6" w:rsidRPr="00671E8F" w:rsidRDefault="000353A6" w:rsidP="000353A6">
            <w:pPr>
              <w:ind w:left="-15"/>
              <w:rPr>
                <w:rFonts w:cstheme="minorHAnsi"/>
                <w:color w:val="002060"/>
                <w:sz w:val="18"/>
                <w:szCs w:val="18"/>
              </w:rPr>
            </w:pPr>
            <w:r w:rsidRPr="00671E8F">
              <w:rPr>
                <w:rFonts w:cstheme="minorHAnsi"/>
                <w:color w:val="002060"/>
                <w:sz w:val="18"/>
                <w:szCs w:val="18"/>
              </w:rPr>
              <w:t>БДП, млрд динара (текуће цене)</w:t>
            </w:r>
          </w:p>
        </w:tc>
        <w:tc>
          <w:tcPr>
            <w:tcW w:w="497" w:type="pct"/>
            <w:tcBorders>
              <w:top w:val="single" w:sz="4" w:space="0" w:color="auto"/>
            </w:tcBorders>
            <w:shd w:val="clear" w:color="auto" w:fill="auto"/>
          </w:tcPr>
          <w:p w14:paraId="7E0022DB"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9.604,8</w:t>
            </w:r>
          </w:p>
        </w:tc>
        <w:tc>
          <w:tcPr>
            <w:tcW w:w="498" w:type="pct"/>
            <w:tcBorders>
              <w:top w:val="single" w:sz="2" w:space="0" w:color="FFFFFF" w:themeColor="background1"/>
            </w:tcBorders>
            <w:shd w:val="clear" w:color="auto" w:fill="auto"/>
          </w:tcPr>
          <w:p w14:paraId="66462970"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center"/>
          </w:tcPr>
          <w:p w14:paraId="2CB08D86"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10.328,9</w:t>
            </w:r>
          </w:p>
        </w:tc>
        <w:tc>
          <w:tcPr>
            <w:tcW w:w="506" w:type="pct"/>
            <w:tcBorders>
              <w:top w:val="nil"/>
              <w:left w:val="nil"/>
              <w:bottom w:val="nil"/>
              <w:right w:val="nil"/>
            </w:tcBorders>
            <w:shd w:val="clear" w:color="auto" w:fill="auto"/>
            <w:vAlign w:val="center"/>
          </w:tcPr>
          <w:p w14:paraId="0C320D5F"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11.087,6</w:t>
            </w:r>
          </w:p>
        </w:tc>
        <w:tc>
          <w:tcPr>
            <w:tcW w:w="512" w:type="pct"/>
            <w:tcBorders>
              <w:top w:val="nil"/>
              <w:left w:val="nil"/>
              <w:bottom w:val="nil"/>
              <w:right w:val="nil"/>
            </w:tcBorders>
            <w:shd w:val="clear" w:color="auto" w:fill="auto"/>
            <w:vAlign w:val="center"/>
          </w:tcPr>
          <w:p w14:paraId="7737B81F"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11.993,1</w:t>
            </w:r>
          </w:p>
        </w:tc>
      </w:tr>
      <w:tr w:rsidR="000353A6" w:rsidRPr="00671E8F" w14:paraId="7AE3D6B2" w14:textId="77777777" w:rsidTr="00D66344">
        <w:trPr>
          <w:trHeight w:val="251"/>
        </w:trPr>
        <w:tc>
          <w:tcPr>
            <w:tcW w:w="2480" w:type="pct"/>
            <w:shd w:val="clear" w:color="auto" w:fill="auto"/>
          </w:tcPr>
          <w:p w14:paraId="119D926F" w14:textId="77777777" w:rsidR="000353A6" w:rsidRPr="00671E8F" w:rsidRDefault="000353A6" w:rsidP="000353A6">
            <w:pPr>
              <w:ind w:left="-15"/>
              <w:rPr>
                <w:rFonts w:cstheme="minorHAnsi"/>
                <w:color w:val="002060"/>
                <w:sz w:val="18"/>
                <w:szCs w:val="18"/>
              </w:rPr>
            </w:pPr>
            <w:r w:rsidRPr="00671E8F">
              <w:rPr>
                <w:rFonts w:cstheme="minorHAnsi"/>
                <w:color w:val="002060"/>
                <w:sz w:val="18"/>
                <w:szCs w:val="18"/>
              </w:rPr>
              <w:t>Реални раст БДП, %</w:t>
            </w:r>
          </w:p>
        </w:tc>
        <w:tc>
          <w:tcPr>
            <w:tcW w:w="497" w:type="pct"/>
            <w:shd w:val="clear" w:color="auto" w:fill="auto"/>
          </w:tcPr>
          <w:p w14:paraId="65077980"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3,8</w:t>
            </w:r>
          </w:p>
        </w:tc>
        <w:tc>
          <w:tcPr>
            <w:tcW w:w="498" w:type="pct"/>
            <w:shd w:val="clear" w:color="auto" w:fill="auto"/>
          </w:tcPr>
          <w:p w14:paraId="6ACD00C9" w14:textId="77777777" w:rsidR="000353A6" w:rsidRPr="00671E8F" w:rsidRDefault="000353A6" w:rsidP="000353A6">
            <w:pPr>
              <w:jc w:val="center"/>
              <w:rPr>
                <w:rFonts w:cstheme="minorHAnsi"/>
                <w:color w:val="002060"/>
                <w:sz w:val="18"/>
                <w:szCs w:val="18"/>
              </w:rPr>
            </w:pPr>
          </w:p>
        </w:tc>
        <w:tc>
          <w:tcPr>
            <w:tcW w:w="506" w:type="pct"/>
            <w:shd w:val="clear" w:color="auto" w:fill="auto"/>
            <w:vAlign w:val="center"/>
          </w:tcPr>
          <w:p w14:paraId="55A3FE54"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4,2</w:t>
            </w:r>
          </w:p>
        </w:tc>
        <w:tc>
          <w:tcPr>
            <w:tcW w:w="506" w:type="pct"/>
            <w:shd w:val="clear" w:color="auto" w:fill="auto"/>
            <w:vAlign w:val="center"/>
          </w:tcPr>
          <w:p w14:paraId="0F60B828"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4,0</w:t>
            </w:r>
          </w:p>
        </w:tc>
        <w:tc>
          <w:tcPr>
            <w:tcW w:w="512" w:type="pct"/>
            <w:shd w:val="clear" w:color="auto" w:fill="auto"/>
            <w:vAlign w:val="center"/>
          </w:tcPr>
          <w:p w14:paraId="0C858FA1"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5,0</w:t>
            </w:r>
          </w:p>
        </w:tc>
      </w:tr>
      <w:tr w:rsidR="000353A6" w:rsidRPr="00671E8F" w14:paraId="44A7FC69" w14:textId="77777777" w:rsidTr="00D66344">
        <w:trPr>
          <w:trHeight w:val="266"/>
        </w:trPr>
        <w:tc>
          <w:tcPr>
            <w:tcW w:w="2480" w:type="pct"/>
            <w:shd w:val="clear" w:color="auto" w:fill="auto"/>
          </w:tcPr>
          <w:p w14:paraId="11B0683F" w14:textId="77777777" w:rsidR="000353A6" w:rsidRPr="00671E8F" w:rsidRDefault="000353A6" w:rsidP="000353A6">
            <w:pPr>
              <w:ind w:left="-15"/>
              <w:rPr>
                <w:rFonts w:cstheme="minorHAnsi"/>
                <w:color w:val="002060"/>
                <w:sz w:val="18"/>
                <w:szCs w:val="18"/>
              </w:rPr>
            </w:pPr>
            <w:r w:rsidRPr="00671E8F">
              <w:rPr>
                <w:rFonts w:cstheme="minorHAnsi"/>
                <w:color w:val="002060"/>
                <w:sz w:val="18"/>
                <w:szCs w:val="18"/>
              </w:rPr>
              <w:t>Дефлатор БДП, %</w:t>
            </w:r>
          </w:p>
        </w:tc>
        <w:tc>
          <w:tcPr>
            <w:tcW w:w="497" w:type="pct"/>
            <w:shd w:val="clear" w:color="auto" w:fill="auto"/>
          </w:tcPr>
          <w:p w14:paraId="379BFCD9"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5,0</w:t>
            </w:r>
          </w:p>
        </w:tc>
        <w:tc>
          <w:tcPr>
            <w:tcW w:w="498" w:type="pct"/>
            <w:shd w:val="clear" w:color="auto" w:fill="auto"/>
          </w:tcPr>
          <w:p w14:paraId="763FE101"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0BA7CAD8"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3,2</w:t>
            </w:r>
          </w:p>
        </w:tc>
        <w:tc>
          <w:tcPr>
            <w:tcW w:w="506" w:type="pct"/>
            <w:tcBorders>
              <w:top w:val="nil"/>
              <w:left w:val="nil"/>
              <w:bottom w:val="nil"/>
              <w:right w:val="nil"/>
            </w:tcBorders>
            <w:shd w:val="clear" w:color="auto" w:fill="auto"/>
            <w:vAlign w:val="bottom"/>
          </w:tcPr>
          <w:p w14:paraId="3F1D6E1A"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3,2</w:t>
            </w:r>
          </w:p>
        </w:tc>
        <w:tc>
          <w:tcPr>
            <w:tcW w:w="512" w:type="pct"/>
            <w:tcBorders>
              <w:top w:val="nil"/>
              <w:left w:val="nil"/>
              <w:bottom w:val="nil"/>
              <w:right w:val="nil"/>
            </w:tcBorders>
            <w:shd w:val="clear" w:color="auto" w:fill="auto"/>
            <w:vAlign w:val="bottom"/>
          </w:tcPr>
          <w:p w14:paraId="6715A6AC"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3,0</w:t>
            </w:r>
          </w:p>
        </w:tc>
      </w:tr>
      <w:tr w:rsidR="00D66344" w:rsidRPr="00671E8F" w14:paraId="68E62C20" w14:textId="77777777" w:rsidTr="00D66344">
        <w:trPr>
          <w:trHeight w:val="266"/>
        </w:trPr>
        <w:tc>
          <w:tcPr>
            <w:tcW w:w="2480" w:type="pct"/>
            <w:shd w:val="clear" w:color="auto" w:fill="E7E6E6" w:themeFill="background2"/>
          </w:tcPr>
          <w:p w14:paraId="7B8B1F82" w14:textId="77777777" w:rsidR="000353A6" w:rsidRPr="00671E8F" w:rsidRDefault="000353A6" w:rsidP="000353A6">
            <w:pPr>
              <w:jc w:val="center"/>
              <w:rPr>
                <w:rFonts w:cstheme="minorHAnsi"/>
                <w:color w:val="002060"/>
                <w:sz w:val="18"/>
                <w:szCs w:val="18"/>
              </w:rPr>
            </w:pPr>
          </w:p>
        </w:tc>
        <w:tc>
          <w:tcPr>
            <w:tcW w:w="497" w:type="pct"/>
            <w:shd w:val="clear" w:color="auto" w:fill="E7E6E6" w:themeFill="background2"/>
          </w:tcPr>
          <w:p w14:paraId="2344B67D" w14:textId="77777777" w:rsidR="000353A6" w:rsidRPr="00671E8F" w:rsidRDefault="000353A6" w:rsidP="000353A6">
            <w:pPr>
              <w:jc w:val="center"/>
              <w:rPr>
                <w:rFonts w:cstheme="minorHAnsi"/>
                <w:color w:val="002060"/>
                <w:sz w:val="18"/>
                <w:szCs w:val="18"/>
              </w:rPr>
            </w:pPr>
          </w:p>
        </w:tc>
        <w:tc>
          <w:tcPr>
            <w:tcW w:w="498" w:type="pct"/>
            <w:shd w:val="clear" w:color="auto" w:fill="E7E6E6" w:themeFill="background2"/>
          </w:tcPr>
          <w:p w14:paraId="1E19A16B" w14:textId="77777777" w:rsidR="000353A6" w:rsidRPr="00671E8F" w:rsidRDefault="000353A6" w:rsidP="000353A6">
            <w:pPr>
              <w:jc w:val="center"/>
              <w:rPr>
                <w:rFonts w:cstheme="minorHAnsi"/>
                <w:color w:val="002060"/>
                <w:sz w:val="18"/>
                <w:szCs w:val="18"/>
              </w:rPr>
            </w:pPr>
          </w:p>
        </w:tc>
        <w:tc>
          <w:tcPr>
            <w:tcW w:w="506" w:type="pct"/>
            <w:shd w:val="clear" w:color="auto" w:fill="E7E6E6" w:themeFill="background2"/>
          </w:tcPr>
          <w:p w14:paraId="58524EB3" w14:textId="77777777" w:rsidR="000353A6" w:rsidRPr="00671E8F" w:rsidRDefault="000353A6" w:rsidP="000353A6">
            <w:pPr>
              <w:jc w:val="center"/>
              <w:rPr>
                <w:rFonts w:cstheme="minorHAnsi"/>
                <w:color w:val="002060"/>
                <w:sz w:val="18"/>
                <w:szCs w:val="18"/>
              </w:rPr>
            </w:pPr>
          </w:p>
        </w:tc>
        <w:tc>
          <w:tcPr>
            <w:tcW w:w="506" w:type="pct"/>
            <w:shd w:val="clear" w:color="auto" w:fill="E7E6E6" w:themeFill="background2"/>
          </w:tcPr>
          <w:p w14:paraId="68A21825" w14:textId="77777777" w:rsidR="000353A6" w:rsidRPr="00671E8F" w:rsidRDefault="000353A6" w:rsidP="000353A6">
            <w:pPr>
              <w:jc w:val="center"/>
              <w:rPr>
                <w:rFonts w:cstheme="minorHAnsi"/>
                <w:color w:val="002060"/>
                <w:sz w:val="18"/>
                <w:szCs w:val="18"/>
              </w:rPr>
            </w:pPr>
          </w:p>
        </w:tc>
        <w:tc>
          <w:tcPr>
            <w:tcW w:w="512" w:type="pct"/>
            <w:shd w:val="clear" w:color="auto" w:fill="E7E6E6" w:themeFill="background2"/>
          </w:tcPr>
          <w:p w14:paraId="2D852B98" w14:textId="77777777" w:rsidR="000353A6" w:rsidRPr="00671E8F" w:rsidRDefault="000353A6" w:rsidP="000353A6">
            <w:pPr>
              <w:jc w:val="center"/>
              <w:rPr>
                <w:rFonts w:cstheme="minorHAnsi"/>
                <w:color w:val="002060"/>
                <w:sz w:val="18"/>
                <w:szCs w:val="18"/>
              </w:rPr>
            </w:pPr>
          </w:p>
        </w:tc>
      </w:tr>
      <w:tr w:rsidR="000353A6" w:rsidRPr="00671E8F" w14:paraId="72CE6217" w14:textId="77777777" w:rsidTr="00D66344">
        <w:trPr>
          <w:trHeight w:val="251"/>
        </w:trPr>
        <w:tc>
          <w:tcPr>
            <w:tcW w:w="2480" w:type="pct"/>
            <w:shd w:val="clear" w:color="auto" w:fill="auto"/>
          </w:tcPr>
          <w:p w14:paraId="6137B385"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Лична потрошња</w:t>
            </w:r>
          </w:p>
        </w:tc>
        <w:tc>
          <w:tcPr>
            <w:tcW w:w="497" w:type="pct"/>
            <w:shd w:val="clear" w:color="auto" w:fill="auto"/>
          </w:tcPr>
          <w:p w14:paraId="30EEE4BC"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4,5</w:t>
            </w:r>
          </w:p>
        </w:tc>
        <w:tc>
          <w:tcPr>
            <w:tcW w:w="498" w:type="pct"/>
            <w:shd w:val="clear" w:color="auto" w:fill="auto"/>
          </w:tcPr>
          <w:p w14:paraId="57C9DDF5"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7654DBCA"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4,1</w:t>
            </w:r>
          </w:p>
        </w:tc>
        <w:tc>
          <w:tcPr>
            <w:tcW w:w="506" w:type="pct"/>
            <w:tcBorders>
              <w:top w:val="nil"/>
              <w:left w:val="nil"/>
              <w:bottom w:val="nil"/>
              <w:right w:val="nil"/>
            </w:tcBorders>
            <w:shd w:val="clear" w:color="auto" w:fill="auto"/>
            <w:vAlign w:val="bottom"/>
          </w:tcPr>
          <w:p w14:paraId="3080C1C8"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3,2</w:t>
            </w:r>
          </w:p>
        </w:tc>
        <w:tc>
          <w:tcPr>
            <w:tcW w:w="512" w:type="pct"/>
            <w:tcBorders>
              <w:top w:val="nil"/>
              <w:left w:val="nil"/>
              <w:bottom w:val="nil"/>
              <w:right w:val="nil"/>
            </w:tcBorders>
            <w:shd w:val="clear" w:color="auto" w:fill="auto"/>
            <w:vAlign w:val="bottom"/>
          </w:tcPr>
          <w:p w14:paraId="5696D0A0"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2,9</w:t>
            </w:r>
          </w:p>
        </w:tc>
      </w:tr>
      <w:tr w:rsidR="000353A6" w:rsidRPr="00671E8F" w14:paraId="6C498AF5" w14:textId="77777777" w:rsidTr="00D66344">
        <w:trPr>
          <w:trHeight w:val="266"/>
        </w:trPr>
        <w:tc>
          <w:tcPr>
            <w:tcW w:w="2480" w:type="pct"/>
            <w:shd w:val="clear" w:color="auto" w:fill="auto"/>
          </w:tcPr>
          <w:p w14:paraId="7295EFA2"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Државна потрошња</w:t>
            </w:r>
          </w:p>
        </w:tc>
        <w:tc>
          <w:tcPr>
            <w:tcW w:w="497" w:type="pct"/>
            <w:shd w:val="clear" w:color="auto" w:fill="auto"/>
          </w:tcPr>
          <w:p w14:paraId="7D170D9D"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3,1</w:t>
            </w:r>
          </w:p>
        </w:tc>
        <w:tc>
          <w:tcPr>
            <w:tcW w:w="498" w:type="pct"/>
            <w:shd w:val="clear" w:color="auto" w:fill="auto"/>
          </w:tcPr>
          <w:p w14:paraId="7872324C"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50008DF6"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2,2</w:t>
            </w:r>
          </w:p>
        </w:tc>
        <w:tc>
          <w:tcPr>
            <w:tcW w:w="506" w:type="pct"/>
            <w:tcBorders>
              <w:top w:val="nil"/>
              <w:left w:val="nil"/>
              <w:bottom w:val="nil"/>
              <w:right w:val="nil"/>
            </w:tcBorders>
            <w:shd w:val="clear" w:color="auto" w:fill="auto"/>
            <w:vAlign w:val="bottom"/>
          </w:tcPr>
          <w:p w14:paraId="4052F60D"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2,2</w:t>
            </w:r>
          </w:p>
        </w:tc>
        <w:tc>
          <w:tcPr>
            <w:tcW w:w="512" w:type="pct"/>
            <w:tcBorders>
              <w:top w:val="nil"/>
              <w:left w:val="nil"/>
              <w:bottom w:val="nil"/>
              <w:right w:val="nil"/>
            </w:tcBorders>
            <w:shd w:val="clear" w:color="auto" w:fill="auto"/>
            <w:vAlign w:val="bottom"/>
          </w:tcPr>
          <w:p w14:paraId="49B628D7"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2,0</w:t>
            </w:r>
          </w:p>
        </w:tc>
      </w:tr>
      <w:tr w:rsidR="000353A6" w:rsidRPr="00671E8F" w14:paraId="1A08E974" w14:textId="77777777" w:rsidTr="00D66344">
        <w:trPr>
          <w:trHeight w:val="251"/>
        </w:trPr>
        <w:tc>
          <w:tcPr>
            <w:tcW w:w="2480" w:type="pct"/>
            <w:shd w:val="clear" w:color="auto" w:fill="auto"/>
          </w:tcPr>
          <w:p w14:paraId="5C64C473"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Бруто инвестиције у основна средства</w:t>
            </w:r>
          </w:p>
        </w:tc>
        <w:tc>
          <w:tcPr>
            <w:tcW w:w="497" w:type="pct"/>
            <w:shd w:val="clear" w:color="auto" w:fill="auto"/>
          </w:tcPr>
          <w:p w14:paraId="20D15BE7"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9,2</w:t>
            </w:r>
          </w:p>
        </w:tc>
        <w:tc>
          <w:tcPr>
            <w:tcW w:w="498" w:type="pct"/>
            <w:shd w:val="clear" w:color="auto" w:fill="auto"/>
          </w:tcPr>
          <w:p w14:paraId="1ABF6484"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3B7FED40"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7,7</w:t>
            </w:r>
          </w:p>
        </w:tc>
        <w:tc>
          <w:tcPr>
            <w:tcW w:w="506" w:type="pct"/>
            <w:tcBorders>
              <w:top w:val="nil"/>
              <w:left w:val="nil"/>
              <w:bottom w:val="nil"/>
              <w:right w:val="nil"/>
            </w:tcBorders>
            <w:shd w:val="clear" w:color="auto" w:fill="auto"/>
            <w:vAlign w:val="bottom"/>
          </w:tcPr>
          <w:p w14:paraId="35BD8D29"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7,5</w:t>
            </w:r>
          </w:p>
        </w:tc>
        <w:tc>
          <w:tcPr>
            <w:tcW w:w="512" w:type="pct"/>
            <w:tcBorders>
              <w:top w:val="nil"/>
              <w:left w:val="nil"/>
              <w:bottom w:val="nil"/>
              <w:right w:val="nil"/>
            </w:tcBorders>
            <w:shd w:val="clear" w:color="auto" w:fill="auto"/>
            <w:vAlign w:val="bottom"/>
          </w:tcPr>
          <w:p w14:paraId="43DD40BA"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7,0</w:t>
            </w:r>
          </w:p>
        </w:tc>
      </w:tr>
      <w:tr w:rsidR="000353A6" w:rsidRPr="00671E8F" w14:paraId="53192966" w14:textId="77777777" w:rsidTr="00D66344">
        <w:trPr>
          <w:trHeight w:val="266"/>
        </w:trPr>
        <w:tc>
          <w:tcPr>
            <w:tcW w:w="2480" w:type="pct"/>
            <w:shd w:val="clear" w:color="auto" w:fill="auto"/>
          </w:tcPr>
          <w:p w14:paraId="62F0BE5C"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Извоз робе и услуга</w:t>
            </w:r>
          </w:p>
        </w:tc>
        <w:tc>
          <w:tcPr>
            <w:tcW w:w="497" w:type="pct"/>
            <w:shd w:val="clear" w:color="auto" w:fill="auto"/>
          </w:tcPr>
          <w:p w14:paraId="48C3CA9B"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4,4</w:t>
            </w:r>
          </w:p>
        </w:tc>
        <w:tc>
          <w:tcPr>
            <w:tcW w:w="498" w:type="pct"/>
            <w:shd w:val="clear" w:color="auto" w:fill="auto"/>
          </w:tcPr>
          <w:p w14:paraId="1A406777"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33CDFAD3"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5,9</w:t>
            </w:r>
          </w:p>
        </w:tc>
        <w:tc>
          <w:tcPr>
            <w:tcW w:w="506" w:type="pct"/>
            <w:tcBorders>
              <w:top w:val="nil"/>
              <w:left w:val="nil"/>
              <w:bottom w:val="nil"/>
              <w:right w:val="nil"/>
            </w:tcBorders>
            <w:shd w:val="clear" w:color="auto" w:fill="auto"/>
            <w:vAlign w:val="bottom"/>
          </w:tcPr>
          <w:p w14:paraId="001C4C25"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6,9</w:t>
            </w:r>
          </w:p>
        </w:tc>
        <w:tc>
          <w:tcPr>
            <w:tcW w:w="512" w:type="pct"/>
            <w:tcBorders>
              <w:top w:val="nil"/>
              <w:left w:val="nil"/>
              <w:bottom w:val="nil"/>
              <w:right w:val="nil"/>
            </w:tcBorders>
            <w:shd w:val="clear" w:color="auto" w:fill="auto"/>
            <w:vAlign w:val="bottom"/>
          </w:tcPr>
          <w:p w14:paraId="58A1D299"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9,9</w:t>
            </w:r>
          </w:p>
        </w:tc>
      </w:tr>
      <w:tr w:rsidR="000353A6" w:rsidRPr="00671E8F" w14:paraId="0C873464" w14:textId="77777777" w:rsidTr="00D66344">
        <w:trPr>
          <w:trHeight w:val="251"/>
        </w:trPr>
        <w:tc>
          <w:tcPr>
            <w:tcW w:w="2480" w:type="pct"/>
            <w:shd w:val="clear" w:color="auto" w:fill="auto"/>
          </w:tcPr>
          <w:p w14:paraId="075612E9" w14:textId="77777777" w:rsidR="000353A6" w:rsidRPr="00671E8F" w:rsidRDefault="000353A6" w:rsidP="000353A6">
            <w:pPr>
              <w:ind w:left="256"/>
              <w:rPr>
                <w:rFonts w:cstheme="minorHAnsi"/>
                <w:color w:val="002060"/>
                <w:sz w:val="18"/>
                <w:szCs w:val="18"/>
              </w:rPr>
            </w:pPr>
            <w:r w:rsidRPr="00671E8F">
              <w:rPr>
                <w:rFonts w:cstheme="minorHAnsi"/>
                <w:color w:val="002060"/>
                <w:sz w:val="18"/>
                <w:szCs w:val="18"/>
              </w:rPr>
              <w:t>Увоз робе и услуга</w:t>
            </w:r>
          </w:p>
        </w:tc>
        <w:tc>
          <w:tcPr>
            <w:tcW w:w="497" w:type="pct"/>
            <w:shd w:val="clear" w:color="auto" w:fill="auto"/>
          </w:tcPr>
          <w:p w14:paraId="0C203ADB"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8,0</w:t>
            </w:r>
          </w:p>
        </w:tc>
        <w:tc>
          <w:tcPr>
            <w:tcW w:w="498" w:type="pct"/>
            <w:shd w:val="clear" w:color="auto" w:fill="auto"/>
          </w:tcPr>
          <w:p w14:paraId="4B7E9E9A"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539758E1"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6,5</w:t>
            </w:r>
          </w:p>
        </w:tc>
        <w:tc>
          <w:tcPr>
            <w:tcW w:w="506" w:type="pct"/>
            <w:tcBorders>
              <w:top w:val="nil"/>
              <w:left w:val="nil"/>
              <w:bottom w:val="nil"/>
              <w:right w:val="nil"/>
            </w:tcBorders>
            <w:shd w:val="clear" w:color="auto" w:fill="auto"/>
            <w:vAlign w:val="bottom"/>
          </w:tcPr>
          <w:p w14:paraId="70398EE5"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6,8</w:t>
            </w:r>
          </w:p>
        </w:tc>
        <w:tc>
          <w:tcPr>
            <w:tcW w:w="512" w:type="pct"/>
            <w:tcBorders>
              <w:top w:val="nil"/>
              <w:left w:val="nil"/>
              <w:bottom w:val="nil"/>
              <w:right w:val="nil"/>
            </w:tcBorders>
            <w:shd w:val="clear" w:color="auto" w:fill="auto"/>
            <w:vAlign w:val="bottom"/>
          </w:tcPr>
          <w:p w14:paraId="6B2BDB41"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7,4</w:t>
            </w:r>
          </w:p>
        </w:tc>
      </w:tr>
      <w:tr w:rsidR="000353A6" w:rsidRPr="00671E8F" w14:paraId="685F64B7" w14:textId="77777777" w:rsidTr="00D66344">
        <w:trPr>
          <w:trHeight w:val="266"/>
        </w:trPr>
        <w:tc>
          <w:tcPr>
            <w:tcW w:w="2480" w:type="pct"/>
            <w:shd w:val="clear" w:color="auto" w:fill="auto"/>
          </w:tcPr>
          <w:p w14:paraId="39F1A9D5" w14:textId="77777777" w:rsidR="000353A6" w:rsidRPr="00671E8F" w:rsidRDefault="000353A6" w:rsidP="000353A6">
            <w:pPr>
              <w:ind w:left="-15"/>
              <w:rPr>
                <w:rFonts w:cstheme="minorHAnsi"/>
                <w:color w:val="002060"/>
                <w:sz w:val="18"/>
                <w:szCs w:val="18"/>
              </w:rPr>
            </w:pPr>
            <w:r w:rsidRPr="00671E8F">
              <w:rPr>
                <w:rFonts w:cstheme="minorHAnsi"/>
                <w:color w:val="002060"/>
                <w:sz w:val="18"/>
                <w:szCs w:val="18"/>
              </w:rPr>
              <w:t>Салдо текућег рачуна, у ЕУР, % БДП</w:t>
            </w:r>
          </w:p>
        </w:tc>
        <w:tc>
          <w:tcPr>
            <w:tcW w:w="497" w:type="pct"/>
            <w:shd w:val="clear" w:color="auto" w:fill="auto"/>
          </w:tcPr>
          <w:p w14:paraId="070D317D"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-4,4</w:t>
            </w:r>
          </w:p>
        </w:tc>
        <w:tc>
          <w:tcPr>
            <w:tcW w:w="498" w:type="pct"/>
            <w:shd w:val="clear" w:color="auto" w:fill="auto"/>
          </w:tcPr>
          <w:p w14:paraId="20304B79"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vAlign w:val="bottom"/>
          </w:tcPr>
          <w:p w14:paraId="77CC2A3C"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-5,2</w:t>
            </w:r>
          </w:p>
        </w:tc>
        <w:tc>
          <w:tcPr>
            <w:tcW w:w="506" w:type="pct"/>
            <w:tcBorders>
              <w:top w:val="nil"/>
              <w:left w:val="nil"/>
              <w:bottom w:val="nil"/>
              <w:right w:val="nil"/>
            </w:tcBorders>
            <w:shd w:val="clear" w:color="auto" w:fill="auto"/>
            <w:vAlign w:val="bottom"/>
          </w:tcPr>
          <w:p w14:paraId="6E7D325C"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-5,4</w:t>
            </w:r>
          </w:p>
        </w:tc>
        <w:tc>
          <w:tcPr>
            <w:tcW w:w="512" w:type="pct"/>
            <w:tcBorders>
              <w:top w:val="nil"/>
              <w:left w:val="nil"/>
              <w:bottom w:val="nil"/>
              <w:right w:val="nil"/>
            </w:tcBorders>
            <w:shd w:val="clear" w:color="auto" w:fill="auto"/>
            <w:vAlign w:val="bottom"/>
          </w:tcPr>
          <w:p w14:paraId="5401E948"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-4,2</w:t>
            </w:r>
          </w:p>
        </w:tc>
      </w:tr>
      <w:tr w:rsidR="000353A6" w:rsidRPr="00671E8F" w14:paraId="2B08695B" w14:textId="77777777" w:rsidTr="00D66344">
        <w:trPr>
          <w:trHeight w:val="228"/>
        </w:trPr>
        <w:tc>
          <w:tcPr>
            <w:tcW w:w="2480" w:type="pct"/>
            <w:tcBorders>
              <w:bottom w:val="single" w:sz="4" w:space="0" w:color="002060"/>
            </w:tcBorders>
            <w:shd w:val="clear" w:color="auto" w:fill="auto"/>
          </w:tcPr>
          <w:p w14:paraId="2EA7C076" w14:textId="77777777" w:rsidR="000353A6" w:rsidRPr="00671E8F" w:rsidRDefault="000353A6" w:rsidP="000353A6">
            <w:pPr>
              <w:rPr>
                <w:rFonts w:cstheme="minorHAnsi"/>
                <w:color w:val="002060"/>
                <w:sz w:val="18"/>
                <w:szCs w:val="18"/>
              </w:rPr>
            </w:pPr>
            <w:r w:rsidRPr="00671E8F">
              <w:rPr>
                <w:rFonts w:cstheme="minorHAnsi"/>
                <w:color w:val="002060"/>
                <w:sz w:val="18"/>
                <w:szCs w:val="18"/>
              </w:rPr>
              <w:t>Инфлација, просек периода, %</w:t>
            </w:r>
          </w:p>
        </w:tc>
        <w:tc>
          <w:tcPr>
            <w:tcW w:w="497" w:type="pct"/>
            <w:tcBorders>
              <w:bottom w:val="single" w:sz="4" w:space="0" w:color="002060"/>
            </w:tcBorders>
            <w:shd w:val="clear" w:color="auto" w:fill="auto"/>
          </w:tcPr>
          <w:p w14:paraId="748F2BA2" w14:textId="77777777" w:rsidR="000353A6" w:rsidRPr="00671E8F" w:rsidRDefault="000353A6" w:rsidP="000353A6">
            <w:pPr>
              <w:jc w:val="center"/>
              <w:rPr>
                <w:rFonts w:cstheme="minorHAnsi"/>
                <w:color w:val="002060"/>
                <w:sz w:val="18"/>
                <w:szCs w:val="18"/>
              </w:rPr>
            </w:pPr>
            <w:r w:rsidRPr="00671E8F">
              <w:rPr>
                <w:rFonts w:cstheme="minorHAnsi"/>
                <w:color w:val="002060"/>
                <w:sz w:val="18"/>
                <w:szCs w:val="18"/>
              </w:rPr>
              <w:t>4,7</w:t>
            </w:r>
          </w:p>
        </w:tc>
        <w:tc>
          <w:tcPr>
            <w:tcW w:w="498" w:type="pct"/>
            <w:tcBorders>
              <w:top w:val="nil"/>
              <w:left w:val="nil"/>
              <w:bottom w:val="nil"/>
              <w:right w:val="nil"/>
            </w:tcBorders>
            <w:shd w:val="clear" w:color="auto" w:fill="auto"/>
          </w:tcPr>
          <w:p w14:paraId="3389CB9B" w14:textId="77777777" w:rsidR="000353A6" w:rsidRPr="00671E8F" w:rsidRDefault="000353A6" w:rsidP="000353A6">
            <w:pPr>
              <w:jc w:val="center"/>
              <w:rPr>
                <w:rFonts w:cstheme="minorHAnsi"/>
                <w:color w:val="002060"/>
                <w:sz w:val="18"/>
                <w:szCs w:val="18"/>
              </w:rPr>
            </w:pPr>
          </w:p>
        </w:tc>
        <w:tc>
          <w:tcPr>
            <w:tcW w:w="506" w:type="pct"/>
            <w:tcBorders>
              <w:top w:val="nil"/>
              <w:left w:val="nil"/>
              <w:bottom w:val="nil"/>
              <w:right w:val="nil"/>
            </w:tcBorders>
            <w:shd w:val="clear" w:color="auto" w:fill="auto"/>
          </w:tcPr>
          <w:p w14:paraId="4854C68F" w14:textId="77777777" w:rsidR="000353A6" w:rsidRPr="00671E8F" w:rsidRDefault="000353A6" w:rsidP="000353A6">
            <w:pPr>
              <w:jc w:val="center"/>
              <w:rPr>
                <w:color w:val="002060"/>
                <w:sz w:val="18"/>
              </w:rPr>
            </w:pPr>
            <w:r w:rsidRPr="00671E8F">
              <w:rPr>
                <w:color w:val="002060"/>
                <w:sz w:val="18"/>
              </w:rPr>
              <w:t>3,5</w:t>
            </w:r>
          </w:p>
        </w:tc>
        <w:tc>
          <w:tcPr>
            <w:tcW w:w="506" w:type="pct"/>
            <w:tcBorders>
              <w:top w:val="nil"/>
              <w:left w:val="nil"/>
              <w:bottom w:val="nil"/>
              <w:right w:val="nil"/>
            </w:tcBorders>
            <w:shd w:val="clear" w:color="auto" w:fill="auto"/>
          </w:tcPr>
          <w:p w14:paraId="77524033" w14:textId="77777777" w:rsidR="000353A6" w:rsidRPr="00671E8F" w:rsidRDefault="000353A6" w:rsidP="000353A6">
            <w:pPr>
              <w:jc w:val="center"/>
              <w:rPr>
                <w:color w:val="002060"/>
                <w:sz w:val="18"/>
              </w:rPr>
            </w:pPr>
            <w:r w:rsidRPr="00671E8F">
              <w:rPr>
                <w:color w:val="002060"/>
                <w:sz w:val="18"/>
              </w:rPr>
              <w:t>3,5</w:t>
            </w:r>
          </w:p>
        </w:tc>
        <w:tc>
          <w:tcPr>
            <w:tcW w:w="512" w:type="pct"/>
            <w:tcBorders>
              <w:top w:val="nil"/>
              <w:left w:val="nil"/>
              <w:bottom w:val="nil"/>
              <w:right w:val="nil"/>
            </w:tcBorders>
            <w:shd w:val="clear" w:color="auto" w:fill="auto"/>
          </w:tcPr>
          <w:p w14:paraId="2975E614" w14:textId="77777777" w:rsidR="000353A6" w:rsidRPr="00671E8F" w:rsidRDefault="000353A6" w:rsidP="000353A6">
            <w:pPr>
              <w:jc w:val="center"/>
              <w:rPr>
                <w:color w:val="002060"/>
                <w:sz w:val="18"/>
              </w:rPr>
            </w:pPr>
            <w:r w:rsidRPr="00671E8F">
              <w:rPr>
                <w:color w:val="002060"/>
                <w:sz w:val="18"/>
              </w:rPr>
              <w:t>3,3</w:t>
            </w:r>
          </w:p>
        </w:tc>
      </w:tr>
      <w:tr w:rsidR="000353A6" w:rsidRPr="00671E8F" w14:paraId="2C6912AF" w14:textId="77777777" w:rsidTr="00D66344">
        <w:trPr>
          <w:trHeight w:val="70"/>
        </w:trPr>
        <w:tc>
          <w:tcPr>
            <w:tcW w:w="2480" w:type="pct"/>
            <w:tcBorders>
              <w:top w:val="single" w:sz="4" w:space="0" w:color="002060"/>
            </w:tcBorders>
            <w:shd w:val="clear" w:color="auto" w:fill="auto"/>
          </w:tcPr>
          <w:p w14:paraId="7CBE8499" w14:textId="77777777" w:rsidR="000353A6" w:rsidRPr="00671E8F" w:rsidRDefault="000353A6" w:rsidP="000353A6">
            <w:pPr>
              <w:rPr>
                <w:rFonts w:cstheme="minorHAnsi"/>
                <w:sz w:val="16"/>
              </w:rPr>
            </w:pPr>
            <w:r w:rsidRPr="00671E8F">
              <w:rPr>
                <w:rFonts w:cstheme="minorHAnsi"/>
                <w:sz w:val="16"/>
              </w:rPr>
              <w:t>Извор: Министарство финансија</w:t>
            </w:r>
          </w:p>
        </w:tc>
        <w:tc>
          <w:tcPr>
            <w:tcW w:w="497" w:type="pct"/>
            <w:tcBorders>
              <w:top w:val="single" w:sz="4" w:space="0" w:color="002060"/>
            </w:tcBorders>
            <w:shd w:val="clear" w:color="auto" w:fill="auto"/>
          </w:tcPr>
          <w:p w14:paraId="33F1D8CB" w14:textId="77777777" w:rsidR="000353A6" w:rsidRPr="00671E8F" w:rsidRDefault="000353A6" w:rsidP="000353A6">
            <w:pPr>
              <w:jc w:val="center"/>
              <w:rPr>
                <w:rFonts w:cstheme="minorHAnsi"/>
                <w:sz w:val="16"/>
              </w:rPr>
            </w:pPr>
          </w:p>
        </w:tc>
        <w:tc>
          <w:tcPr>
            <w:tcW w:w="498" w:type="pct"/>
            <w:tcBorders>
              <w:top w:val="single" w:sz="4" w:space="0" w:color="002060"/>
            </w:tcBorders>
            <w:shd w:val="clear" w:color="auto" w:fill="auto"/>
          </w:tcPr>
          <w:p w14:paraId="6016BD49" w14:textId="77777777" w:rsidR="000353A6" w:rsidRPr="00671E8F" w:rsidRDefault="000353A6" w:rsidP="000353A6">
            <w:pPr>
              <w:jc w:val="center"/>
              <w:rPr>
                <w:rFonts w:cstheme="minorHAnsi"/>
                <w:sz w:val="16"/>
              </w:rPr>
            </w:pPr>
          </w:p>
        </w:tc>
        <w:tc>
          <w:tcPr>
            <w:tcW w:w="506" w:type="pct"/>
            <w:tcBorders>
              <w:top w:val="single" w:sz="4" w:space="0" w:color="002060"/>
            </w:tcBorders>
            <w:shd w:val="clear" w:color="auto" w:fill="auto"/>
          </w:tcPr>
          <w:p w14:paraId="636875AE" w14:textId="77777777" w:rsidR="000353A6" w:rsidRPr="00671E8F" w:rsidRDefault="000353A6" w:rsidP="000353A6">
            <w:pPr>
              <w:jc w:val="center"/>
              <w:rPr>
                <w:rFonts w:cstheme="minorHAnsi"/>
                <w:sz w:val="16"/>
              </w:rPr>
            </w:pPr>
          </w:p>
        </w:tc>
        <w:tc>
          <w:tcPr>
            <w:tcW w:w="506" w:type="pct"/>
            <w:tcBorders>
              <w:top w:val="single" w:sz="4" w:space="0" w:color="002060"/>
            </w:tcBorders>
            <w:shd w:val="clear" w:color="auto" w:fill="auto"/>
          </w:tcPr>
          <w:p w14:paraId="39777E16" w14:textId="77777777" w:rsidR="000353A6" w:rsidRPr="00671E8F" w:rsidRDefault="000353A6" w:rsidP="000353A6">
            <w:pPr>
              <w:jc w:val="center"/>
              <w:rPr>
                <w:rFonts w:cstheme="minorHAnsi"/>
                <w:sz w:val="16"/>
              </w:rPr>
            </w:pPr>
          </w:p>
        </w:tc>
        <w:tc>
          <w:tcPr>
            <w:tcW w:w="512" w:type="pct"/>
            <w:tcBorders>
              <w:top w:val="single" w:sz="4" w:space="0" w:color="002060"/>
            </w:tcBorders>
            <w:shd w:val="clear" w:color="auto" w:fill="auto"/>
          </w:tcPr>
          <w:p w14:paraId="382CDEB8" w14:textId="77777777" w:rsidR="000353A6" w:rsidRPr="00671E8F" w:rsidRDefault="000353A6" w:rsidP="000353A6">
            <w:pPr>
              <w:jc w:val="center"/>
              <w:rPr>
                <w:rFonts w:cstheme="minorHAnsi"/>
                <w:sz w:val="16"/>
              </w:rPr>
            </w:pPr>
          </w:p>
        </w:tc>
      </w:tr>
    </w:tbl>
    <w:p w14:paraId="55FE953F" w14:textId="77777777" w:rsidR="000353A6" w:rsidRPr="00671E8F" w:rsidRDefault="000353A6" w:rsidP="000353A6">
      <w:pPr>
        <w:spacing w:after="0"/>
        <w:rPr>
          <w:rFonts w:cstheme="minorHAnsi"/>
          <w:bCs/>
          <w:sz w:val="16"/>
          <w:szCs w:val="72"/>
        </w:rPr>
        <w:sectPr w:rsidR="000353A6" w:rsidRPr="00671E8F" w:rsidSect="000353A6">
          <w:type w:val="continuous"/>
          <w:pgSz w:w="12240" w:h="15840" w:code="1"/>
          <w:pgMar w:top="1440" w:right="1440" w:bottom="1440" w:left="1440" w:header="720" w:footer="720" w:gutter="0"/>
          <w:cols w:space="720"/>
          <w:docGrid w:linePitch="360"/>
        </w:sectPr>
      </w:pPr>
    </w:p>
    <w:p w14:paraId="169C9EDB" w14:textId="055EDED0" w:rsidR="00D66344" w:rsidRPr="00671E8F" w:rsidRDefault="000353A6" w:rsidP="00D66344">
      <w:pPr>
        <w:rPr>
          <w:rFonts w:cstheme="minorHAnsi"/>
          <w:bCs/>
          <w:szCs w:val="72"/>
        </w:rPr>
      </w:pPr>
      <w:r w:rsidRPr="00671E8F">
        <w:rPr>
          <w:rFonts w:cstheme="minorHAnsi"/>
          <w:bCs/>
          <w:szCs w:val="72"/>
        </w:rPr>
        <w:t>У 2025. години очекује се убрзање раста БДП на 4,2%, што је непромењено у односу на претходна очекивања. Посматрано по агрегатима употребе раст БДП у 2025. години биће у потпуности опредељен домаћом тражњом. Очекивано повећање зарада, како у приватном тако и у јавном сектору уз раст минималне зараде од 13,7%, већа запосленост и даљи раст пензија резултираће растом реалне личне потрошње од 4,1%, што је блага ревизија навише, за 0,2 п.п. у односу на иницијалну пројекцију. Благи позитиван допринос расту БДП у 2025. години доћи ће и од државне потрошње за коју се очекује повећање од 2,2%. Убрзање реализације започетих капиталних инфраструктурних пројеката планиран</w:t>
      </w:r>
      <w:r w:rsidR="00D762FE" w:rsidRPr="00671E8F">
        <w:rPr>
          <w:rFonts w:cstheme="minorHAnsi"/>
          <w:bCs/>
          <w:szCs w:val="72"/>
        </w:rPr>
        <w:t>их</w:t>
      </w:r>
      <w:r w:rsidRPr="00671E8F">
        <w:rPr>
          <w:rFonts w:cstheme="minorHAnsi"/>
          <w:bCs/>
          <w:szCs w:val="72"/>
        </w:rPr>
        <w:t xml:space="preserve"> програмом „Скок у будућност – Србија 2027”, уз наставак стабилног прилива СДИ и високу </w:t>
      </w:r>
      <w:r w:rsidRPr="00671E8F">
        <w:rPr>
          <w:rFonts w:cstheme="minorHAnsi"/>
          <w:bCs/>
          <w:szCs w:val="72"/>
        </w:rPr>
        <w:t>профитабилност домаће привреде из претходног периода резултираће растом инвестиција од 7,7% у 2025. години, што је непромењено у односу на претходна очекивања. Активирање нових извозно оријентисаних капацитета као резултат ефектуирања СДИ, обезбедиће наставак стабилног раста реалног из</w:t>
      </w:r>
      <w:r w:rsidR="00782662" w:rsidRPr="00671E8F">
        <w:rPr>
          <w:rFonts w:cstheme="minorHAnsi"/>
          <w:bCs/>
          <w:szCs w:val="72"/>
        </w:rPr>
        <w:t>воза од 5,9%, што је ипак за 2</w:t>
      </w:r>
      <w:r w:rsidRPr="00671E8F">
        <w:rPr>
          <w:rFonts w:cstheme="minorHAnsi"/>
          <w:bCs/>
          <w:szCs w:val="72"/>
        </w:rPr>
        <w:t xml:space="preserve"> п.п. ниже од иницијалних очекивања.</w:t>
      </w:r>
      <w:r w:rsidR="00984A71" w:rsidRPr="00671E8F">
        <w:rPr>
          <w:rFonts w:cstheme="minorHAnsi"/>
          <w:bCs/>
          <w:szCs w:val="72"/>
        </w:rPr>
        <w:t xml:space="preserve"> </w:t>
      </w:r>
      <w:r w:rsidRPr="00671E8F">
        <w:rPr>
          <w:rFonts w:cstheme="minorHAnsi"/>
          <w:bCs/>
          <w:szCs w:val="72"/>
        </w:rPr>
        <w:t>Главни разлог ревизије је спорији опоравак спољне тражње, пре свега у сектору прерађивачке индустрије наших најважнијих спољнотрговинских партнера, и по том основу мањег раста робног извоза наших добављача од иницијално очекиваног.</w:t>
      </w:r>
      <w:r w:rsidR="00D66344" w:rsidRPr="00671E8F">
        <w:rPr>
          <w:rFonts w:cstheme="minorHAnsi"/>
          <w:bCs/>
          <w:szCs w:val="72"/>
        </w:rPr>
        <w:t xml:space="preserve"> Такође, мањи род житарица и индустријског биља у 2024. години имаће за последицу негативан утицај извоза пољопривредних производа на раст робног </w:t>
      </w:r>
      <w:r w:rsidR="00D66344" w:rsidRPr="00671E8F">
        <w:rPr>
          <w:rFonts w:cstheme="minorHAnsi"/>
          <w:bCs/>
          <w:szCs w:val="72"/>
        </w:rPr>
        <w:lastRenderedPageBreak/>
        <w:t xml:space="preserve">извоза у 2025. години. </w:t>
      </w:r>
      <w:r w:rsidRPr="00671E8F">
        <w:rPr>
          <w:rFonts w:cstheme="minorHAnsi"/>
          <w:bCs/>
          <w:szCs w:val="72"/>
        </w:rPr>
        <w:t>Увозна активност је такође ревидирана благо наниже, на 6,5%, тако да ће допринос нето извоза расту БДП у 2025. години остати негативан и износиће -0,9 п.п.</w:t>
      </w:r>
    </w:p>
    <w:p w14:paraId="05DE78F2" w14:textId="77777777" w:rsidR="00D66344" w:rsidRPr="00671E8F" w:rsidRDefault="00D66344" w:rsidP="000353A6">
      <w:pPr>
        <w:pStyle w:val="NoSpacing"/>
        <w:spacing w:after="40"/>
        <w:jc w:val="center"/>
        <w:rPr>
          <w:rFonts w:cstheme="minorHAnsi"/>
          <w:color w:val="002060"/>
          <w:lang w:val="sr-Cyrl-CS"/>
        </w:rPr>
      </w:pPr>
    </w:p>
    <w:p w14:paraId="65105104" w14:textId="2473B473" w:rsidR="000353A6" w:rsidRPr="00671E8F" w:rsidRDefault="000353A6" w:rsidP="000353A6">
      <w:pPr>
        <w:pStyle w:val="NoSpacing"/>
        <w:spacing w:after="40"/>
        <w:jc w:val="center"/>
        <w:rPr>
          <w:rFonts w:cstheme="minorHAnsi"/>
          <w:color w:val="002060"/>
          <w:lang w:val="sr-Cyrl-CS"/>
        </w:rPr>
      </w:pPr>
      <w:r w:rsidRPr="00671E8F">
        <w:rPr>
          <w:rFonts w:cstheme="minorHAnsi"/>
          <w:color w:val="002060"/>
          <w:lang w:val="sr-Cyrl-CS"/>
        </w:rPr>
        <w:t xml:space="preserve">Доприноси стопи реалног раста БДП, </w:t>
      </w:r>
      <w:r w:rsidRPr="00671E8F">
        <w:rPr>
          <w:rFonts w:cstheme="minorHAnsi"/>
          <w:color w:val="002060"/>
          <w:lang w:val="sr-Cyrl-CS"/>
        </w:rPr>
        <w:br/>
        <w:t>расходни приступ, п.п.</w:t>
      </w:r>
    </w:p>
    <w:p w14:paraId="3E00F892" w14:textId="77777777" w:rsidR="000353A6" w:rsidRPr="00671E8F" w:rsidRDefault="000353A6" w:rsidP="000353A6">
      <w:pPr>
        <w:pStyle w:val="NoSpacing"/>
        <w:spacing w:after="40"/>
        <w:jc w:val="center"/>
        <w:rPr>
          <w:rFonts w:cstheme="minorHAnsi"/>
          <w:color w:val="44546A" w:themeColor="text2"/>
          <w:sz w:val="16"/>
          <w:lang w:val="sr-Cyrl-CS"/>
        </w:rPr>
      </w:pPr>
      <w:r w:rsidRPr="00671E8F">
        <w:rPr>
          <w:noProof/>
        </w:rPr>
        <w:drawing>
          <wp:inline distT="0" distB="0" distL="0" distR="0" wp14:anchorId="70929AC7" wp14:editId="02D78BE2">
            <wp:extent cx="2743200" cy="2313829"/>
            <wp:effectExtent l="0" t="0" r="0" b="0"/>
            <wp:docPr id="94" name="Chart 94">
              <a:extLst xmlns:a="http://schemas.openxmlformats.org/drawingml/2006/main">
                <a:ext uri="{FF2B5EF4-FFF2-40B4-BE49-F238E27FC236}">
                  <a16:creationId xmlns:a16="http://schemas.microsoft.com/office/drawing/2014/main" id="{00000000-0008-0000-0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464CC504" w14:textId="77777777" w:rsidR="000353A6" w:rsidRPr="00671E8F" w:rsidRDefault="000353A6" w:rsidP="000353A6">
      <w:pPr>
        <w:spacing w:after="120" w:line="240" w:lineRule="auto"/>
        <w:rPr>
          <w:rFonts w:cstheme="minorHAnsi"/>
          <w:sz w:val="16"/>
        </w:rPr>
      </w:pPr>
      <w:r w:rsidRPr="00671E8F">
        <w:rPr>
          <w:rFonts w:cstheme="minorHAnsi"/>
          <w:sz w:val="16"/>
        </w:rPr>
        <w:t>Извор: Министарство финансија</w:t>
      </w:r>
    </w:p>
    <w:p w14:paraId="47D6D04A" w14:textId="6272A3D4" w:rsidR="000353A6" w:rsidRPr="00671E8F" w:rsidRDefault="000353A6" w:rsidP="00F7568E">
      <w:pPr>
        <w:spacing w:after="40"/>
        <w:rPr>
          <w:rFonts w:cstheme="minorHAnsi"/>
          <w:bCs/>
          <w:szCs w:val="72"/>
        </w:rPr>
      </w:pPr>
      <w:r w:rsidRPr="00671E8F">
        <w:rPr>
          <w:rFonts w:cstheme="minorHAnsi"/>
          <w:bCs/>
          <w:szCs w:val="72"/>
        </w:rPr>
        <w:t>Посматрано са производне стране, у 2025. години очекује се повећање креиране БДВ код свих привредних сектора. Услужни сектор ће у 2025. години</w:t>
      </w:r>
      <w:r w:rsidR="00782662" w:rsidRPr="00671E8F">
        <w:rPr>
          <w:rFonts w:cstheme="minorHAnsi"/>
          <w:bCs/>
          <w:szCs w:val="72"/>
        </w:rPr>
        <w:t>,</w:t>
      </w:r>
      <w:r w:rsidRPr="00671E8F">
        <w:rPr>
          <w:rFonts w:cstheme="minorHAnsi"/>
          <w:bCs/>
          <w:szCs w:val="72"/>
        </w:rPr>
        <w:t xml:space="preserve"> и у ревидираном оквиру</w:t>
      </w:r>
      <w:r w:rsidR="00782662" w:rsidRPr="00671E8F">
        <w:rPr>
          <w:rFonts w:cstheme="minorHAnsi"/>
          <w:bCs/>
          <w:szCs w:val="72"/>
        </w:rPr>
        <w:t>,</w:t>
      </w:r>
      <w:r w:rsidRPr="00671E8F">
        <w:rPr>
          <w:rFonts w:cstheme="minorHAnsi"/>
          <w:bCs/>
          <w:szCs w:val="72"/>
        </w:rPr>
        <w:t xml:space="preserve"> задржати улогу доминантног носиоца раста економске активности. Раст би требало да буде диверсификован и остварен у свим услужним делатностима, а посебно снажан у трговини и саобраћају, туризму и угоститељству, уз наставак добрих резултата у ИКТ сектору и стручно техничким услугама. Индустрија ће наставити са растом и током</w:t>
      </w:r>
      <w:r w:rsidR="00782662" w:rsidRPr="00671E8F">
        <w:rPr>
          <w:rFonts w:cstheme="minorHAnsi"/>
          <w:bCs/>
          <w:szCs w:val="72"/>
        </w:rPr>
        <w:t xml:space="preserve"> 2025. године уз повећање од 4</w:t>
      </w:r>
      <w:r w:rsidRPr="00671E8F">
        <w:rPr>
          <w:rFonts w:cstheme="minorHAnsi"/>
          <w:bCs/>
          <w:szCs w:val="72"/>
        </w:rPr>
        <w:t>%, што је за 0,4 п.п. мање од претходно очекиваног услед нешто слабијег опоравка спољне тражње п</w:t>
      </w:r>
      <w:r w:rsidR="00D66344" w:rsidRPr="00671E8F">
        <w:rPr>
          <w:rFonts w:cstheme="minorHAnsi"/>
          <w:bCs/>
          <w:szCs w:val="72"/>
        </w:rPr>
        <w:t>ре свега у ок</w:t>
      </w:r>
      <w:r w:rsidR="00FD2C82" w:rsidRPr="00671E8F">
        <w:rPr>
          <w:rFonts w:cstheme="minorHAnsi"/>
          <w:bCs/>
          <w:szCs w:val="72"/>
        </w:rPr>
        <w:t>виру прерађивачке индустрије зе</w:t>
      </w:r>
      <w:r w:rsidR="00D66344" w:rsidRPr="00671E8F">
        <w:rPr>
          <w:rFonts w:cstheme="minorHAnsi"/>
          <w:bCs/>
          <w:szCs w:val="72"/>
        </w:rPr>
        <w:t>маља еврозоне</w:t>
      </w:r>
      <w:r w:rsidRPr="00671E8F">
        <w:rPr>
          <w:rFonts w:cstheme="minorHAnsi"/>
          <w:bCs/>
          <w:szCs w:val="72"/>
        </w:rPr>
        <w:t>. Процењује се да ће стабилан раст забележити и грађевинарство услед наставка извођења започетих инфраструктурних радова али и реализацији нових грађевинских пројеката и убрзања приватних инвестиција. За сектор пољопривреде, имајући у виду мању производњу у 2024. години од очекиване, а под претпоставком просечних агрометеоролошких услова у 2025. години, пројектован је раст од 4,2%, што је ревизија навише за око 4 п.п. у о</w:t>
      </w:r>
      <w:r w:rsidR="00F7568E" w:rsidRPr="00671E8F">
        <w:rPr>
          <w:rFonts w:cstheme="minorHAnsi"/>
          <w:bCs/>
          <w:szCs w:val="72"/>
        </w:rPr>
        <w:t>дносу на иницијалну пројекцију.</w:t>
      </w:r>
    </w:p>
    <w:p w14:paraId="49D2B6C3" w14:textId="50723136" w:rsidR="000353A6" w:rsidRPr="00671E8F" w:rsidRDefault="000353A6" w:rsidP="000353A6">
      <w:pPr>
        <w:pStyle w:val="NoSpacing"/>
        <w:spacing w:after="40"/>
        <w:jc w:val="center"/>
        <w:rPr>
          <w:rFonts w:cstheme="minorHAnsi"/>
          <w:color w:val="002060"/>
          <w:lang w:val="sr-Cyrl-CS"/>
        </w:rPr>
      </w:pPr>
      <w:r w:rsidRPr="00671E8F">
        <w:rPr>
          <w:rFonts w:cstheme="minorHAnsi"/>
          <w:color w:val="002060"/>
          <w:lang w:val="sr-Cyrl-CS"/>
        </w:rPr>
        <w:t>Доприноси стопи реалног раста БДП, производни приступ, п.п.</w:t>
      </w:r>
    </w:p>
    <w:p w14:paraId="33BA2C7C" w14:textId="77777777" w:rsidR="000353A6" w:rsidRPr="00671E8F" w:rsidRDefault="000353A6" w:rsidP="000353A6">
      <w:pPr>
        <w:spacing w:after="40"/>
        <w:rPr>
          <w:color w:val="FF0000"/>
        </w:rPr>
      </w:pPr>
      <w:r w:rsidRPr="00671E8F">
        <w:rPr>
          <w:noProof/>
          <w:lang w:val="en-US"/>
        </w:rPr>
        <w:drawing>
          <wp:inline distT="0" distB="0" distL="0" distR="0" wp14:anchorId="58485DA9" wp14:editId="55524BA5">
            <wp:extent cx="2743200" cy="2266122"/>
            <wp:effectExtent l="0" t="0" r="0" b="1270"/>
            <wp:docPr id="95" name="Chart 95">
              <a:extLst xmlns:a="http://schemas.openxmlformats.org/drawingml/2006/main">
                <a:ext uri="{FF2B5EF4-FFF2-40B4-BE49-F238E27FC236}">
                  <a16:creationId xmlns:a16="http://schemas.microsoft.com/office/drawing/2014/main" id="{00000000-0008-0000-0B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08495C21" w14:textId="77777777" w:rsidR="000353A6" w:rsidRPr="00671E8F" w:rsidRDefault="000353A6" w:rsidP="000353A6">
      <w:pPr>
        <w:spacing w:after="120" w:line="240" w:lineRule="auto"/>
        <w:rPr>
          <w:rFonts w:cstheme="minorHAnsi"/>
          <w:sz w:val="16"/>
        </w:rPr>
      </w:pPr>
      <w:r w:rsidRPr="00671E8F">
        <w:rPr>
          <w:rFonts w:cstheme="minorHAnsi"/>
          <w:sz w:val="16"/>
        </w:rPr>
        <w:t>Извор: Министарство финансија</w:t>
      </w:r>
    </w:p>
    <w:p w14:paraId="0160119E" w14:textId="76ADB501" w:rsidR="000353A6" w:rsidRPr="00671E8F" w:rsidRDefault="000353A6" w:rsidP="000353A6">
      <w:pPr>
        <w:rPr>
          <w:rFonts w:cstheme="minorHAnsi"/>
          <w:bCs/>
          <w:szCs w:val="72"/>
        </w:rPr>
      </w:pPr>
      <w:r w:rsidRPr="00671E8F">
        <w:rPr>
          <w:rFonts w:cstheme="minorHAnsi"/>
          <w:bCs/>
          <w:szCs w:val="72"/>
        </w:rPr>
        <w:t>Према средњорочној макроекономској пројекцији</w:t>
      </w:r>
      <w:r w:rsidR="00FD2C82" w:rsidRPr="00671E8F">
        <w:rPr>
          <w:rFonts w:cstheme="minorHAnsi"/>
          <w:bCs/>
          <w:szCs w:val="72"/>
        </w:rPr>
        <w:t>,</w:t>
      </w:r>
      <w:r w:rsidRPr="00671E8F">
        <w:rPr>
          <w:rFonts w:cstheme="minorHAnsi"/>
          <w:bCs/>
          <w:szCs w:val="72"/>
        </w:rPr>
        <w:t xml:space="preserve"> кумулативна стопа раста у периоду од 2025. до 2027. год</w:t>
      </w:r>
      <w:r w:rsidR="00782662" w:rsidRPr="00671E8F">
        <w:rPr>
          <w:rFonts w:cstheme="minorHAnsi"/>
          <w:bCs/>
          <w:szCs w:val="72"/>
        </w:rPr>
        <w:t>ине износиће 13,7% што је за 1</w:t>
      </w:r>
      <w:r w:rsidRPr="00671E8F">
        <w:rPr>
          <w:rFonts w:cstheme="minorHAnsi"/>
          <w:bCs/>
          <w:szCs w:val="72"/>
        </w:rPr>
        <w:t xml:space="preserve"> п.п. више у односу на претходна очекивања.</w:t>
      </w:r>
      <w:r w:rsidR="00984A71" w:rsidRPr="00671E8F">
        <w:rPr>
          <w:rFonts w:cstheme="minorHAnsi"/>
          <w:bCs/>
          <w:szCs w:val="72"/>
        </w:rPr>
        <w:t xml:space="preserve"> </w:t>
      </w:r>
      <w:r w:rsidRPr="00671E8F">
        <w:rPr>
          <w:rFonts w:cstheme="minorHAnsi"/>
          <w:bCs/>
          <w:szCs w:val="72"/>
        </w:rPr>
        <w:t>Ова ревизија резултат је укључивања процењеног ефекта реализације ЕХПО изложбе 2027. године и по том основу већег раста у сектору туризма и угоститељства са позитивним ефектима преливања на раст трговинског промета и пословања некретнина посматрано са производне стране, односно већег извоза услуга посматрано по агрегатима употребе.</w:t>
      </w:r>
      <w:r w:rsidR="00984A71" w:rsidRPr="00671E8F">
        <w:rPr>
          <w:rFonts w:cstheme="minorHAnsi"/>
          <w:bCs/>
          <w:color w:val="FF0000"/>
          <w:szCs w:val="72"/>
        </w:rPr>
        <w:t xml:space="preserve"> </w:t>
      </w:r>
      <w:r w:rsidRPr="00671E8F">
        <w:rPr>
          <w:rFonts w:cstheme="minorHAnsi"/>
          <w:bCs/>
          <w:szCs w:val="72"/>
        </w:rPr>
        <w:t>И у ревидираној пројекцији раст привреде биће опредељен растом домаће тражње, уз благо негативан допринос нето извоза. Овај изво</w:t>
      </w:r>
      <w:r w:rsidR="00782662" w:rsidRPr="00671E8F">
        <w:rPr>
          <w:rFonts w:cstheme="minorHAnsi"/>
          <w:bCs/>
          <w:szCs w:val="72"/>
        </w:rPr>
        <w:t>р раста детерминисан је како сн</w:t>
      </w:r>
      <w:r w:rsidRPr="00671E8F">
        <w:rPr>
          <w:rFonts w:cstheme="minorHAnsi"/>
          <w:bCs/>
          <w:szCs w:val="72"/>
        </w:rPr>
        <w:t>ажним наставком инвестиоционог циклуса и растом инвестиционе активности, тако и повећањем приватне потрошње домаћинстава услед раста реалног расположивог дохотка. Просечно годишње, српска привреда ће расти по стопи од 4,4%. Повећање реалне потрошње становништва ће пратити раст економске активности и у просеку ће износити 3,4%. Очекује се стабилан раст фиксних инвестиција који ће у просеку износити 7,4% годишње. Висок</w:t>
      </w:r>
      <w:r w:rsidRPr="00671E8F">
        <w:rPr>
          <w:rFonts w:cstheme="minorHAnsi"/>
          <w:bCs/>
          <w:color w:val="FF0000"/>
          <w:szCs w:val="72"/>
        </w:rPr>
        <w:t xml:space="preserve"> </w:t>
      </w:r>
      <w:r w:rsidRPr="00671E8F">
        <w:rPr>
          <w:rFonts w:cstheme="minorHAnsi"/>
          <w:bCs/>
          <w:szCs w:val="72"/>
        </w:rPr>
        <w:t>ниво јавних инвестиција биће праћен и растом приватних инвестиција</w:t>
      </w:r>
      <w:r w:rsidR="00782662" w:rsidRPr="00671E8F">
        <w:rPr>
          <w:rFonts w:cstheme="minorHAnsi"/>
          <w:bCs/>
          <w:szCs w:val="72"/>
        </w:rPr>
        <w:t>,</w:t>
      </w:r>
      <w:r w:rsidRPr="00671E8F">
        <w:rPr>
          <w:rFonts w:cstheme="minorHAnsi"/>
          <w:bCs/>
          <w:szCs w:val="72"/>
        </w:rPr>
        <w:t xml:space="preserve"> тако да се на крају пројекцијског периода очекује учешће фискних инвестиција у БДП од 26,5%. Са активирањем нових производних капацитета и опоравком спољне тражње повећаваће се и обим спољнотрговинске размене. Поред тога, </w:t>
      </w:r>
      <w:r w:rsidRPr="00671E8F">
        <w:rPr>
          <w:rFonts w:cstheme="minorHAnsi"/>
          <w:bCs/>
          <w:szCs w:val="72"/>
        </w:rPr>
        <w:lastRenderedPageBreak/>
        <w:t>ефектуирање СДИ из претходног периода допринеће повећању конкуренције и утицати на ефикасност домаћих произвођача, док ће са друге стране бити активирани нови канали продаје и отворене нове тржишне нише. Извоз ће у просеку годишње расти по стопи од 7,6% што је брже од очекиваног годишњег раста увоза који ће у просеку износити 6,9%, али ће због већег учешћа увоза, допринос нето извоза расту БДП бити благо негативан. Посматрано на страни понуде, услужни сектор и индустрија ће следствено највећем учешћу у БДП задржати улогу доминантних извора раста и повећавати креирану БДВ са просечним годишњим растом од 4,5% и 4,4%, респективно. Значајан позитиван допринос имаће и грађеви</w:t>
      </w:r>
      <w:r w:rsidR="00782662" w:rsidRPr="00671E8F">
        <w:rPr>
          <w:rFonts w:cstheme="minorHAnsi"/>
          <w:bCs/>
          <w:szCs w:val="72"/>
        </w:rPr>
        <w:t>нарство које ће у просеку забеле</w:t>
      </w:r>
      <w:r w:rsidRPr="00671E8F">
        <w:rPr>
          <w:rFonts w:cstheme="minorHAnsi"/>
          <w:bCs/>
          <w:szCs w:val="72"/>
        </w:rPr>
        <w:t>жити раст од 7,6% као резултат убрзања реализације инфраструктурних пројеката, као и започињања новог инвестиционог циклуса, али и убрзања приватних инвестиција. Достизање европских стандарда и подизање конкурентности у пољопривреди, требало би да смањи варијабилност производње овог сектора изазвану агрометеоролошким условима, али је и у овом макроекономском оквиру задржана претпоставка просечне пољопривредне сезоне.</w:t>
      </w:r>
    </w:p>
    <w:p w14:paraId="5D9093A4" w14:textId="3EBF852C" w:rsidR="000353A6" w:rsidRPr="00671E8F" w:rsidRDefault="000353A6" w:rsidP="008527D6">
      <w:pPr>
        <w:rPr>
          <w:rFonts w:cstheme="minorHAnsi"/>
          <w:bCs/>
          <w:szCs w:val="72"/>
        </w:rPr>
      </w:pPr>
      <w:r w:rsidRPr="00671E8F">
        <w:rPr>
          <w:rFonts w:cstheme="minorHAnsi"/>
          <w:bCs/>
          <w:szCs w:val="72"/>
        </w:rPr>
        <w:t xml:space="preserve">Средњорочни сценарио кретања привредне активности Републике Србије је и даље под утицајем бројних ризика, пре свега из међународног окружења. Ризици макроекономског оквира у највећој мери потичу од неизвесности у погледу развоја међународних економских и политичких односа. Даља геокономска фрагментација и ограничења трговинских односа могу још у већој мери утицати на обим глобалне трговине и глобалне економске изгледе. Ескалација сукоба у Украјини и на Блиском истоку може изазвати нагле скокове цена енергената и додатно повећати неизвесност и забринутост инвеститора, изазивајући снажније инфлаторне притиске и још спорији опоравак економија наших највећих спољнотрговинских партнера. С друге стране, потенцијална деескалација глобалних напетости имала би за резултат значајне позитивне </w:t>
      </w:r>
      <w:r w:rsidR="00671E8F">
        <w:rPr>
          <w:rFonts w:cstheme="minorHAnsi"/>
          <w:bCs/>
          <w:szCs w:val="72"/>
          <w:lang w:val="sr-Cyrl-RS"/>
        </w:rPr>
        <w:t>е</w:t>
      </w:r>
      <w:r w:rsidRPr="00671E8F">
        <w:rPr>
          <w:rFonts w:cstheme="minorHAnsi"/>
          <w:bCs/>
          <w:szCs w:val="72"/>
        </w:rPr>
        <w:t xml:space="preserve">фекте на глобалне економске токове, што би се повољно одразило и на домаћу привреду кроз снажан синергетски ефекат са домаћим факторима раста. У складу са </w:t>
      </w:r>
      <w:r w:rsidRPr="00671E8F">
        <w:rPr>
          <w:rFonts w:cstheme="minorHAnsi"/>
          <w:bCs/>
          <w:szCs w:val="72"/>
        </w:rPr>
        <w:t>тим креирана су још два сценарија – песим</w:t>
      </w:r>
      <w:r w:rsidR="00FD2C82" w:rsidRPr="00671E8F">
        <w:rPr>
          <w:rFonts w:cstheme="minorHAnsi"/>
          <w:bCs/>
          <w:szCs w:val="72"/>
        </w:rPr>
        <w:t>истичан и оптимистичан. Песимис</w:t>
      </w:r>
      <w:r w:rsidRPr="00671E8F">
        <w:rPr>
          <w:rFonts w:cstheme="minorHAnsi"/>
          <w:bCs/>
          <w:szCs w:val="72"/>
        </w:rPr>
        <w:t>тичан сценарио полази од пре</w:t>
      </w:r>
      <w:r w:rsidR="00FD2C82" w:rsidRPr="00671E8F">
        <w:rPr>
          <w:rFonts w:cstheme="minorHAnsi"/>
          <w:bCs/>
          <w:szCs w:val="72"/>
        </w:rPr>
        <w:t>тпостав</w:t>
      </w:r>
      <w:r w:rsidRPr="00671E8F">
        <w:rPr>
          <w:rFonts w:cstheme="minorHAnsi"/>
          <w:bCs/>
          <w:szCs w:val="72"/>
        </w:rPr>
        <w:t>ке материјализације негативних ризика из међународног окружења што би се неповољно одразило на извозну активност наше привреде, већу инфлацију услед шокова на тржишту енергената и мањи реални расположив доходак становништва и приватну потрошњу, као и на спорији раст инвестиција, пре свега приватних.</w:t>
      </w:r>
      <w:r w:rsidRPr="00671E8F">
        <w:rPr>
          <w:rFonts w:cstheme="minorHAnsi"/>
          <w:bCs/>
          <w:color w:val="FF0000"/>
          <w:szCs w:val="72"/>
        </w:rPr>
        <w:t xml:space="preserve"> </w:t>
      </w:r>
      <w:r w:rsidRPr="00671E8F">
        <w:rPr>
          <w:rFonts w:cstheme="minorHAnsi"/>
          <w:bCs/>
          <w:szCs w:val="72"/>
        </w:rPr>
        <w:t xml:space="preserve">Материјализација ових ризика имала би за последицу мању средњорочну стопу раста БДП у периоду 2025-2027. године за 1,3 п.п. просечно од оне у основном сценарију и износила би 3,1% просечно годишње. С друге стране, материјализација позитивних ризика имала би за резултат снажнији раст свих агрегата, посебно извоза и инвестиција у односу на основни сценарио, и нешто умереније приватне потрошње. У таквом, оптимистичном сценарију, средњорочна стопа раста БДП у периоду 2025-2027. године била би за 1,3 п.п. просечно годишње већа од оне у основном сценарију и износила би 5,7%. </w:t>
      </w:r>
    </w:p>
    <w:p w14:paraId="0E7CF218" w14:textId="77777777" w:rsidR="000353A6" w:rsidRPr="00671E8F" w:rsidRDefault="000353A6" w:rsidP="000353A6">
      <w:pPr>
        <w:pStyle w:val="NoSpacing"/>
        <w:spacing w:after="40"/>
        <w:jc w:val="center"/>
        <w:rPr>
          <w:rFonts w:cstheme="minorHAnsi"/>
          <w:color w:val="002060"/>
          <w:lang w:val="sr-Cyrl-CS"/>
        </w:rPr>
      </w:pPr>
      <w:r w:rsidRPr="00671E8F">
        <w:rPr>
          <w:rFonts w:cstheme="minorHAnsi"/>
          <w:color w:val="002060"/>
          <w:lang w:val="sr-Cyrl-CS"/>
        </w:rPr>
        <w:t>Пројекција кретања БДП са матрицом ризика, стопе раста, %</w:t>
      </w:r>
    </w:p>
    <w:p w14:paraId="72F56678" w14:textId="5375C37E" w:rsidR="000353A6" w:rsidRPr="00671E8F" w:rsidRDefault="000353A6" w:rsidP="000353A6">
      <w:pPr>
        <w:spacing w:after="60"/>
        <w:rPr>
          <w:rFonts w:cstheme="minorHAnsi"/>
          <w:color w:val="FF0000"/>
          <w:sz w:val="16"/>
        </w:rPr>
      </w:pPr>
      <w:r w:rsidRPr="00671E8F">
        <w:rPr>
          <w:noProof/>
          <w:lang w:val="en-US"/>
        </w:rPr>
        <w:drawing>
          <wp:inline distT="0" distB="0" distL="0" distR="0" wp14:anchorId="44B17B3C" wp14:editId="4DF1D9AD">
            <wp:extent cx="2743200" cy="1916264"/>
            <wp:effectExtent l="0" t="0" r="0" b="8255"/>
            <wp:docPr id="96" name="Chart 96">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4B68F08B" w14:textId="3140DCD4" w:rsidR="000353A6" w:rsidRPr="00671E8F" w:rsidRDefault="00473C3B" w:rsidP="000353A6">
      <w:pPr>
        <w:pStyle w:val="NoSpacing"/>
        <w:spacing w:after="40"/>
        <w:jc w:val="center"/>
        <w:rPr>
          <w:rFonts w:cstheme="minorHAnsi"/>
          <w:color w:val="002060"/>
          <w:lang w:val="sr-Cyrl-CS"/>
        </w:rPr>
      </w:pPr>
      <w:r w:rsidRPr="00671E8F">
        <w:rPr>
          <w:rFonts w:cstheme="minorHAnsi"/>
          <w:color w:val="002060"/>
          <w:lang w:val="sr-Cyrl-CS"/>
        </w:rPr>
        <w:t xml:space="preserve">Табела 5. </w:t>
      </w:r>
      <w:r w:rsidR="000353A6" w:rsidRPr="00671E8F">
        <w:rPr>
          <w:rFonts w:cstheme="minorHAnsi"/>
          <w:color w:val="002060"/>
          <w:lang w:val="sr-Cyrl-CS"/>
        </w:rPr>
        <w:t>Просечне стопе раста у периоду 2025-2027 у зависности од сценарија</w:t>
      </w:r>
    </w:p>
    <w:tbl>
      <w:tblPr>
        <w:tblW w:w="4356" w:type="dxa"/>
        <w:tblLook w:val="04A0" w:firstRow="1" w:lastRow="0" w:firstColumn="1" w:lastColumn="0" w:noHBand="0" w:noVBand="1"/>
      </w:tblPr>
      <w:tblGrid>
        <w:gridCol w:w="1430"/>
        <w:gridCol w:w="975"/>
        <w:gridCol w:w="975"/>
        <w:gridCol w:w="976"/>
      </w:tblGrid>
      <w:tr w:rsidR="000353A6" w:rsidRPr="00671E8F" w14:paraId="071D0C0A" w14:textId="77777777" w:rsidTr="004D3724">
        <w:trPr>
          <w:trHeight w:val="266"/>
        </w:trPr>
        <w:tc>
          <w:tcPr>
            <w:tcW w:w="1430" w:type="dxa"/>
            <w:tcBorders>
              <w:top w:val="single" w:sz="4" w:space="0" w:color="002060"/>
              <w:left w:val="nil"/>
              <w:bottom w:val="single" w:sz="8" w:space="0" w:color="FFFFFF"/>
              <w:right w:val="nil"/>
            </w:tcBorders>
            <w:shd w:val="clear" w:color="auto" w:fill="auto"/>
            <w:vAlign w:val="center"/>
            <w:hideMark/>
          </w:tcPr>
          <w:p w14:paraId="13E0F484" w14:textId="77777777" w:rsidR="000353A6" w:rsidRPr="00671E8F" w:rsidRDefault="000353A6" w:rsidP="000353A6">
            <w:pPr>
              <w:spacing w:after="0" w:line="240" w:lineRule="auto"/>
              <w:jc w:val="center"/>
              <w:rPr>
                <w:rFonts w:ascii="Calibri" w:eastAsia="Times New Roman" w:hAnsi="Calibri" w:cs="Calibri"/>
                <w:color w:val="FF0000"/>
                <w:sz w:val="12"/>
                <w:szCs w:val="12"/>
              </w:rPr>
            </w:pPr>
          </w:p>
        </w:tc>
        <w:tc>
          <w:tcPr>
            <w:tcW w:w="2926" w:type="dxa"/>
            <w:gridSpan w:val="3"/>
            <w:tcBorders>
              <w:top w:val="single" w:sz="4" w:space="0" w:color="002060"/>
              <w:left w:val="nil"/>
              <w:bottom w:val="single" w:sz="4" w:space="0" w:color="002060"/>
              <w:right w:val="nil"/>
            </w:tcBorders>
            <w:shd w:val="clear" w:color="auto" w:fill="auto"/>
            <w:vAlign w:val="center"/>
            <w:hideMark/>
          </w:tcPr>
          <w:p w14:paraId="381134A2" w14:textId="77777777" w:rsidR="000353A6" w:rsidRPr="00671E8F" w:rsidRDefault="000353A6" w:rsidP="000353A6">
            <w:pPr>
              <w:spacing w:after="0" w:line="240" w:lineRule="auto"/>
              <w:jc w:val="center"/>
              <w:rPr>
                <w:rFonts w:ascii="Calibri" w:eastAsia="Times New Roman" w:hAnsi="Calibri" w:cs="Calibri"/>
                <w:color w:val="002060"/>
                <w:sz w:val="12"/>
                <w:szCs w:val="12"/>
              </w:rPr>
            </w:pPr>
            <w:r w:rsidRPr="00671E8F">
              <w:rPr>
                <w:rFonts w:ascii="Calibri" w:eastAsia="Times New Roman" w:hAnsi="Calibri" w:cs="Calibri"/>
                <w:color w:val="002060"/>
                <w:sz w:val="12"/>
                <w:szCs w:val="12"/>
              </w:rPr>
              <w:t>Сценарио</w:t>
            </w:r>
          </w:p>
        </w:tc>
      </w:tr>
      <w:tr w:rsidR="000353A6" w:rsidRPr="00671E8F" w14:paraId="1D4642E4" w14:textId="77777777" w:rsidTr="004D3724">
        <w:trPr>
          <w:trHeight w:val="266"/>
        </w:trPr>
        <w:tc>
          <w:tcPr>
            <w:tcW w:w="1430" w:type="dxa"/>
            <w:tcBorders>
              <w:top w:val="nil"/>
              <w:left w:val="nil"/>
              <w:bottom w:val="nil"/>
              <w:right w:val="nil"/>
            </w:tcBorders>
            <w:shd w:val="clear" w:color="auto" w:fill="auto"/>
            <w:vAlign w:val="center"/>
            <w:hideMark/>
          </w:tcPr>
          <w:p w14:paraId="00637F4E" w14:textId="77777777" w:rsidR="000353A6" w:rsidRPr="00671E8F" w:rsidRDefault="000353A6" w:rsidP="000353A6">
            <w:pPr>
              <w:spacing w:after="0" w:line="240" w:lineRule="auto"/>
              <w:jc w:val="center"/>
              <w:rPr>
                <w:rFonts w:ascii="Calibri" w:eastAsia="Times New Roman" w:hAnsi="Calibri" w:cs="Calibri"/>
                <w:color w:val="002060"/>
                <w:sz w:val="12"/>
                <w:szCs w:val="12"/>
              </w:rPr>
            </w:pPr>
          </w:p>
        </w:tc>
        <w:tc>
          <w:tcPr>
            <w:tcW w:w="975" w:type="dxa"/>
            <w:tcBorders>
              <w:top w:val="nil"/>
              <w:left w:val="nil"/>
              <w:bottom w:val="single" w:sz="4" w:space="0" w:color="002060"/>
              <w:right w:val="nil"/>
            </w:tcBorders>
            <w:shd w:val="clear" w:color="auto" w:fill="auto"/>
            <w:vAlign w:val="center"/>
            <w:hideMark/>
          </w:tcPr>
          <w:p w14:paraId="04177223" w14:textId="77777777" w:rsidR="000353A6" w:rsidRPr="00671E8F" w:rsidRDefault="000353A6" w:rsidP="000353A6">
            <w:pPr>
              <w:spacing w:after="0" w:line="240" w:lineRule="auto"/>
              <w:jc w:val="center"/>
              <w:rPr>
                <w:rFonts w:ascii="Calibri" w:eastAsia="Times New Roman" w:hAnsi="Calibri" w:cs="Calibri"/>
                <w:color w:val="002060"/>
                <w:sz w:val="12"/>
                <w:szCs w:val="12"/>
              </w:rPr>
            </w:pPr>
            <w:r w:rsidRPr="00671E8F">
              <w:rPr>
                <w:rFonts w:ascii="Calibri" w:eastAsia="Times New Roman" w:hAnsi="Calibri" w:cs="Calibri"/>
                <w:color w:val="002060"/>
                <w:sz w:val="12"/>
                <w:szCs w:val="12"/>
              </w:rPr>
              <w:t>Централни</w:t>
            </w:r>
          </w:p>
        </w:tc>
        <w:tc>
          <w:tcPr>
            <w:tcW w:w="975" w:type="dxa"/>
            <w:tcBorders>
              <w:top w:val="nil"/>
              <w:left w:val="nil"/>
              <w:bottom w:val="single" w:sz="4" w:space="0" w:color="002060"/>
              <w:right w:val="nil"/>
            </w:tcBorders>
            <w:shd w:val="clear" w:color="auto" w:fill="auto"/>
            <w:vAlign w:val="center"/>
            <w:hideMark/>
          </w:tcPr>
          <w:p w14:paraId="12824EEF" w14:textId="77777777" w:rsidR="000353A6" w:rsidRPr="00671E8F" w:rsidRDefault="000353A6" w:rsidP="000353A6">
            <w:pPr>
              <w:spacing w:after="0" w:line="240" w:lineRule="auto"/>
              <w:jc w:val="center"/>
              <w:rPr>
                <w:rFonts w:ascii="Calibri" w:eastAsia="Times New Roman" w:hAnsi="Calibri" w:cs="Calibri"/>
                <w:color w:val="002060"/>
                <w:sz w:val="12"/>
                <w:szCs w:val="12"/>
              </w:rPr>
            </w:pPr>
            <w:r w:rsidRPr="00671E8F">
              <w:rPr>
                <w:rFonts w:ascii="Calibri" w:eastAsia="Times New Roman" w:hAnsi="Calibri" w:cs="Calibri"/>
                <w:color w:val="002060"/>
                <w:sz w:val="12"/>
                <w:szCs w:val="12"/>
              </w:rPr>
              <w:t>Оптимистични</w:t>
            </w:r>
          </w:p>
        </w:tc>
        <w:tc>
          <w:tcPr>
            <w:tcW w:w="976" w:type="dxa"/>
            <w:tcBorders>
              <w:top w:val="nil"/>
              <w:left w:val="nil"/>
              <w:bottom w:val="single" w:sz="4" w:space="0" w:color="002060"/>
              <w:right w:val="nil"/>
            </w:tcBorders>
            <w:shd w:val="clear" w:color="auto" w:fill="auto"/>
            <w:vAlign w:val="center"/>
            <w:hideMark/>
          </w:tcPr>
          <w:p w14:paraId="2C1ADABD" w14:textId="77777777" w:rsidR="000353A6" w:rsidRPr="00671E8F" w:rsidRDefault="000353A6" w:rsidP="000353A6">
            <w:pPr>
              <w:spacing w:after="0" w:line="240" w:lineRule="auto"/>
              <w:jc w:val="center"/>
              <w:rPr>
                <w:rFonts w:ascii="Calibri" w:eastAsia="Times New Roman" w:hAnsi="Calibri" w:cs="Calibri"/>
                <w:color w:val="002060"/>
                <w:sz w:val="12"/>
                <w:szCs w:val="12"/>
              </w:rPr>
            </w:pPr>
            <w:r w:rsidRPr="00671E8F">
              <w:rPr>
                <w:rFonts w:ascii="Calibri" w:eastAsia="Times New Roman" w:hAnsi="Calibri" w:cs="Calibri"/>
                <w:color w:val="002060"/>
                <w:sz w:val="12"/>
                <w:szCs w:val="12"/>
              </w:rPr>
              <w:t>Песимистични</w:t>
            </w:r>
          </w:p>
        </w:tc>
      </w:tr>
      <w:tr w:rsidR="000353A6" w:rsidRPr="00671E8F" w14:paraId="28B42285" w14:textId="77777777" w:rsidTr="004D3724">
        <w:trPr>
          <w:trHeight w:val="343"/>
        </w:trPr>
        <w:tc>
          <w:tcPr>
            <w:tcW w:w="1430" w:type="dxa"/>
            <w:tcBorders>
              <w:top w:val="nil"/>
              <w:left w:val="nil"/>
              <w:bottom w:val="nil"/>
              <w:right w:val="nil"/>
            </w:tcBorders>
            <w:shd w:val="clear" w:color="auto" w:fill="auto"/>
            <w:vAlign w:val="center"/>
            <w:hideMark/>
          </w:tcPr>
          <w:p w14:paraId="2B80E5D4" w14:textId="77777777" w:rsidR="000353A6" w:rsidRPr="00671E8F" w:rsidRDefault="000353A6" w:rsidP="000353A6">
            <w:pPr>
              <w:spacing w:after="0" w:line="240" w:lineRule="auto"/>
              <w:jc w:val="left"/>
              <w:rPr>
                <w:rFonts w:ascii="Calibri" w:eastAsia="Times New Roman" w:hAnsi="Calibri" w:cs="Calibri"/>
                <w:b/>
                <w:bCs/>
                <w:color w:val="002060"/>
                <w:sz w:val="12"/>
                <w:szCs w:val="12"/>
              </w:rPr>
            </w:pPr>
            <w:r w:rsidRPr="00671E8F">
              <w:rPr>
                <w:rFonts w:ascii="Calibri" w:eastAsia="Times New Roman" w:hAnsi="Calibri" w:cs="Calibri"/>
                <w:b/>
                <w:bCs/>
                <w:color w:val="002060"/>
                <w:sz w:val="12"/>
                <w:szCs w:val="12"/>
              </w:rPr>
              <w:t>Реални раст БДП</w:t>
            </w:r>
          </w:p>
        </w:tc>
        <w:tc>
          <w:tcPr>
            <w:tcW w:w="975" w:type="dxa"/>
            <w:tcBorders>
              <w:top w:val="nil"/>
              <w:left w:val="nil"/>
              <w:bottom w:val="nil"/>
              <w:right w:val="nil"/>
            </w:tcBorders>
            <w:shd w:val="clear" w:color="auto" w:fill="auto"/>
            <w:vAlign w:val="center"/>
            <w:hideMark/>
          </w:tcPr>
          <w:p w14:paraId="0AFDD2AB" w14:textId="77777777" w:rsidR="000353A6" w:rsidRPr="00671E8F" w:rsidRDefault="000353A6" w:rsidP="000353A6">
            <w:pPr>
              <w:spacing w:after="0" w:line="240" w:lineRule="auto"/>
              <w:jc w:val="center"/>
              <w:rPr>
                <w:rFonts w:ascii="Calibri" w:eastAsia="Times New Roman" w:hAnsi="Calibri" w:cs="Calibri"/>
                <w:b/>
                <w:bCs/>
                <w:color w:val="002060"/>
                <w:sz w:val="14"/>
                <w:szCs w:val="12"/>
              </w:rPr>
            </w:pPr>
            <w:r w:rsidRPr="00671E8F">
              <w:rPr>
                <w:rFonts w:ascii="Calibri" w:eastAsia="Times New Roman" w:hAnsi="Calibri" w:cs="Calibri"/>
                <w:b/>
                <w:bCs/>
                <w:color w:val="002060"/>
                <w:sz w:val="14"/>
                <w:szCs w:val="12"/>
              </w:rPr>
              <w:t>4,4</w:t>
            </w:r>
          </w:p>
        </w:tc>
        <w:tc>
          <w:tcPr>
            <w:tcW w:w="975" w:type="dxa"/>
            <w:tcBorders>
              <w:top w:val="nil"/>
              <w:left w:val="nil"/>
              <w:bottom w:val="nil"/>
              <w:right w:val="nil"/>
            </w:tcBorders>
            <w:shd w:val="clear" w:color="auto" w:fill="auto"/>
            <w:vAlign w:val="center"/>
            <w:hideMark/>
          </w:tcPr>
          <w:p w14:paraId="4687A161" w14:textId="77777777" w:rsidR="000353A6" w:rsidRPr="00671E8F" w:rsidRDefault="000353A6" w:rsidP="000353A6">
            <w:pPr>
              <w:spacing w:after="0" w:line="240" w:lineRule="auto"/>
              <w:jc w:val="center"/>
              <w:rPr>
                <w:rFonts w:ascii="Calibri" w:eastAsia="Times New Roman" w:hAnsi="Calibri" w:cs="Calibri"/>
                <w:b/>
                <w:bCs/>
                <w:color w:val="002060"/>
                <w:sz w:val="14"/>
                <w:szCs w:val="12"/>
              </w:rPr>
            </w:pPr>
            <w:r w:rsidRPr="00671E8F">
              <w:rPr>
                <w:rFonts w:ascii="Calibri" w:eastAsia="Times New Roman" w:hAnsi="Calibri" w:cs="Calibri"/>
                <w:b/>
                <w:bCs/>
                <w:color w:val="002060"/>
                <w:sz w:val="14"/>
                <w:szCs w:val="12"/>
              </w:rPr>
              <w:t>5,7</w:t>
            </w:r>
          </w:p>
        </w:tc>
        <w:tc>
          <w:tcPr>
            <w:tcW w:w="976" w:type="dxa"/>
            <w:tcBorders>
              <w:top w:val="nil"/>
              <w:left w:val="nil"/>
              <w:bottom w:val="nil"/>
              <w:right w:val="nil"/>
            </w:tcBorders>
            <w:shd w:val="clear" w:color="auto" w:fill="auto"/>
            <w:vAlign w:val="center"/>
            <w:hideMark/>
          </w:tcPr>
          <w:p w14:paraId="5C46F1B9" w14:textId="77777777" w:rsidR="000353A6" w:rsidRPr="00671E8F" w:rsidRDefault="000353A6" w:rsidP="000353A6">
            <w:pPr>
              <w:spacing w:after="0" w:line="240" w:lineRule="auto"/>
              <w:jc w:val="center"/>
              <w:rPr>
                <w:rFonts w:ascii="Calibri" w:eastAsia="Times New Roman" w:hAnsi="Calibri" w:cs="Calibri"/>
                <w:b/>
                <w:bCs/>
                <w:color w:val="FF0000"/>
                <w:sz w:val="14"/>
                <w:szCs w:val="12"/>
              </w:rPr>
            </w:pPr>
            <w:r w:rsidRPr="00671E8F">
              <w:rPr>
                <w:rFonts w:ascii="Calibri" w:eastAsia="Times New Roman" w:hAnsi="Calibri" w:cs="Calibri"/>
                <w:b/>
                <w:bCs/>
                <w:color w:val="002060"/>
                <w:sz w:val="14"/>
                <w:szCs w:val="12"/>
              </w:rPr>
              <w:t>3,1</w:t>
            </w:r>
          </w:p>
        </w:tc>
      </w:tr>
      <w:tr w:rsidR="000353A6" w:rsidRPr="00671E8F" w14:paraId="7CFD1006" w14:textId="77777777" w:rsidTr="004D3724">
        <w:trPr>
          <w:trHeight w:val="343"/>
        </w:trPr>
        <w:tc>
          <w:tcPr>
            <w:tcW w:w="1430" w:type="dxa"/>
            <w:tcBorders>
              <w:top w:val="nil"/>
              <w:left w:val="nil"/>
              <w:bottom w:val="nil"/>
              <w:right w:val="nil"/>
            </w:tcBorders>
            <w:shd w:val="clear" w:color="auto" w:fill="auto"/>
            <w:vAlign w:val="center"/>
            <w:hideMark/>
          </w:tcPr>
          <w:p w14:paraId="219D19C4"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Лична потрошња</w:t>
            </w:r>
          </w:p>
        </w:tc>
        <w:tc>
          <w:tcPr>
            <w:tcW w:w="975" w:type="dxa"/>
            <w:tcBorders>
              <w:top w:val="nil"/>
              <w:left w:val="nil"/>
              <w:bottom w:val="nil"/>
              <w:right w:val="nil"/>
            </w:tcBorders>
            <w:shd w:val="clear" w:color="auto" w:fill="auto"/>
            <w:vAlign w:val="center"/>
            <w:hideMark/>
          </w:tcPr>
          <w:p w14:paraId="22F238B1"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3,4</w:t>
            </w:r>
          </w:p>
        </w:tc>
        <w:tc>
          <w:tcPr>
            <w:tcW w:w="975" w:type="dxa"/>
            <w:tcBorders>
              <w:top w:val="nil"/>
              <w:left w:val="nil"/>
              <w:bottom w:val="nil"/>
              <w:right w:val="nil"/>
            </w:tcBorders>
            <w:shd w:val="clear" w:color="auto" w:fill="auto"/>
            <w:vAlign w:val="center"/>
            <w:hideMark/>
          </w:tcPr>
          <w:p w14:paraId="41759287"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4,8</w:t>
            </w:r>
          </w:p>
        </w:tc>
        <w:tc>
          <w:tcPr>
            <w:tcW w:w="976" w:type="dxa"/>
            <w:tcBorders>
              <w:top w:val="nil"/>
              <w:left w:val="nil"/>
              <w:bottom w:val="nil"/>
              <w:right w:val="nil"/>
            </w:tcBorders>
            <w:shd w:val="clear" w:color="auto" w:fill="auto"/>
            <w:vAlign w:val="center"/>
            <w:hideMark/>
          </w:tcPr>
          <w:p w14:paraId="56830FAC" w14:textId="77777777" w:rsidR="000353A6" w:rsidRPr="00671E8F" w:rsidRDefault="000353A6" w:rsidP="000353A6">
            <w:pPr>
              <w:spacing w:after="0" w:line="240" w:lineRule="auto"/>
              <w:jc w:val="center"/>
              <w:rPr>
                <w:rFonts w:ascii="Calibri" w:eastAsia="Times New Roman" w:hAnsi="Calibri" w:cs="Calibri"/>
                <w:color w:val="FF0000"/>
                <w:sz w:val="14"/>
                <w:szCs w:val="12"/>
              </w:rPr>
            </w:pPr>
            <w:r w:rsidRPr="00671E8F">
              <w:rPr>
                <w:rFonts w:ascii="Calibri" w:eastAsia="Times New Roman" w:hAnsi="Calibri" w:cs="Calibri"/>
                <w:color w:val="002060"/>
                <w:sz w:val="14"/>
                <w:szCs w:val="12"/>
              </w:rPr>
              <w:t>2,6</w:t>
            </w:r>
          </w:p>
        </w:tc>
      </w:tr>
      <w:tr w:rsidR="000353A6" w:rsidRPr="00671E8F" w14:paraId="3846ED5E" w14:textId="77777777" w:rsidTr="004D3724">
        <w:trPr>
          <w:trHeight w:val="343"/>
        </w:trPr>
        <w:tc>
          <w:tcPr>
            <w:tcW w:w="1430" w:type="dxa"/>
            <w:tcBorders>
              <w:top w:val="nil"/>
              <w:left w:val="nil"/>
              <w:bottom w:val="nil"/>
              <w:right w:val="nil"/>
            </w:tcBorders>
            <w:shd w:val="clear" w:color="auto" w:fill="auto"/>
            <w:vAlign w:val="center"/>
            <w:hideMark/>
          </w:tcPr>
          <w:p w14:paraId="135CAE85"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Државна потрошња</w:t>
            </w:r>
          </w:p>
        </w:tc>
        <w:tc>
          <w:tcPr>
            <w:tcW w:w="975" w:type="dxa"/>
            <w:tcBorders>
              <w:top w:val="nil"/>
              <w:left w:val="nil"/>
              <w:bottom w:val="nil"/>
              <w:right w:val="nil"/>
            </w:tcBorders>
            <w:shd w:val="clear" w:color="auto" w:fill="auto"/>
            <w:vAlign w:val="center"/>
            <w:hideMark/>
          </w:tcPr>
          <w:p w14:paraId="659FCD00"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2,2</w:t>
            </w:r>
          </w:p>
        </w:tc>
        <w:tc>
          <w:tcPr>
            <w:tcW w:w="975" w:type="dxa"/>
            <w:tcBorders>
              <w:top w:val="nil"/>
              <w:left w:val="nil"/>
              <w:bottom w:val="nil"/>
              <w:right w:val="nil"/>
            </w:tcBorders>
            <w:shd w:val="clear" w:color="auto" w:fill="auto"/>
            <w:vAlign w:val="center"/>
            <w:hideMark/>
          </w:tcPr>
          <w:p w14:paraId="3E886B0B"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3,6</w:t>
            </w:r>
          </w:p>
        </w:tc>
        <w:tc>
          <w:tcPr>
            <w:tcW w:w="976" w:type="dxa"/>
            <w:tcBorders>
              <w:top w:val="nil"/>
              <w:left w:val="nil"/>
              <w:bottom w:val="nil"/>
              <w:right w:val="nil"/>
            </w:tcBorders>
            <w:shd w:val="clear" w:color="auto" w:fill="auto"/>
            <w:vAlign w:val="center"/>
            <w:hideMark/>
          </w:tcPr>
          <w:p w14:paraId="127F4A02"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1,0</w:t>
            </w:r>
          </w:p>
        </w:tc>
      </w:tr>
      <w:tr w:rsidR="000353A6" w:rsidRPr="00671E8F" w14:paraId="1BF68035" w14:textId="77777777" w:rsidTr="004D3724">
        <w:trPr>
          <w:trHeight w:val="343"/>
        </w:trPr>
        <w:tc>
          <w:tcPr>
            <w:tcW w:w="1430" w:type="dxa"/>
            <w:tcBorders>
              <w:top w:val="nil"/>
              <w:left w:val="nil"/>
              <w:bottom w:val="nil"/>
              <w:right w:val="nil"/>
            </w:tcBorders>
            <w:shd w:val="clear" w:color="auto" w:fill="auto"/>
            <w:vAlign w:val="center"/>
            <w:hideMark/>
          </w:tcPr>
          <w:p w14:paraId="140D034C"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Бруто инвестиције у основна средства</w:t>
            </w:r>
          </w:p>
        </w:tc>
        <w:tc>
          <w:tcPr>
            <w:tcW w:w="975" w:type="dxa"/>
            <w:tcBorders>
              <w:top w:val="nil"/>
              <w:left w:val="nil"/>
              <w:bottom w:val="nil"/>
              <w:right w:val="nil"/>
            </w:tcBorders>
            <w:shd w:val="clear" w:color="auto" w:fill="auto"/>
            <w:vAlign w:val="center"/>
            <w:hideMark/>
          </w:tcPr>
          <w:p w14:paraId="52442D69"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7,4</w:t>
            </w:r>
          </w:p>
        </w:tc>
        <w:tc>
          <w:tcPr>
            <w:tcW w:w="975" w:type="dxa"/>
            <w:tcBorders>
              <w:top w:val="nil"/>
              <w:left w:val="nil"/>
              <w:bottom w:val="nil"/>
              <w:right w:val="nil"/>
            </w:tcBorders>
            <w:shd w:val="clear" w:color="auto" w:fill="auto"/>
            <w:vAlign w:val="center"/>
            <w:hideMark/>
          </w:tcPr>
          <w:p w14:paraId="1C8EF4D5"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9,4</w:t>
            </w:r>
          </w:p>
        </w:tc>
        <w:tc>
          <w:tcPr>
            <w:tcW w:w="976" w:type="dxa"/>
            <w:tcBorders>
              <w:top w:val="nil"/>
              <w:left w:val="nil"/>
              <w:bottom w:val="nil"/>
              <w:right w:val="nil"/>
            </w:tcBorders>
            <w:shd w:val="clear" w:color="auto" w:fill="auto"/>
            <w:vAlign w:val="center"/>
            <w:hideMark/>
          </w:tcPr>
          <w:p w14:paraId="33534122"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3,8</w:t>
            </w:r>
          </w:p>
        </w:tc>
      </w:tr>
      <w:tr w:rsidR="000353A6" w:rsidRPr="00671E8F" w14:paraId="06303C15" w14:textId="77777777" w:rsidTr="004D3724">
        <w:trPr>
          <w:trHeight w:val="343"/>
        </w:trPr>
        <w:tc>
          <w:tcPr>
            <w:tcW w:w="1430" w:type="dxa"/>
            <w:tcBorders>
              <w:top w:val="nil"/>
              <w:left w:val="nil"/>
              <w:right w:val="nil"/>
            </w:tcBorders>
            <w:shd w:val="clear" w:color="auto" w:fill="auto"/>
            <w:vAlign w:val="center"/>
            <w:hideMark/>
          </w:tcPr>
          <w:p w14:paraId="5AA13656"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Извоз робе и услуга</w:t>
            </w:r>
          </w:p>
        </w:tc>
        <w:tc>
          <w:tcPr>
            <w:tcW w:w="975" w:type="dxa"/>
            <w:tcBorders>
              <w:top w:val="nil"/>
              <w:left w:val="nil"/>
              <w:right w:val="nil"/>
            </w:tcBorders>
            <w:shd w:val="clear" w:color="auto" w:fill="auto"/>
            <w:vAlign w:val="center"/>
            <w:hideMark/>
          </w:tcPr>
          <w:p w14:paraId="75AE6D36"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7,6</w:t>
            </w:r>
          </w:p>
        </w:tc>
        <w:tc>
          <w:tcPr>
            <w:tcW w:w="975" w:type="dxa"/>
            <w:tcBorders>
              <w:top w:val="nil"/>
              <w:left w:val="nil"/>
              <w:right w:val="nil"/>
            </w:tcBorders>
            <w:shd w:val="clear" w:color="auto" w:fill="auto"/>
            <w:vAlign w:val="center"/>
            <w:hideMark/>
          </w:tcPr>
          <w:p w14:paraId="3FA0A701"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10,4</w:t>
            </w:r>
          </w:p>
        </w:tc>
        <w:tc>
          <w:tcPr>
            <w:tcW w:w="976" w:type="dxa"/>
            <w:tcBorders>
              <w:top w:val="nil"/>
              <w:left w:val="nil"/>
              <w:right w:val="nil"/>
            </w:tcBorders>
            <w:shd w:val="clear" w:color="auto" w:fill="auto"/>
            <w:vAlign w:val="center"/>
            <w:hideMark/>
          </w:tcPr>
          <w:p w14:paraId="1133AAE8"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4,2</w:t>
            </w:r>
          </w:p>
        </w:tc>
      </w:tr>
      <w:tr w:rsidR="000353A6" w:rsidRPr="00671E8F" w14:paraId="4AA9FFB5" w14:textId="77777777" w:rsidTr="004D3724">
        <w:trPr>
          <w:trHeight w:val="343"/>
        </w:trPr>
        <w:tc>
          <w:tcPr>
            <w:tcW w:w="1430" w:type="dxa"/>
            <w:tcBorders>
              <w:top w:val="nil"/>
              <w:left w:val="nil"/>
              <w:bottom w:val="single" w:sz="4" w:space="0" w:color="002060"/>
              <w:right w:val="nil"/>
            </w:tcBorders>
            <w:shd w:val="clear" w:color="auto" w:fill="auto"/>
            <w:vAlign w:val="center"/>
            <w:hideMark/>
          </w:tcPr>
          <w:p w14:paraId="037DB525" w14:textId="77777777" w:rsidR="000353A6" w:rsidRPr="00671E8F" w:rsidRDefault="000353A6" w:rsidP="000353A6">
            <w:pPr>
              <w:spacing w:after="0" w:line="240" w:lineRule="auto"/>
              <w:jc w:val="left"/>
              <w:rPr>
                <w:rFonts w:ascii="Calibri" w:eastAsia="Times New Roman" w:hAnsi="Calibri" w:cs="Calibri"/>
                <w:color w:val="002060"/>
                <w:sz w:val="12"/>
                <w:szCs w:val="12"/>
              </w:rPr>
            </w:pPr>
            <w:r w:rsidRPr="00671E8F">
              <w:rPr>
                <w:rFonts w:ascii="Calibri" w:eastAsia="Times New Roman" w:hAnsi="Calibri" w:cs="Calibri"/>
                <w:color w:val="002060"/>
                <w:sz w:val="12"/>
                <w:szCs w:val="12"/>
              </w:rPr>
              <w:t>Увоз робе и услуга</w:t>
            </w:r>
          </w:p>
        </w:tc>
        <w:tc>
          <w:tcPr>
            <w:tcW w:w="975" w:type="dxa"/>
            <w:tcBorders>
              <w:top w:val="nil"/>
              <w:left w:val="nil"/>
              <w:bottom w:val="single" w:sz="4" w:space="0" w:color="002060"/>
              <w:right w:val="nil"/>
            </w:tcBorders>
            <w:shd w:val="clear" w:color="auto" w:fill="auto"/>
            <w:vAlign w:val="center"/>
            <w:hideMark/>
          </w:tcPr>
          <w:p w14:paraId="089AF2CF"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6,9</w:t>
            </w:r>
          </w:p>
        </w:tc>
        <w:tc>
          <w:tcPr>
            <w:tcW w:w="975" w:type="dxa"/>
            <w:tcBorders>
              <w:top w:val="nil"/>
              <w:left w:val="nil"/>
              <w:bottom w:val="single" w:sz="4" w:space="0" w:color="002060"/>
              <w:right w:val="nil"/>
            </w:tcBorders>
            <w:shd w:val="clear" w:color="auto" w:fill="auto"/>
            <w:vAlign w:val="center"/>
            <w:hideMark/>
          </w:tcPr>
          <w:p w14:paraId="3B61A2AD"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9,7</w:t>
            </w:r>
          </w:p>
        </w:tc>
        <w:tc>
          <w:tcPr>
            <w:tcW w:w="976" w:type="dxa"/>
            <w:tcBorders>
              <w:top w:val="nil"/>
              <w:left w:val="nil"/>
              <w:bottom w:val="single" w:sz="4" w:space="0" w:color="002060"/>
              <w:right w:val="nil"/>
            </w:tcBorders>
            <w:shd w:val="clear" w:color="auto" w:fill="auto"/>
            <w:vAlign w:val="center"/>
            <w:hideMark/>
          </w:tcPr>
          <w:p w14:paraId="2BAA9885" w14:textId="77777777" w:rsidR="000353A6" w:rsidRPr="00671E8F" w:rsidRDefault="000353A6" w:rsidP="000353A6">
            <w:pPr>
              <w:spacing w:after="0" w:line="240" w:lineRule="auto"/>
              <w:jc w:val="center"/>
              <w:rPr>
                <w:rFonts w:ascii="Calibri" w:eastAsia="Times New Roman" w:hAnsi="Calibri" w:cs="Calibri"/>
                <w:color w:val="002060"/>
                <w:sz w:val="14"/>
                <w:szCs w:val="12"/>
              </w:rPr>
            </w:pPr>
            <w:r w:rsidRPr="00671E8F">
              <w:rPr>
                <w:rFonts w:ascii="Calibri" w:eastAsia="Times New Roman" w:hAnsi="Calibri" w:cs="Calibri"/>
                <w:color w:val="002060"/>
                <w:sz w:val="14"/>
                <w:szCs w:val="12"/>
              </w:rPr>
              <w:t>3,0</w:t>
            </w:r>
          </w:p>
        </w:tc>
      </w:tr>
    </w:tbl>
    <w:p w14:paraId="76C390FA" w14:textId="77777777" w:rsidR="000353A6" w:rsidRPr="00671E8F" w:rsidRDefault="000353A6" w:rsidP="000353A6">
      <w:pPr>
        <w:spacing w:after="120" w:line="240" w:lineRule="auto"/>
        <w:rPr>
          <w:rFonts w:cstheme="minorHAnsi"/>
          <w:sz w:val="16"/>
        </w:rPr>
      </w:pPr>
      <w:r w:rsidRPr="00671E8F">
        <w:rPr>
          <w:rFonts w:cstheme="minorHAnsi"/>
          <w:sz w:val="16"/>
        </w:rPr>
        <w:t>Извор: Министарство финансија</w:t>
      </w:r>
    </w:p>
    <w:p w14:paraId="30315285" w14:textId="08202728" w:rsidR="000353A6" w:rsidRPr="00671E8F" w:rsidRDefault="000353A6" w:rsidP="000353A6">
      <w:pPr>
        <w:rPr>
          <w:rFonts w:cstheme="minorHAnsi"/>
          <w:bCs/>
          <w:szCs w:val="72"/>
        </w:rPr>
      </w:pPr>
      <w:r w:rsidRPr="00671E8F">
        <w:rPr>
          <w:rFonts w:cstheme="minorHAnsi"/>
          <w:bCs/>
          <w:szCs w:val="72"/>
        </w:rPr>
        <w:lastRenderedPageBreak/>
        <w:t>Према централном сценарију, у средњорочном периоду очекује се наставак раста п</w:t>
      </w:r>
      <w:r w:rsidR="00782662" w:rsidRPr="00671E8F">
        <w:rPr>
          <w:rFonts w:cstheme="minorHAnsi"/>
          <w:bCs/>
          <w:szCs w:val="72"/>
        </w:rPr>
        <w:t>отенцијалног БДП по стопи од 4</w:t>
      </w:r>
      <w:r w:rsidRPr="00671E8F">
        <w:rPr>
          <w:rFonts w:cstheme="minorHAnsi"/>
          <w:bCs/>
          <w:szCs w:val="72"/>
        </w:rPr>
        <w:t>%.</w:t>
      </w:r>
      <w:r w:rsidRPr="00671E8F">
        <w:rPr>
          <w:rFonts w:cstheme="minorHAnsi"/>
          <w:bCs/>
          <w:color w:val="FF0000"/>
          <w:szCs w:val="72"/>
        </w:rPr>
        <w:t xml:space="preserve"> </w:t>
      </w:r>
      <w:r w:rsidR="00782662" w:rsidRPr="00671E8F">
        <w:rPr>
          <w:rFonts w:cstheme="minorHAnsi"/>
          <w:bCs/>
          <w:szCs w:val="72"/>
        </w:rPr>
        <w:t>Реализација</w:t>
      </w:r>
      <w:r w:rsidRPr="00671E8F">
        <w:rPr>
          <w:rFonts w:cstheme="minorHAnsi"/>
          <w:bCs/>
          <w:szCs w:val="72"/>
        </w:rPr>
        <w:t xml:space="preserve"> капиталних пројеката и наставак започетог инвестиционог циклуса подржани, како стабилним приливом СДИ, тако и улагањима у иновације и развој, обезбедиће све снажнији допринос капитала и факторске продуктивности расту потенцијалног БДП. Дигитализација ће значајно убрзати ове процесе и додатно подићи ефикасност искоришћености расположивих капацитета. Влада ће кроз значајна планирана улагања у енергетску инфраструктуру додатно утицати на подизање потенцијала привреде. Адекватна и кредибилна монетарна политика, уз даља унапређења финансијског система и повољнији инвестициони амбијент, трансфер знања и технологија из најразвијенијих земаља треба да обезбеде позитиван утицај на оба фактора производње. Са друге стране, јачање владавине закона, реформа законодавства из области привреде и пословања, убрзање процедура и подизање ефикасности администрације треба да обезбеде максимизацију факторске продуктивности у средњем року. Повољна кретања на тржишту рада ће такође допринети расту потенцијалног БДП, мада споријим темпом него у претходном периоду.</w:t>
      </w:r>
    </w:p>
    <w:p w14:paraId="7EE561C4" w14:textId="77777777" w:rsidR="000353A6" w:rsidRPr="00671E8F" w:rsidRDefault="000353A6" w:rsidP="000353A6">
      <w:pPr>
        <w:spacing w:after="0"/>
        <w:jc w:val="center"/>
        <w:rPr>
          <w:rFonts w:cstheme="minorHAnsi"/>
          <w:b/>
          <w:color w:val="002060"/>
        </w:rPr>
      </w:pPr>
      <w:r w:rsidRPr="00671E8F">
        <w:rPr>
          <w:rFonts w:cstheme="minorHAnsi"/>
          <w:b/>
          <w:color w:val="002060"/>
        </w:rPr>
        <w:t>Доприноси фактора производње потенцијалној стопи раста БДП, п.п.</w:t>
      </w:r>
    </w:p>
    <w:p w14:paraId="40E49F67" w14:textId="77777777" w:rsidR="000353A6" w:rsidRPr="00671E8F" w:rsidRDefault="000353A6" w:rsidP="000353A6">
      <w:pPr>
        <w:spacing w:after="0"/>
        <w:rPr>
          <w:rFonts w:cstheme="minorHAnsi"/>
          <w:color w:val="FF0000"/>
          <w:sz w:val="16"/>
        </w:rPr>
      </w:pPr>
    </w:p>
    <w:p w14:paraId="3F0BAEE6" w14:textId="77777777" w:rsidR="000353A6" w:rsidRPr="00671E8F" w:rsidRDefault="000353A6" w:rsidP="000353A6">
      <w:pPr>
        <w:spacing w:after="240"/>
        <w:rPr>
          <w:color w:val="FF0000"/>
        </w:rPr>
      </w:pPr>
      <w:r w:rsidRPr="00671E8F">
        <w:rPr>
          <w:noProof/>
          <w:lang w:val="en-US"/>
        </w:rPr>
        <w:drawing>
          <wp:inline distT="0" distB="0" distL="0" distR="0" wp14:anchorId="6B40F73B" wp14:editId="7436C261">
            <wp:extent cx="2743200" cy="2377440"/>
            <wp:effectExtent l="0" t="0" r="0" b="3810"/>
            <wp:docPr id="97" name="Chart 97">
              <a:extLst xmlns:a="http://schemas.openxmlformats.org/drawingml/2006/main">
                <a:ext uri="{FF2B5EF4-FFF2-40B4-BE49-F238E27FC236}">
                  <a16:creationId xmlns:a16="http://schemas.microsoft.com/office/drawing/2014/main" id="{00000000-0008-0000-0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4AD2518B" w14:textId="77777777" w:rsidR="007F42E2" w:rsidRPr="00671E8F" w:rsidRDefault="008033CF" w:rsidP="007F42E2">
      <w:pPr>
        <w:spacing w:after="120" w:line="240" w:lineRule="auto"/>
        <w:rPr>
          <w:rFonts w:cstheme="minorHAnsi"/>
          <w:sz w:val="16"/>
        </w:rPr>
      </w:pPr>
      <w:r w:rsidRPr="00671E8F">
        <w:rPr>
          <w:rFonts w:cstheme="minorHAnsi"/>
          <w:sz w:val="16"/>
        </w:rPr>
        <w:t>Извор: Министарство финансијa</w:t>
      </w:r>
    </w:p>
    <w:p w14:paraId="71AA9641" w14:textId="77777777" w:rsidR="007F42E2" w:rsidRPr="00671E8F" w:rsidRDefault="007F42E2" w:rsidP="007F42E2">
      <w:pPr>
        <w:spacing w:after="120" w:line="240" w:lineRule="auto"/>
        <w:rPr>
          <w:b/>
          <w:bCs/>
          <w:color w:val="2F5496" w:themeColor="accent1" w:themeShade="BF"/>
          <w:sz w:val="22"/>
        </w:rPr>
      </w:pPr>
    </w:p>
    <w:p w14:paraId="06C4E3C5" w14:textId="19DA959E" w:rsidR="008033CF" w:rsidRPr="00671E8F" w:rsidRDefault="008033CF" w:rsidP="007F42E2">
      <w:pPr>
        <w:spacing w:after="120" w:line="240" w:lineRule="auto"/>
        <w:rPr>
          <w:rFonts w:cstheme="minorHAnsi"/>
          <w:bCs/>
          <w:color w:val="2F5496" w:themeColor="accent1" w:themeShade="BF"/>
          <w:szCs w:val="72"/>
        </w:rPr>
      </w:pPr>
      <w:r w:rsidRPr="00671E8F">
        <w:rPr>
          <w:b/>
          <w:bCs/>
          <w:color w:val="2F5496" w:themeColor="accent1" w:themeShade="BF"/>
          <w:sz w:val="22"/>
        </w:rPr>
        <w:t>Тржиште рада</w:t>
      </w:r>
    </w:p>
    <w:p w14:paraId="4A62A1A8" w14:textId="7D4E451B" w:rsidR="008033CF" w:rsidRPr="00671E8F" w:rsidRDefault="008033CF" w:rsidP="000E0EDA">
      <w:pPr>
        <w:rPr>
          <w:highlight w:val="yellow"/>
        </w:rPr>
      </w:pPr>
      <w:r w:rsidRPr="00671E8F">
        <w:t>Тржиште рада у Србији бележи позитивне промене, које су резултат континуираних напора на унапређењу економских политика и стварању повољног пословног окружења. У последњих неколико година, стопа запослености је у сталном порасту, док се стопа незапослености смањује, што указује на све веће могућности за запошљавање и професионални развој становништва. Такође позитивна кретања се огледају и у значајном расту зарада и запослености, пре свега у приватном сектору, што указује на стабилан економски развој. Основу за овакву динамику на тржишту рада омогућила је, изнад свега, стабилност економије, која остаје отпорна упркос глобалним неизвесностима. Позитивна кретања на тржишту рада резултат су и континуираног рада креатора политика на побољшању услова рада и унапређивању институција тржишта рада. Овај процес укључује подстицање запошљавања, посебно за теже запошљиве групе, као што су млади и људи са недостатком квалификација. Такође, важан аспект представља активна подршка регионалној и локалној политици запошљавања, која ствара могућности за развој на локалном нивоу и подстицање предузетништва. Све ово указује на то да Србија не само да напредује у контексту запослености и зарада, већ и да ствара чврсте основе за одрживи развој тржишта рада у будућности.</w:t>
      </w:r>
    </w:p>
    <w:p w14:paraId="44E08080" w14:textId="5DEE77CE" w:rsidR="008033CF" w:rsidRPr="00671E8F" w:rsidRDefault="008033CF" w:rsidP="000E0EDA">
      <w:r w:rsidRPr="00671E8F">
        <w:t>Према подацима Централног регистра обавезног социјалног осигурања (ЦРОСО), у периоду јануар-август 2024. године просечан број запослених био је већи за 0,6% у поређењу са истим периодом претходне године, чему је пре свега допринео раст запослености у приватном сектору од 10,8 хиљада лица, док је у јавном сектору раст износио 2,8 хиљада лица. У овом периоду, најснажнији секторски допринос расту запослености долази од здравства и научно-техничких делатности, а позитиван допринос дали су и сектори ИКТ и грађевинарства. Према подацима Националне службе за запошљавање, у истом периоду, број лица која активно траже запослење смањен је за 8,4%.</w:t>
      </w:r>
    </w:p>
    <w:p w14:paraId="20770CC7" w14:textId="77777777" w:rsidR="004D3724" w:rsidRPr="00671E8F" w:rsidRDefault="004D3724" w:rsidP="000E0EDA"/>
    <w:p w14:paraId="73AE7980" w14:textId="77777777" w:rsidR="008033CF" w:rsidRPr="00671E8F" w:rsidRDefault="008033CF" w:rsidP="000E0EDA">
      <w:pPr>
        <w:spacing w:after="0"/>
        <w:jc w:val="center"/>
        <w:rPr>
          <w:rFonts w:cstheme="minorHAnsi"/>
          <w:b/>
          <w:color w:val="002060"/>
        </w:rPr>
      </w:pPr>
      <w:r w:rsidRPr="00671E8F">
        <w:rPr>
          <w:rFonts w:cstheme="minorHAnsi"/>
          <w:b/>
          <w:color w:val="002060"/>
        </w:rPr>
        <w:lastRenderedPageBreak/>
        <w:t>Кретање формалне запослености</w:t>
      </w:r>
    </w:p>
    <w:p w14:paraId="07781CE3" w14:textId="77777777" w:rsidR="008033CF" w:rsidRPr="00671E8F" w:rsidRDefault="008033CF" w:rsidP="000E0EDA">
      <w:pPr>
        <w:spacing w:after="0"/>
        <w:rPr>
          <w:rFonts w:cstheme="minorHAnsi"/>
          <w:bCs/>
          <w:szCs w:val="72"/>
          <w:highlight w:val="yellow"/>
        </w:rPr>
      </w:pPr>
      <w:r w:rsidRPr="00671E8F">
        <w:rPr>
          <w:noProof/>
          <w:lang w:val="en-US"/>
        </w:rPr>
        <w:drawing>
          <wp:inline distT="0" distB="0" distL="0" distR="0" wp14:anchorId="2F69746D" wp14:editId="7BA457DB">
            <wp:extent cx="2743200" cy="2087880"/>
            <wp:effectExtent l="0" t="0" r="0" b="7620"/>
            <wp:docPr id="109" name="Chart 109">
              <a:extLst xmlns:a="http://schemas.openxmlformats.org/drawingml/2006/main">
                <a:ext uri="{FF2B5EF4-FFF2-40B4-BE49-F238E27FC236}">
                  <a16:creationId xmlns:a16="http://schemas.microsoft.com/office/drawing/2014/main" id="{00000000-0008-0000-10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5F8EDD5" w14:textId="77777777" w:rsidR="008033CF" w:rsidRPr="00671E8F" w:rsidRDefault="008033CF" w:rsidP="000E0EDA">
      <w:pPr>
        <w:rPr>
          <w:rFonts w:cstheme="minorHAnsi"/>
          <w:bCs/>
          <w:sz w:val="16"/>
          <w:szCs w:val="16"/>
        </w:rPr>
      </w:pPr>
      <w:r w:rsidRPr="00671E8F">
        <w:rPr>
          <w:rFonts w:cstheme="minorHAnsi"/>
          <w:bCs/>
          <w:sz w:val="16"/>
          <w:szCs w:val="16"/>
        </w:rPr>
        <w:t>Извор: ЦРОСО</w:t>
      </w:r>
    </w:p>
    <w:p w14:paraId="59C8D526" w14:textId="6F058261" w:rsidR="008033CF" w:rsidRPr="00671E8F" w:rsidRDefault="008033CF" w:rsidP="000E0EDA">
      <w:pPr>
        <w:rPr>
          <w:rFonts w:cstheme="minorHAnsi"/>
          <w:bCs/>
          <w:spacing w:val="-2"/>
          <w:szCs w:val="72"/>
        </w:rPr>
      </w:pPr>
      <w:r w:rsidRPr="00671E8F">
        <w:rPr>
          <w:rFonts w:cstheme="minorHAnsi"/>
          <w:bCs/>
          <w:spacing w:val="-2"/>
          <w:szCs w:val="72"/>
        </w:rPr>
        <w:t xml:space="preserve">На основу података Републичког завода за статистику у периоду јануар-јул 2024. године, просечна нето зарада износила је 96.759 динара. У поређењу са истим периодом претходне године, просечна нето </w:t>
      </w:r>
      <w:r w:rsidR="00D8799A" w:rsidRPr="00671E8F">
        <w:rPr>
          <w:rFonts w:cstheme="minorHAnsi"/>
          <w:bCs/>
          <w:spacing w:val="-2"/>
          <w:szCs w:val="72"/>
        </w:rPr>
        <w:t>зарада номинално је већа за 15</w:t>
      </w:r>
      <w:r w:rsidRPr="00671E8F">
        <w:rPr>
          <w:rFonts w:cstheme="minorHAnsi"/>
          <w:bCs/>
          <w:spacing w:val="-2"/>
          <w:szCs w:val="72"/>
        </w:rPr>
        <w:t>%, док је реално повећање износило 9,6%. Висок</w:t>
      </w:r>
      <w:r w:rsidR="00984A71" w:rsidRPr="00671E8F">
        <w:rPr>
          <w:rFonts w:cstheme="minorHAnsi"/>
          <w:bCs/>
          <w:spacing w:val="-2"/>
          <w:szCs w:val="72"/>
        </w:rPr>
        <w:t xml:space="preserve"> </w:t>
      </w:r>
      <w:r w:rsidRPr="00671E8F">
        <w:rPr>
          <w:rFonts w:cstheme="minorHAnsi"/>
          <w:bCs/>
          <w:spacing w:val="-2"/>
          <w:szCs w:val="72"/>
        </w:rPr>
        <w:t>раст реалних зарада резултат је позитивних економских кретања и повећања продуктивности у различитим секторима привреде, као и значајног успоравања инфлације. Реални раст зарада у приватном сектору је износио 9,6% и био је вођен, пре свега повећањем зарада у прерађивачкој индустрији и трговини. Истовремено, забележено је и реално повећање зарада у јавном сектору од 9,8%, на шта је утицала одлука Владе о повећању зарада од 10% од јануара 2024. године, али и одлука о повећању зарада просветним и делу здравствених радника од 5,5% од октобра 2023. године. Повољној динамици зарада д</w:t>
      </w:r>
      <w:r w:rsidRPr="00671E8F">
        <w:t xml:space="preserve">опринело је и ефектуирање политике пореског растерећења зарада из претходног периода, које је праћено повећањем минималне цене рада </w:t>
      </w:r>
      <w:r w:rsidRPr="00671E8F">
        <w:rPr>
          <w:rFonts w:cstheme="minorHAnsi"/>
          <w:bCs/>
          <w:spacing w:val="-2"/>
          <w:szCs w:val="72"/>
        </w:rPr>
        <w:t xml:space="preserve">која је од 2024. године </w:t>
      </w:r>
      <w:r w:rsidR="00D8799A" w:rsidRPr="00671E8F">
        <w:rPr>
          <w:rFonts w:cstheme="minorHAnsi"/>
          <w:bCs/>
          <w:spacing w:val="-2"/>
          <w:szCs w:val="72"/>
        </w:rPr>
        <w:t>увећана за 17,8% и износи 271</w:t>
      </w:r>
      <w:r w:rsidRPr="00671E8F">
        <w:rPr>
          <w:rFonts w:cstheme="minorHAnsi"/>
          <w:bCs/>
          <w:spacing w:val="-2"/>
          <w:szCs w:val="72"/>
        </w:rPr>
        <w:t xml:space="preserve"> динара по радном часу, а </w:t>
      </w:r>
      <w:r w:rsidRPr="00671E8F">
        <w:t xml:space="preserve">са циљем унапређења животног стандарда лица са најнижим примањима. </w:t>
      </w:r>
      <w:r w:rsidRPr="00671E8F">
        <w:rPr>
          <w:rFonts w:cstheme="minorHAnsi"/>
          <w:bCs/>
          <w:spacing w:val="-2"/>
          <w:szCs w:val="72"/>
        </w:rPr>
        <w:t>Овакво кретање зарада утицало је позитивно и на однос просечне зараде и просечне потрошачке корпе, па је тако повећан са 86,6% колико је износио у 2023. години на 9</w:t>
      </w:r>
      <w:r w:rsidR="0094376E" w:rsidRPr="00671E8F">
        <w:rPr>
          <w:rFonts w:cstheme="minorHAnsi"/>
          <w:bCs/>
          <w:spacing w:val="-2"/>
          <w:szCs w:val="72"/>
        </w:rPr>
        <w:t>4</w:t>
      </w:r>
      <w:r w:rsidRPr="00671E8F">
        <w:rPr>
          <w:rFonts w:cstheme="minorHAnsi"/>
          <w:bCs/>
          <w:spacing w:val="-2"/>
          <w:szCs w:val="72"/>
        </w:rPr>
        <w:t>% у периоду јануар-ју</w:t>
      </w:r>
      <w:r w:rsidR="0094376E" w:rsidRPr="00671E8F">
        <w:rPr>
          <w:rFonts w:cstheme="minorHAnsi"/>
          <w:bCs/>
          <w:spacing w:val="-2"/>
          <w:szCs w:val="72"/>
        </w:rPr>
        <w:t>л</w:t>
      </w:r>
      <w:r w:rsidRPr="00671E8F">
        <w:rPr>
          <w:rFonts w:cstheme="minorHAnsi"/>
          <w:bCs/>
          <w:spacing w:val="-2"/>
          <w:szCs w:val="72"/>
        </w:rPr>
        <w:t xml:space="preserve"> 2024. године. Медијална нето зарада у периоду јануар–јул износила је 74.479 динара. Ови позитивни трендови указују на стабилан економски раст и унапређење услова рада у Србији, што је од кључног значаја за даљи развој и просперитет земље.</w:t>
      </w:r>
    </w:p>
    <w:p w14:paraId="08A60BAB" w14:textId="2F18FA2C" w:rsidR="008033CF" w:rsidRPr="00671E8F" w:rsidRDefault="008033CF" w:rsidP="000E0EDA">
      <w:pPr>
        <w:rPr>
          <w:rFonts w:cstheme="minorHAnsi"/>
          <w:bCs/>
          <w:szCs w:val="72"/>
          <w:highlight w:val="yellow"/>
        </w:rPr>
      </w:pPr>
      <w:r w:rsidRPr="00671E8F">
        <w:rPr>
          <w:rFonts w:cstheme="minorHAnsi"/>
          <w:bCs/>
          <w:szCs w:val="72"/>
        </w:rPr>
        <w:t xml:space="preserve">Према подацима Анкете о радној снази, у првом кварталу 2024. године, </w:t>
      </w:r>
      <w:r w:rsidR="006F184A" w:rsidRPr="00671E8F">
        <w:rPr>
          <w:rFonts w:cstheme="minorHAnsi"/>
          <w:bCs/>
          <w:szCs w:val="72"/>
        </w:rPr>
        <w:t xml:space="preserve">повећана је стопа запослености за 1,4 п.п, на 50,9% </w:t>
      </w:r>
      <w:r w:rsidRPr="00671E8F">
        <w:rPr>
          <w:rFonts w:cstheme="minorHAnsi"/>
          <w:bCs/>
          <w:szCs w:val="72"/>
        </w:rPr>
        <w:t xml:space="preserve">у поређењу са истим периодом претходне године, </w:t>
      </w:r>
      <w:r w:rsidR="006F184A" w:rsidRPr="00671E8F">
        <w:rPr>
          <w:rFonts w:cstheme="minorHAnsi"/>
          <w:bCs/>
          <w:szCs w:val="72"/>
        </w:rPr>
        <w:t xml:space="preserve">док је стопа незапослености смањена за 0,6 п.п. на 9,4%. Истовремено, </w:t>
      </w:r>
      <w:r w:rsidRPr="00671E8F">
        <w:rPr>
          <w:rFonts w:cstheme="minorHAnsi"/>
          <w:bCs/>
          <w:szCs w:val="72"/>
        </w:rPr>
        <w:t xml:space="preserve">повећан је број запосленог становништва (15 и више година) за 2,1%, уз смањење незапосленог дела становништва за 4,8%. Добра кретања настављена су и у другом </w:t>
      </w:r>
      <w:r w:rsidR="0010645C" w:rsidRPr="00671E8F">
        <w:rPr>
          <w:rFonts w:cstheme="minorHAnsi"/>
          <w:bCs/>
          <w:szCs w:val="72"/>
        </w:rPr>
        <w:t>кварталу</w:t>
      </w:r>
      <w:r w:rsidRPr="00671E8F">
        <w:rPr>
          <w:rFonts w:cstheme="minorHAnsi"/>
          <w:bCs/>
          <w:szCs w:val="72"/>
        </w:rPr>
        <w:t xml:space="preserve"> 2024. године, будући да је број запослених лица био повећан за 48.400</w:t>
      </w:r>
      <w:r w:rsidR="00E25157" w:rsidRPr="00671E8F">
        <w:rPr>
          <w:rFonts w:cstheme="minorHAnsi"/>
          <w:bCs/>
          <w:szCs w:val="72"/>
        </w:rPr>
        <w:t>, мг,</w:t>
      </w:r>
      <w:r w:rsidRPr="00671E8F">
        <w:rPr>
          <w:rFonts w:cstheme="minorHAnsi"/>
          <w:bCs/>
          <w:szCs w:val="72"/>
        </w:rPr>
        <w:t xml:space="preserve"> и износио је 2.899.700, док је број незапослених смањен за 44.800 на 257.800. Стопа запослености износила је 51,4%, што представља пораст од 1,1 процентних поена у односу на исти период претходне године. Овај раст запослености указује на позитивне трендове у запошљавању, што је резултат континуираних напора на унапређењу пословног окружења и привлачењу инвестиција. Нарочито значајно је да се пораст запослености у целини заснива на расту формалне запослености, која је кључна за економски раст и стабилност, јер ствара радна места која доприносе пореским приходима и пружа социјалну сигурност. Стопа незапослености смањена је на 8,2%, што је пад од 1,4 процентних поена у односу на исти период претходне године. Овај пад стопе незапослености показује да се тржиште рада стабилизује и да се отварају нове могућности за запошљавање. Такође, број становника ван радне снаге смањен је за 30.300, што додатно потврђује позитивне промене на тржишту рада. Неформална запосленост, која је често индикатор несигурних радних места, такође бележи смањење од 8.100. Стопа неформалне запослености износила је 11,8%, што је смањење од 0,5 п.п. у односу на исти период претходне године. Посебно је значајно смањење неформалне запослености ван пољопривреде, која је пала на 5,9%. Стопа незапослености младог становништва је у овом периоду смањена за 4,2 п.п, на 20,2%.</w:t>
      </w:r>
    </w:p>
    <w:p w14:paraId="651A5212" w14:textId="77777777" w:rsidR="008033CF" w:rsidRPr="00671E8F" w:rsidRDefault="008033CF" w:rsidP="000E0EDA">
      <w:pPr>
        <w:pStyle w:val="Caption"/>
        <w:keepNext/>
        <w:spacing w:after="40"/>
        <w:rPr>
          <w:rFonts w:cstheme="minorHAnsi"/>
          <w:b w:val="0"/>
          <w:iCs w:val="0"/>
          <w:szCs w:val="22"/>
        </w:rPr>
      </w:pPr>
      <w:r w:rsidRPr="00671E8F">
        <w:rPr>
          <w:rFonts w:cstheme="minorHAnsi"/>
          <w:iCs w:val="0"/>
          <w:szCs w:val="22"/>
        </w:rPr>
        <w:lastRenderedPageBreak/>
        <w:t>Кретање основних показатеља тржишта рада</w:t>
      </w:r>
    </w:p>
    <w:p w14:paraId="3DCB6A29" w14:textId="77777777" w:rsidR="008033CF" w:rsidRPr="00671E8F" w:rsidRDefault="008033CF" w:rsidP="000E0EDA">
      <w:pPr>
        <w:spacing w:after="0"/>
        <w:rPr>
          <w:rFonts w:cstheme="minorHAnsi"/>
          <w:bCs/>
          <w:szCs w:val="72"/>
          <w:highlight w:val="yellow"/>
        </w:rPr>
      </w:pPr>
      <w:r w:rsidRPr="00671E8F">
        <w:rPr>
          <w:noProof/>
          <w:lang w:val="en-US"/>
        </w:rPr>
        <w:drawing>
          <wp:inline distT="0" distB="0" distL="0" distR="0" wp14:anchorId="6ACB653A" wp14:editId="17F763A0">
            <wp:extent cx="2743200" cy="1993900"/>
            <wp:effectExtent l="0" t="0" r="0" b="6350"/>
            <wp:docPr id="110" name="Chart 110">
              <a:extLst xmlns:a="http://schemas.openxmlformats.org/drawingml/2006/main">
                <a:ext uri="{FF2B5EF4-FFF2-40B4-BE49-F238E27FC236}">
                  <a16:creationId xmlns:a16="http://schemas.microsoft.com/office/drawing/2014/main" id="{00000000-0008-0000-0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3FB476C5" w14:textId="77777777" w:rsidR="008033CF" w:rsidRPr="00671E8F" w:rsidRDefault="008033CF" w:rsidP="000E0EDA">
      <w:pPr>
        <w:spacing w:before="40" w:after="120"/>
        <w:rPr>
          <w:rFonts w:cstheme="minorHAnsi"/>
          <w:bCs/>
          <w:szCs w:val="72"/>
        </w:rPr>
      </w:pPr>
      <w:r w:rsidRPr="00671E8F">
        <w:rPr>
          <w:rFonts w:cstheme="minorHAnsi"/>
          <w:bCs/>
          <w:sz w:val="16"/>
          <w:szCs w:val="72"/>
        </w:rPr>
        <w:t>Извор: РЗС</w:t>
      </w:r>
    </w:p>
    <w:p w14:paraId="093D2F2C" w14:textId="0F8AC3E1" w:rsidR="008033CF" w:rsidRPr="00671E8F" w:rsidRDefault="008033CF" w:rsidP="000E0EDA">
      <w:pPr>
        <w:rPr>
          <w:highlight w:val="yellow"/>
        </w:rPr>
      </w:pPr>
      <w:r w:rsidRPr="00671E8F">
        <w:t xml:space="preserve">У наредном периоду очекује се да ће тржиште рада задржати позитивне трендове, у складу са повољним макроекономским показатељима, као и услед подстицања предузетништва, модернизације образовног система и подршке запошљавању рањивих група. Повећање мобилности радне снаге и јачање сарадње између образовних институција и привреде допринеће даљем смањењу незапослености и повећању запослености, чиме ће се унапредити животни стандард становништва. Креатори јавних политика активно раде на мерама усмереним на унапређење квалитета радне снаге и улагање у људски капитал, како би се олакшало запошљавање, нарочито у секторима са већом додатом вредношћу. Подаци о порасту броја запослених у сектору информационих технологија (ИКТ) за 59.552 лица и у научно-техничким делатностима за 53.141 лице између 2014. и јануара–августа 2024. године потврђују успешност ових мера. Наставиће се напори усмерени на смањивање запослених у сивој економији и њихов прелазак у формални сектор, што ће побољшати услове рада и позитивно утицати на приходе буџета. У средњорочном периоду, очекују се позитивни ефекти мера активне политике запошљавања, преквалификација и подршке социјалном предузетништву, које ће олакшати приступ радним местима социјално рањивим категоријама и осигурати инклузивност привредног раста. Пројекције указују на смањење стопе незапослености и наставак реалног раста зарада. У приватном сектору, очекује се да ће раст зарада бити у корелацији са растом </w:t>
      </w:r>
      <w:r w:rsidRPr="00671E8F">
        <w:t xml:space="preserve">продуктивности, док ће зараде у јавном сектору расти у складу са утврђеним фискалним правилима. </w:t>
      </w:r>
    </w:p>
    <w:p w14:paraId="0B476907" w14:textId="77777777" w:rsidR="008033CF" w:rsidRPr="00671E8F" w:rsidRDefault="008033CF" w:rsidP="008527D6">
      <w:pPr>
        <w:rPr>
          <w:rFonts w:cstheme="minorHAnsi"/>
          <w:b/>
          <w:color w:val="2F5496" w:themeColor="accent1" w:themeShade="BF"/>
          <w:sz w:val="22"/>
        </w:rPr>
      </w:pPr>
      <w:r w:rsidRPr="00671E8F">
        <w:rPr>
          <w:rFonts w:cstheme="minorHAnsi"/>
          <w:b/>
          <w:color w:val="2F5496" w:themeColor="accent1" w:themeShade="BF"/>
          <w:sz w:val="22"/>
        </w:rPr>
        <w:t>Монетарна кретања</w:t>
      </w:r>
    </w:p>
    <w:p w14:paraId="4D94F44E" w14:textId="67DFD4E0" w:rsidR="008033CF" w:rsidRPr="00671E8F" w:rsidRDefault="008033CF" w:rsidP="000E0EDA">
      <w:pPr>
        <w:spacing w:after="120"/>
        <w:rPr>
          <w:highlight w:val="yellow"/>
        </w:rPr>
      </w:pPr>
      <w:bookmarkStart w:id="18" w:name="_Hlk180001195"/>
      <w:r w:rsidRPr="00671E8F">
        <w:t xml:space="preserve">Од априла 2023. године, у складу са очекивањима, међугодишња инфлација је на опадајућој путањи и у мају 2024. године се вратила у границе циља, а у септембру је износила 4,2%. Успоравању инфлације допринели су ефекти претходног заоштравања монетарних услова, успоравање увозне инфлације, још увек ниска екстерна тражња, као и наставак смањења инфлационих очекивања. Посматрано по главним групама производа и услуга најзначајнији допринос смиривању инфлације имао је успорени раст цена хране и цена енергената. </w:t>
      </w:r>
      <w:r w:rsidR="00601FE6" w:rsidRPr="00671E8F">
        <w:t>Такође у септембру</w:t>
      </w:r>
      <w:r w:rsidRPr="00671E8F">
        <w:t>, базна инфлација (мерена променом индекса потрошачких цена по искључењу хране, енергије, алкохола и цигарета), била је нешто виша и износила је 5,3%, што је било последица, пре свега, бржег раста цена услуга, а таква кретања карактеристична су и за друге земље.</w:t>
      </w:r>
    </w:p>
    <w:bookmarkEnd w:id="18"/>
    <w:p w14:paraId="666D281B" w14:textId="77777777" w:rsidR="008033CF" w:rsidRPr="00671E8F" w:rsidRDefault="008033CF" w:rsidP="000E0EDA">
      <w:pPr>
        <w:pStyle w:val="Caption"/>
        <w:keepNext/>
        <w:spacing w:after="40"/>
        <w:rPr>
          <w:rFonts w:cstheme="minorHAnsi"/>
          <w:iCs w:val="0"/>
          <w:szCs w:val="22"/>
        </w:rPr>
      </w:pPr>
      <w:r w:rsidRPr="00671E8F">
        <w:rPr>
          <w:rFonts w:cstheme="minorHAnsi"/>
          <w:iCs w:val="0"/>
          <w:szCs w:val="22"/>
        </w:rPr>
        <w:t>Месечна и међугодишња инфлација, %</w:t>
      </w:r>
    </w:p>
    <w:p w14:paraId="04A87080" w14:textId="77777777" w:rsidR="008033CF" w:rsidRPr="00671E8F" w:rsidRDefault="008033CF" w:rsidP="000E0EDA">
      <w:pPr>
        <w:spacing w:after="40"/>
        <w:rPr>
          <w:highlight w:val="yellow"/>
        </w:rPr>
      </w:pPr>
      <w:r w:rsidRPr="00671E8F">
        <w:rPr>
          <w:noProof/>
          <w:lang w:val="en-US"/>
        </w:rPr>
        <w:drawing>
          <wp:inline distT="0" distB="0" distL="0" distR="0" wp14:anchorId="08B5A6DA" wp14:editId="3BCEB5BD">
            <wp:extent cx="2743200" cy="2087880"/>
            <wp:effectExtent l="0" t="0" r="0" b="7620"/>
            <wp:docPr id="111" name="Chart 111">
              <a:extLst xmlns:a="http://schemas.openxmlformats.org/drawingml/2006/main">
                <a:ext uri="{FF2B5EF4-FFF2-40B4-BE49-F238E27FC236}">
                  <a16:creationId xmlns:a16="http://schemas.microsoft.com/office/drawing/2014/main" id="{00000000-0008-0000-11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4CF08610" w14:textId="77777777" w:rsidR="008033CF" w:rsidRPr="00671E8F" w:rsidRDefault="008033CF" w:rsidP="000E0EDA">
      <w:pPr>
        <w:rPr>
          <w:rFonts w:cstheme="minorHAnsi"/>
          <w:bCs/>
          <w:szCs w:val="72"/>
        </w:rPr>
      </w:pPr>
      <w:r w:rsidRPr="00671E8F">
        <w:rPr>
          <w:rFonts w:cstheme="minorHAnsi"/>
          <w:bCs/>
          <w:sz w:val="16"/>
          <w:szCs w:val="72"/>
        </w:rPr>
        <w:t>Извор: РЗС и НБС</w:t>
      </w:r>
    </w:p>
    <w:p w14:paraId="4253EA0E" w14:textId="77777777" w:rsidR="008033CF" w:rsidRPr="00671E8F" w:rsidRDefault="008033CF" w:rsidP="000E0EDA">
      <w:pPr>
        <w:pStyle w:val="Caption"/>
        <w:keepNext/>
        <w:spacing w:after="80"/>
        <w:jc w:val="both"/>
        <w:rPr>
          <w:b w:val="0"/>
          <w:iCs w:val="0"/>
          <w:color w:val="44546A" w:themeColor="text2"/>
          <w:szCs w:val="22"/>
        </w:rPr>
      </w:pPr>
      <w:r w:rsidRPr="00671E8F">
        <w:rPr>
          <w:b w:val="0"/>
          <w:iCs w:val="0"/>
          <w:color w:val="44546A" w:themeColor="text2"/>
          <w:szCs w:val="22"/>
        </w:rPr>
        <w:t xml:space="preserve">Народна банка Србије (НБС) одлучила је у октобру 2024. године да задржи референтну каматну стопу на нивоу од 5,75%. Ова одлука долази након смањења каматне стопе за укупно 75 базних поена почев од јуна. Извршни одбор НБС је нагласио да ће ефекти овог ублажавања монетарне политике бити видљиви и у наредном периоду, те да је потребан опрезан приступ у вођењу монетарне </w:t>
      </w:r>
      <w:r w:rsidRPr="00671E8F">
        <w:rPr>
          <w:b w:val="0"/>
          <w:iCs w:val="0"/>
          <w:color w:val="44546A" w:themeColor="text2"/>
          <w:szCs w:val="22"/>
        </w:rPr>
        <w:lastRenderedPageBreak/>
        <w:t>политике имајући у виду геополитичку неизвесност.</w:t>
      </w:r>
    </w:p>
    <w:p w14:paraId="2846F78D" w14:textId="77777777" w:rsidR="008033CF" w:rsidRPr="00671E8F" w:rsidRDefault="008033CF" w:rsidP="000E0EDA">
      <w:pPr>
        <w:pStyle w:val="Caption"/>
        <w:keepNext/>
        <w:spacing w:after="80"/>
        <w:rPr>
          <w:rFonts w:cstheme="minorHAnsi"/>
          <w:iCs w:val="0"/>
          <w:szCs w:val="22"/>
        </w:rPr>
      </w:pPr>
      <w:r w:rsidRPr="00671E8F">
        <w:rPr>
          <w:rFonts w:cstheme="minorHAnsi"/>
          <w:iCs w:val="0"/>
          <w:szCs w:val="22"/>
        </w:rPr>
        <w:t>Инфлација и референтна каматна стопа, %</w:t>
      </w:r>
    </w:p>
    <w:p w14:paraId="4593953E" w14:textId="77777777" w:rsidR="008033CF" w:rsidRPr="00671E8F" w:rsidRDefault="008033CF" w:rsidP="00871703">
      <w:pPr>
        <w:spacing w:after="40"/>
        <w:rPr>
          <w:rFonts w:cstheme="minorHAnsi"/>
          <w:bCs/>
          <w:szCs w:val="72"/>
          <w:highlight w:val="yellow"/>
        </w:rPr>
      </w:pPr>
      <w:r w:rsidRPr="00671E8F">
        <w:rPr>
          <w:noProof/>
          <w:lang w:val="en-US"/>
        </w:rPr>
        <w:drawing>
          <wp:inline distT="0" distB="0" distL="0" distR="0" wp14:anchorId="041EE483" wp14:editId="303128B1">
            <wp:extent cx="2743200" cy="2006600"/>
            <wp:effectExtent l="0" t="0" r="0" b="0"/>
            <wp:docPr id="112" name="Chart 112">
              <a:extLst xmlns:a="http://schemas.openxmlformats.org/drawingml/2006/main">
                <a:ext uri="{FF2B5EF4-FFF2-40B4-BE49-F238E27FC236}">
                  <a16:creationId xmlns:a16="http://schemas.microsoft.com/office/drawing/2014/main" id="{00000000-0008-0000-1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49D14E21" w14:textId="77777777" w:rsidR="008033CF" w:rsidRPr="00671E8F" w:rsidRDefault="008033CF" w:rsidP="00871703">
      <w:pPr>
        <w:rPr>
          <w:rFonts w:cstheme="minorHAnsi"/>
          <w:bCs/>
          <w:szCs w:val="72"/>
        </w:rPr>
      </w:pPr>
      <w:r w:rsidRPr="00671E8F">
        <w:rPr>
          <w:rFonts w:cstheme="minorHAnsi"/>
          <w:bCs/>
          <w:sz w:val="16"/>
          <w:szCs w:val="72"/>
        </w:rPr>
        <w:t>Извор: РЗС и НБС</w:t>
      </w:r>
    </w:p>
    <w:p w14:paraId="7DAF2353" w14:textId="77777777" w:rsidR="008033CF" w:rsidRPr="00671E8F" w:rsidRDefault="008033CF" w:rsidP="00D651FB">
      <w:pPr>
        <w:rPr>
          <w:rFonts w:cstheme="minorHAnsi"/>
        </w:rPr>
      </w:pPr>
      <w:r w:rsidRPr="00671E8F">
        <w:t>Са циљем даљег смиривања инфлације и негативних социјалних и економских ефеката раста светских цена хране и енергената, Влада је предузела низ мера административног ограничавања цена. Ограничене су цене основних животних намирница (брашно тип 400 и 500), уредбом која је на снази до 28. фебруара 2025. године. Такође, уредбом о обавезној производњи и промету хлеба од брашна „Т-500“, одређена је његова максимална малопродајна цена. Уредбом о ограничењу висине цена нафтних деривата прописује се начин обрачуна највиших цена нафтних деривата у малопродаји, евродизела и европремијума БМБ 95. Посебно је ограничена цена деривата за пољопривреднике.</w:t>
      </w:r>
      <w:r w:rsidRPr="00671E8F">
        <w:rPr>
          <w:rFonts w:cstheme="minorHAnsi"/>
        </w:rPr>
        <w:t xml:space="preserve"> Циљ ових мера је смањење инфлаторних притисака и инфлационих очекивања, као и редовно и несметано снабдевање тржишта храном и енергентима.</w:t>
      </w:r>
    </w:p>
    <w:p w14:paraId="42EB111A" w14:textId="5F4DB5D4" w:rsidR="008033CF" w:rsidRPr="00671E8F" w:rsidRDefault="008033CF" w:rsidP="000E0EDA">
      <w:pPr>
        <w:pStyle w:val="Caption"/>
        <w:jc w:val="both"/>
        <w:rPr>
          <w:rFonts w:cstheme="minorHAnsi"/>
          <w:b w:val="0"/>
          <w:iCs w:val="0"/>
          <w:color w:val="44546A" w:themeColor="text2"/>
          <w:szCs w:val="22"/>
          <w:highlight w:val="yellow"/>
        </w:rPr>
      </w:pPr>
      <w:r w:rsidRPr="00671E8F">
        <w:rPr>
          <w:rFonts w:cstheme="minorHAnsi"/>
          <w:b w:val="0"/>
          <w:iCs w:val="0"/>
          <w:color w:val="44546A" w:themeColor="text2"/>
          <w:szCs w:val="22"/>
        </w:rPr>
        <w:t xml:space="preserve">Кредитна активност у 2024. години бележи убрзање раста. Такође, од почетка године повољнији су услови финансирања приватног сектора и државе. У паду су каматне стопе на динарске државне ХоВ, док су каматне стопе на динарске кредите приватном сектору у паду од четвртог квартала 2023. године. Укупни домаћи кредити су убрзали мг. раст на 5,8% у августу, захваљујући расту тражње привреде и становништва за кредитима у условима ублажених кредитних стандарда за динарско кредитирање и повољније цене задуживања. </w:t>
      </w:r>
      <w:r w:rsidRPr="00671E8F">
        <w:rPr>
          <w:rFonts w:cstheme="minorHAnsi"/>
          <w:b w:val="0"/>
          <w:iCs w:val="0"/>
          <w:color w:val="44546A" w:themeColor="text2"/>
          <w:szCs w:val="22"/>
        </w:rPr>
        <w:t>Кредити становништву су у августу забележили мг. раст од 6,5%, а кредити привреди од 5,2% мг.</w:t>
      </w:r>
      <w:r w:rsidRPr="00671E8F">
        <w:rPr>
          <w:rFonts w:cstheme="minorHAnsi"/>
          <w:b w:val="0"/>
          <w:iCs w:val="0"/>
          <w:color w:val="44546A" w:themeColor="text2"/>
          <w:szCs w:val="22"/>
          <w:highlight w:val="yellow"/>
        </w:rPr>
        <w:t xml:space="preserve"> </w:t>
      </w:r>
      <w:r w:rsidRPr="00671E8F">
        <w:rPr>
          <w:rFonts w:cstheme="minorHAnsi"/>
          <w:b w:val="0"/>
          <w:iCs w:val="0"/>
          <w:color w:val="44546A" w:themeColor="text2"/>
          <w:szCs w:val="22"/>
        </w:rPr>
        <w:t>Позитиван допринос расту кредита долази од кредита становништву, уз нешто блажи допринос раста кредита привреди. У складу са одлуком НБС да ограничи ниво каматних стопа на евроиндексиране стамбене кредите до краја 2024, просечна каматна стопа наставила је да се креће на нивоу од око 5%. На раст кредита привреди најзначајнији позитиван допринос дали су кредити за ликвидност и обртна средства и инвестициони кредити. Код кредита становништву најзначајнији је допринос динарских готовинских кредита и девизних и девизно индексираних стамбених кредита.</w:t>
      </w:r>
      <w:r w:rsidR="00984A71" w:rsidRPr="00671E8F">
        <w:rPr>
          <w:rFonts w:cstheme="minorHAnsi"/>
          <w:b w:val="0"/>
          <w:iCs w:val="0"/>
          <w:color w:val="44546A" w:themeColor="text2"/>
          <w:szCs w:val="22"/>
        </w:rPr>
        <w:t xml:space="preserve"> </w:t>
      </w:r>
      <w:r w:rsidRPr="00671E8F">
        <w:rPr>
          <w:rFonts w:cstheme="minorHAnsi"/>
          <w:b w:val="0"/>
          <w:iCs w:val="0"/>
          <w:color w:val="44546A" w:themeColor="text2"/>
          <w:szCs w:val="22"/>
        </w:rPr>
        <w:t xml:space="preserve">Стабилност банкарског сектора је очувана и додатно ојачана и смањено је учешће проблематичних кредита на њихов најнижи ниво од 2,7% у августу 2024. године. </w:t>
      </w:r>
    </w:p>
    <w:p w14:paraId="4EFBE64A" w14:textId="77777777" w:rsidR="008033CF" w:rsidRPr="00671E8F" w:rsidRDefault="008033CF" w:rsidP="008527D6">
      <w:pPr>
        <w:pStyle w:val="Caption"/>
        <w:keepNext/>
        <w:rPr>
          <w:rFonts w:cstheme="minorHAnsi"/>
          <w:b w:val="0"/>
          <w:i/>
          <w:iCs w:val="0"/>
          <w:szCs w:val="22"/>
        </w:rPr>
      </w:pPr>
      <w:r w:rsidRPr="00671E8F">
        <w:rPr>
          <w:rFonts w:cstheme="minorHAnsi"/>
          <w:iCs w:val="0"/>
          <w:szCs w:val="22"/>
        </w:rPr>
        <w:t>Проблематични кредити, млрд РСД</w:t>
      </w:r>
    </w:p>
    <w:p w14:paraId="30BE888A" w14:textId="77777777" w:rsidR="008033CF" w:rsidRPr="00671E8F" w:rsidRDefault="008033CF" w:rsidP="0021538A">
      <w:pPr>
        <w:spacing w:after="40"/>
        <w:rPr>
          <w:rFonts w:cstheme="minorHAnsi"/>
          <w:bCs/>
          <w:szCs w:val="72"/>
          <w:highlight w:val="yellow"/>
        </w:rPr>
      </w:pPr>
      <w:r w:rsidRPr="00671E8F">
        <w:rPr>
          <w:noProof/>
          <w:lang w:val="en-US"/>
        </w:rPr>
        <w:drawing>
          <wp:inline distT="0" distB="0" distL="0" distR="0" wp14:anchorId="68F2E37E" wp14:editId="490E46C5">
            <wp:extent cx="2743200" cy="1673860"/>
            <wp:effectExtent l="0" t="0" r="0" b="2540"/>
            <wp:docPr id="113" name="Chart 113">
              <a:extLst xmlns:a="http://schemas.openxmlformats.org/drawingml/2006/main">
                <a:ext uri="{FF2B5EF4-FFF2-40B4-BE49-F238E27FC236}">
                  <a16:creationId xmlns:a16="http://schemas.microsoft.com/office/drawing/2014/main" id="{00000000-0008-0000-1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1888DFF1" w14:textId="77777777" w:rsidR="008033CF" w:rsidRPr="00671E8F" w:rsidRDefault="008033CF" w:rsidP="0021538A">
      <w:pPr>
        <w:spacing w:after="120"/>
        <w:rPr>
          <w:rFonts w:cstheme="minorHAnsi"/>
        </w:rPr>
      </w:pPr>
      <w:r w:rsidRPr="00671E8F">
        <w:rPr>
          <w:rFonts w:cstheme="minorHAnsi"/>
          <w:bCs/>
          <w:sz w:val="16"/>
          <w:szCs w:val="72"/>
        </w:rPr>
        <w:t>Извор: НБС</w:t>
      </w:r>
    </w:p>
    <w:p w14:paraId="5603D0CE" w14:textId="77777777" w:rsidR="008033CF" w:rsidRPr="00671E8F" w:rsidRDefault="008033CF" w:rsidP="000E0EDA">
      <w:pPr>
        <w:rPr>
          <w:rFonts w:cstheme="minorHAnsi"/>
        </w:rPr>
      </w:pPr>
      <w:r w:rsidRPr="00671E8F">
        <w:rPr>
          <w:rFonts w:cstheme="minorHAnsi"/>
        </w:rPr>
        <w:t>У условима апрецијацијских притисака, одржана је релативна стабилност девизног курса, уз рекордно висок ниво девизних резерви НБС. У 2023. динар је ојачао према евру за 0,1%, а за толико је ојачао и од почетка 2024. године. На апрецијацијске притиске одражавају се повољна платнобилансна кретања, висок откуп ефективног страног новца и прилив девиза по основу послова с платним картицама. Тако у периоду јануар- септембар 2024. године у односу на исти период претходне године динар је према евру номинално ојачао за 0,1%. С обзиром на већу понуду девиза од тражње, НБС је у периоду јануар-септембар била нето купац девиза у износу од 1,7 млрд евра.</w:t>
      </w:r>
    </w:p>
    <w:p w14:paraId="6B6E47C6" w14:textId="77777777" w:rsidR="008033CF" w:rsidRPr="00671E8F" w:rsidRDefault="008033CF" w:rsidP="005516BC">
      <w:pPr>
        <w:pStyle w:val="Caption"/>
        <w:keepNext/>
        <w:spacing w:after="0"/>
        <w:rPr>
          <w:rFonts w:cstheme="minorHAnsi"/>
          <w:b w:val="0"/>
          <w:i/>
          <w:iCs w:val="0"/>
          <w:szCs w:val="22"/>
        </w:rPr>
      </w:pPr>
      <w:r w:rsidRPr="00671E8F">
        <w:rPr>
          <w:rFonts w:cstheme="minorHAnsi"/>
          <w:iCs w:val="0"/>
          <w:szCs w:val="22"/>
        </w:rPr>
        <w:lastRenderedPageBreak/>
        <w:t>Девизни курс и интервенције НБС на девизном тржишту</w:t>
      </w:r>
    </w:p>
    <w:p w14:paraId="00C46813" w14:textId="77777777" w:rsidR="008033CF" w:rsidRPr="00671E8F" w:rsidRDefault="008033CF" w:rsidP="00F762CA">
      <w:pPr>
        <w:spacing w:after="20"/>
        <w:rPr>
          <w:rFonts w:cstheme="minorHAnsi"/>
          <w:bCs/>
          <w:szCs w:val="72"/>
          <w:highlight w:val="yellow"/>
        </w:rPr>
      </w:pPr>
      <w:r w:rsidRPr="00671E8F">
        <w:rPr>
          <w:noProof/>
          <w:lang w:val="en-US"/>
        </w:rPr>
        <w:drawing>
          <wp:inline distT="0" distB="0" distL="0" distR="0" wp14:anchorId="43BDBFEB" wp14:editId="617877BB">
            <wp:extent cx="2743200" cy="1698625"/>
            <wp:effectExtent l="0" t="0" r="0" b="0"/>
            <wp:docPr id="114" name="Chart 114">
              <a:extLst xmlns:a="http://schemas.openxmlformats.org/drawingml/2006/main">
                <a:ext uri="{FF2B5EF4-FFF2-40B4-BE49-F238E27FC236}">
                  <a16:creationId xmlns:a16="http://schemas.microsoft.com/office/drawing/2014/main" id="{00000000-0008-0000-1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09D95F2C" w14:textId="77777777" w:rsidR="008033CF" w:rsidRPr="00671E8F" w:rsidRDefault="008033CF" w:rsidP="00852421">
      <w:pPr>
        <w:spacing w:after="120"/>
        <w:rPr>
          <w:rFonts w:cstheme="minorHAnsi"/>
          <w:bCs/>
          <w:szCs w:val="72"/>
        </w:rPr>
      </w:pPr>
      <w:r w:rsidRPr="00671E8F">
        <w:rPr>
          <w:rFonts w:cstheme="minorHAnsi"/>
          <w:bCs/>
          <w:sz w:val="16"/>
          <w:szCs w:val="72"/>
        </w:rPr>
        <w:t>Извор: НБС</w:t>
      </w:r>
    </w:p>
    <w:p w14:paraId="7324CC49" w14:textId="50CECBB2" w:rsidR="008033CF" w:rsidRPr="00671E8F" w:rsidRDefault="008033CF" w:rsidP="00F762CA">
      <w:pPr>
        <w:rPr>
          <w:rFonts w:cstheme="minorHAnsi"/>
          <w:bCs/>
          <w:szCs w:val="72"/>
          <w:highlight w:val="yellow"/>
        </w:rPr>
      </w:pPr>
      <w:r w:rsidRPr="00671E8F">
        <w:rPr>
          <w:rFonts w:cstheme="minorHAnsi"/>
          <w:bCs/>
          <w:szCs w:val="72"/>
        </w:rPr>
        <w:t>Бруто</w:t>
      </w:r>
      <w:r w:rsidRPr="00671E8F">
        <w:rPr>
          <w:rFonts w:cstheme="minorHAnsi"/>
          <w:b/>
          <w:bCs/>
          <w:szCs w:val="72"/>
        </w:rPr>
        <w:t xml:space="preserve"> </w:t>
      </w:r>
      <w:r w:rsidRPr="00671E8F">
        <w:rPr>
          <w:rFonts w:cstheme="minorHAnsi"/>
          <w:bCs/>
          <w:szCs w:val="72"/>
        </w:rPr>
        <w:t xml:space="preserve">девизне резерве у </w:t>
      </w:r>
      <w:r w:rsidR="00322EA1" w:rsidRPr="00671E8F">
        <w:rPr>
          <w:rFonts w:cstheme="minorHAnsi"/>
          <w:bCs/>
          <w:szCs w:val="72"/>
        </w:rPr>
        <w:t>девет месеци</w:t>
      </w:r>
      <w:r w:rsidRPr="00671E8F">
        <w:rPr>
          <w:rFonts w:cstheme="minorHAnsi"/>
          <w:bCs/>
          <w:szCs w:val="72"/>
        </w:rPr>
        <w:t xml:space="preserve"> 2024. године су повећане за </w:t>
      </w:r>
      <w:r w:rsidR="00322EA1" w:rsidRPr="00671E8F">
        <w:rPr>
          <w:rFonts w:cstheme="minorHAnsi"/>
          <w:bCs/>
          <w:szCs w:val="72"/>
        </w:rPr>
        <w:t>3,4</w:t>
      </w:r>
      <w:r w:rsidRPr="00671E8F">
        <w:rPr>
          <w:rFonts w:cstheme="minorHAnsi"/>
          <w:bCs/>
          <w:szCs w:val="72"/>
        </w:rPr>
        <w:t xml:space="preserve"> </w:t>
      </w:r>
      <w:r w:rsidR="00322EA1" w:rsidRPr="00671E8F">
        <w:rPr>
          <w:rFonts w:cstheme="minorHAnsi"/>
          <w:bCs/>
          <w:szCs w:val="72"/>
        </w:rPr>
        <w:t>млрд е</w:t>
      </w:r>
      <w:r w:rsidRPr="00671E8F">
        <w:rPr>
          <w:rFonts w:cstheme="minorHAnsi"/>
          <w:bCs/>
          <w:szCs w:val="72"/>
        </w:rPr>
        <w:t xml:space="preserve">вра и </w:t>
      </w:r>
      <w:r w:rsidR="00322EA1" w:rsidRPr="00671E8F">
        <w:rPr>
          <w:rFonts w:cstheme="minorHAnsi"/>
          <w:bCs/>
          <w:szCs w:val="72"/>
        </w:rPr>
        <w:t xml:space="preserve">у септембру су </w:t>
      </w:r>
      <w:r w:rsidRPr="00671E8F">
        <w:rPr>
          <w:rFonts w:cstheme="minorHAnsi"/>
          <w:bCs/>
          <w:szCs w:val="72"/>
        </w:rPr>
        <w:t>износиле су 28,3 млрд евра. Овај ниво је највиши од када се прате подаци на овај начин (од 2000. године). То је било довољно за покривеност новчане масе М1 од 183,0% и 7,3 месеци увоза робе и услуга. Повећање девизних резерви у септембру остварено је по основу издвајања девизне обавезне резерве банака, управљања девизним резервама, по основу донација и другим основима.</w:t>
      </w:r>
    </w:p>
    <w:p w14:paraId="65BE05CA" w14:textId="77777777" w:rsidR="008033CF" w:rsidRPr="00671E8F" w:rsidRDefault="008033CF" w:rsidP="00F762CA">
      <w:pPr>
        <w:spacing w:after="40"/>
        <w:jc w:val="center"/>
        <w:rPr>
          <w:rFonts w:cstheme="minorHAnsi"/>
          <w:b/>
          <w:i/>
          <w:iCs/>
          <w:color w:val="002060"/>
        </w:rPr>
      </w:pPr>
      <w:r w:rsidRPr="00671E8F">
        <w:rPr>
          <w:rFonts w:cstheme="minorHAnsi"/>
          <w:b/>
          <w:color w:val="002060"/>
        </w:rPr>
        <w:t>Девизне резерве и девизна штедња, млрд евра</w:t>
      </w:r>
    </w:p>
    <w:p w14:paraId="45F102F4" w14:textId="77777777" w:rsidR="008033CF" w:rsidRPr="00671E8F" w:rsidRDefault="008033CF" w:rsidP="008A5B9A">
      <w:pPr>
        <w:spacing w:after="0"/>
        <w:rPr>
          <w:rFonts w:cstheme="minorHAnsi"/>
          <w:bCs/>
          <w:szCs w:val="72"/>
          <w:highlight w:val="yellow"/>
        </w:rPr>
      </w:pPr>
      <w:r w:rsidRPr="00671E8F">
        <w:rPr>
          <w:noProof/>
          <w:lang w:val="en-US"/>
        </w:rPr>
        <w:drawing>
          <wp:inline distT="0" distB="0" distL="0" distR="0" wp14:anchorId="65962735" wp14:editId="4C6B1A22">
            <wp:extent cx="2743200" cy="1799590"/>
            <wp:effectExtent l="0" t="0" r="0" b="0"/>
            <wp:docPr id="115" name="Chart 115">
              <a:extLst xmlns:a="http://schemas.openxmlformats.org/drawingml/2006/main">
                <a:ext uri="{FF2B5EF4-FFF2-40B4-BE49-F238E27FC236}">
                  <a16:creationId xmlns:a16="http://schemas.microsoft.com/office/drawing/2014/main" id="{00000000-0008-0000-1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4A0B2C0C" w14:textId="77777777" w:rsidR="008033CF" w:rsidRPr="00671E8F" w:rsidRDefault="008033CF" w:rsidP="008A5B9A">
      <w:pPr>
        <w:spacing w:after="120"/>
        <w:rPr>
          <w:rFonts w:cstheme="minorHAnsi"/>
          <w:bCs/>
          <w:szCs w:val="72"/>
        </w:rPr>
      </w:pPr>
      <w:r w:rsidRPr="00671E8F">
        <w:rPr>
          <w:rFonts w:cstheme="minorHAnsi"/>
          <w:bCs/>
          <w:sz w:val="16"/>
          <w:szCs w:val="72"/>
        </w:rPr>
        <w:t>Извор: НБС</w:t>
      </w:r>
    </w:p>
    <w:p w14:paraId="29A5A74C" w14:textId="77777777" w:rsidR="008033CF" w:rsidRPr="00671E8F" w:rsidRDefault="008033CF" w:rsidP="000E0EDA">
      <w:pPr>
        <w:spacing w:after="120"/>
        <w:rPr>
          <w:highlight w:val="yellow"/>
        </w:rPr>
      </w:pPr>
      <w:r w:rsidRPr="00671E8F">
        <w:t xml:space="preserve">Према пројекцији инфлација ће до краја 2024. године наставити да се креће на нивоу од око 4%, а током следеће године ће у просеку износити 3,5%, уз приближавање централној вредности циља од 3% до краја хоризонта пројекције. На наставак успоравања инфлације највише ће деловати рестриктивни монетарни услови, нижа увозна инфлација и инфлациона очекивања, очекивано постепено успоравање раста реалних зарада и очекивани пад светске цене нафте. </w:t>
      </w:r>
      <w:r w:rsidRPr="00671E8F">
        <w:t>Ризици пројекције пре свега потичу из међународног окружења, а односе се на геополитичке прилике и изгледе глобалног привредног раста, као и њихов ефекат на цене енергената и примарних производа на светском тржишту. Када је реч о факторима из домаћег окружења, ризици пројекције односе се на брзину раста домаће тражње и карактер пољопривредне сезоне. Укупно посматрано, ризике пројекције инфлације оцењујемо као симетричне.</w:t>
      </w:r>
    </w:p>
    <w:p w14:paraId="530FC767" w14:textId="77777777" w:rsidR="008033CF" w:rsidRPr="00671E8F" w:rsidRDefault="008033CF" w:rsidP="000E0EDA">
      <w:pPr>
        <w:pStyle w:val="Caption"/>
        <w:keepNext/>
        <w:spacing w:after="40"/>
        <w:rPr>
          <w:rFonts w:cstheme="minorHAnsi"/>
          <w:iCs w:val="0"/>
          <w:szCs w:val="22"/>
        </w:rPr>
      </w:pPr>
      <w:r w:rsidRPr="00671E8F">
        <w:rPr>
          <w:rFonts w:cstheme="minorHAnsi"/>
          <w:iCs w:val="0"/>
          <w:szCs w:val="22"/>
        </w:rPr>
        <w:t>Пројекција инфлације, %</w:t>
      </w:r>
    </w:p>
    <w:p w14:paraId="1F61AE7C" w14:textId="77777777" w:rsidR="008033CF" w:rsidRPr="00671E8F" w:rsidRDefault="008033CF" w:rsidP="000E0EDA">
      <w:pPr>
        <w:spacing w:after="40"/>
        <w:rPr>
          <w:rFonts w:cstheme="minorHAnsi"/>
          <w:sz w:val="16"/>
          <w:szCs w:val="16"/>
          <w:highlight w:val="yellow"/>
        </w:rPr>
      </w:pPr>
      <w:r w:rsidRPr="00671E8F">
        <w:rPr>
          <w:noProof/>
          <w:lang w:val="en-US"/>
        </w:rPr>
        <w:drawing>
          <wp:inline distT="0" distB="0" distL="0" distR="0" wp14:anchorId="43D66A2F" wp14:editId="13B47321">
            <wp:extent cx="2743200" cy="2051050"/>
            <wp:effectExtent l="0" t="0" r="0" b="6350"/>
            <wp:docPr id="235834755" name="Chart 1">
              <a:extLst xmlns:a="http://schemas.openxmlformats.org/drawingml/2006/main">
                <a:ext uri="{FF2B5EF4-FFF2-40B4-BE49-F238E27FC236}">
                  <a16:creationId xmlns:a16="http://schemas.microsoft.com/office/drawing/2014/main" id="{00000000-0008-0000-1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016F8C63" w14:textId="77777777" w:rsidR="008033CF" w:rsidRPr="00671E8F" w:rsidRDefault="008033CF" w:rsidP="000E0EDA">
      <w:pPr>
        <w:spacing w:after="200"/>
        <w:rPr>
          <w:rFonts w:cstheme="minorHAnsi"/>
          <w:bCs/>
          <w:sz w:val="16"/>
          <w:szCs w:val="72"/>
        </w:rPr>
      </w:pPr>
      <w:r w:rsidRPr="00671E8F">
        <w:rPr>
          <w:rFonts w:cstheme="minorHAnsi"/>
          <w:bCs/>
          <w:sz w:val="16"/>
          <w:szCs w:val="72"/>
        </w:rPr>
        <w:t>Извор: Министарство финансија</w:t>
      </w:r>
    </w:p>
    <w:p w14:paraId="0D72981C" w14:textId="60C203CA" w:rsidR="00531828" w:rsidRPr="00671E8F" w:rsidRDefault="00531828" w:rsidP="000E0EDA">
      <w:pPr>
        <w:jc w:val="left"/>
        <w:rPr>
          <w:rFonts w:cstheme="minorHAnsi"/>
          <w:b/>
          <w:color w:val="2F5496" w:themeColor="accent1" w:themeShade="BF"/>
          <w:sz w:val="22"/>
        </w:rPr>
      </w:pPr>
      <w:r w:rsidRPr="00671E8F">
        <w:rPr>
          <w:rFonts w:cstheme="minorHAnsi"/>
          <w:b/>
          <w:color w:val="2F5496" w:themeColor="accent1" w:themeShade="BF"/>
          <w:sz w:val="22"/>
        </w:rPr>
        <w:t>Екстерни сектор</w:t>
      </w:r>
    </w:p>
    <w:p w14:paraId="00421CC1" w14:textId="7939CDE0" w:rsidR="00531828" w:rsidRPr="00671E8F" w:rsidRDefault="00531828" w:rsidP="000E0EDA">
      <w:pPr>
        <w:rPr>
          <w:rFonts w:eastAsia="Times New Roman" w:cstheme="minorHAnsi"/>
          <w:szCs w:val="24"/>
        </w:rPr>
      </w:pPr>
      <w:r w:rsidRPr="00671E8F">
        <w:rPr>
          <w:rFonts w:eastAsia="Times New Roman" w:cstheme="minorHAnsi"/>
          <w:szCs w:val="24"/>
        </w:rPr>
        <w:t>Након смањења спољнотрговинске робне размене претходне године, током 2024. године забележено је повећање, уз истовремени раст и извозне и увозне активности. Током првих осам месеци 2024. године, извезено је робе у укупној вредности од 19,4 млрд евра, што представља раст од 1,5% у односу на исти период</w:t>
      </w:r>
      <w:r w:rsidR="00984A71" w:rsidRPr="00671E8F">
        <w:rPr>
          <w:rFonts w:eastAsia="Times New Roman" w:cstheme="minorHAnsi"/>
          <w:szCs w:val="24"/>
        </w:rPr>
        <w:t xml:space="preserve"> </w:t>
      </w:r>
      <w:r w:rsidRPr="00671E8F">
        <w:rPr>
          <w:rFonts w:eastAsia="Times New Roman" w:cstheme="minorHAnsi"/>
          <w:szCs w:val="24"/>
        </w:rPr>
        <w:t>претходне године. Истовремено, извоз прерађивачке индустрије која је и главни генератор раста извоза, већи је за</w:t>
      </w:r>
      <w:r w:rsidRPr="00671E8F">
        <w:rPr>
          <w:rFonts w:eastAsia="Times New Roman" w:cstheme="minorHAnsi"/>
          <w:color w:val="FF0000"/>
          <w:szCs w:val="24"/>
        </w:rPr>
        <w:t xml:space="preserve"> </w:t>
      </w:r>
      <w:r w:rsidRPr="00671E8F">
        <w:rPr>
          <w:rFonts w:eastAsia="Times New Roman" w:cstheme="minorHAnsi"/>
          <w:szCs w:val="24"/>
        </w:rPr>
        <w:t>559,5 мил.</w:t>
      </w:r>
      <w:r w:rsidRPr="00671E8F">
        <w:rPr>
          <w:rFonts w:eastAsia="Times New Roman" w:cstheme="minorHAnsi"/>
          <w:color w:val="FF0000"/>
          <w:szCs w:val="24"/>
        </w:rPr>
        <w:t xml:space="preserve"> </w:t>
      </w:r>
      <w:r w:rsidRPr="00671E8F">
        <w:rPr>
          <w:rFonts w:eastAsia="Times New Roman" w:cstheme="minorHAnsi"/>
          <w:szCs w:val="24"/>
        </w:rPr>
        <w:t>евра или 3,4%, при чему је повећање остварено у 12 од 23 области. Упркос и даље слабој спољној тражњи, наставак добрих извозних резултата прерађивачке индустрије</w:t>
      </w:r>
      <w:r w:rsidR="004967AC" w:rsidRPr="00671E8F">
        <w:rPr>
          <w:rFonts w:eastAsia="Times New Roman" w:cstheme="minorHAnsi"/>
          <w:szCs w:val="24"/>
        </w:rPr>
        <w:t>,</w:t>
      </w:r>
      <w:r w:rsidRPr="00671E8F">
        <w:rPr>
          <w:rFonts w:eastAsia="Times New Roman" w:cstheme="minorHAnsi"/>
          <w:szCs w:val="24"/>
        </w:rPr>
        <w:t xml:space="preserve"> резултат је пре свега активирања нових извозно оријентисаних капацитета услед високог прилива СДИ из претходног периода, које су у значајном обиму биле усмерене у разменљиве секторе. Расту извоза прерађивачке индустрије највише је допринео раст извоза основних метала, осталих саобраћајних средстава, затим електронске, металске и прехрамбене индустрије. </w:t>
      </w:r>
      <w:r w:rsidRPr="00671E8F">
        <w:rPr>
          <w:rFonts w:eastAsia="Times New Roman" w:cstheme="minorHAnsi"/>
          <w:szCs w:val="24"/>
        </w:rPr>
        <w:lastRenderedPageBreak/>
        <w:t>Пољопривреда је упркос забележеном паду цена пољопривредних производа на светском тржишту, остварила раст од 46,4%, услед добре пољопривредне сезоне у претходној години и базног ефекта. Негативан допринос расту извоза потекао је од пада извоза електричне енергије који је био у овом периоду на нивоу од око 2/5 извоза из истог периода претходне године (смањење од 573,4 мил. евра). Ово смањење је пре свега последица мање производње услед лоших хидрометеоролошких услова и ремонта капацитета ЕПС током летњих месеци, као и изузетно високе базе из првих осам месеци претходне године. Извоз рударства забележио је раст од 3,0% у односу на исти период претходне године. Нешто спорији раст извозa рударства у првих осам месеци скоро у потпуности је последица пада извоза руде и концентрата бакра нарочито у првом кварталу, када је из</w:t>
      </w:r>
      <w:r w:rsidR="00A82616" w:rsidRPr="00671E8F">
        <w:rPr>
          <w:rFonts w:eastAsia="Times New Roman" w:cstheme="minorHAnsi"/>
          <w:szCs w:val="24"/>
        </w:rPr>
        <w:t>везена количина била мања за око 110</w:t>
      </w:r>
      <w:r w:rsidRPr="00671E8F">
        <w:rPr>
          <w:rFonts w:eastAsia="Times New Roman" w:cstheme="minorHAnsi"/>
          <w:szCs w:val="24"/>
        </w:rPr>
        <w:t xml:space="preserve"> хиљада тона. Ово смањење последица је јачања домаће сировинске базе услед активирања топионице бакра у Бору, чиме је омо</w:t>
      </w:r>
      <w:r w:rsidR="00040604" w:rsidRPr="00671E8F">
        <w:rPr>
          <w:rFonts w:eastAsia="Times New Roman" w:cstheme="minorHAnsi"/>
          <w:szCs w:val="24"/>
        </w:rPr>
        <w:t xml:space="preserve">гућен већи извоз производа више </w:t>
      </w:r>
      <w:r w:rsidRPr="00671E8F">
        <w:rPr>
          <w:rFonts w:eastAsia="Times New Roman" w:cstheme="minorHAnsi"/>
          <w:szCs w:val="24"/>
        </w:rPr>
        <w:t>додате вредности (основних метала) у оквиру прерађивачке индустрије.</w:t>
      </w:r>
    </w:p>
    <w:p w14:paraId="1FB8A07F" w14:textId="3E6B53CD" w:rsidR="00531828" w:rsidRPr="00671E8F" w:rsidRDefault="00531828" w:rsidP="000E0EDA">
      <w:pPr>
        <w:spacing w:after="120"/>
        <w:rPr>
          <w:rFonts w:eastAsia="Times New Roman" w:cstheme="minorHAnsi"/>
          <w:szCs w:val="24"/>
        </w:rPr>
      </w:pPr>
      <w:r w:rsidRPr="00671E8F">
        <w:rPr>
          <w:rFonts w:eastAsia="Times New Roman" w:cstheme="minorHAnsi"/>
          <w:szCs w:val="24"/>
        </w:rPr>
        <w:t>У периоду јануар–август 2024. године, увоз робе износио је 25,5 милијарди евра, што је раст од 5,1% у односу на исти период претходне године. Посматрано према економској намени, расту робног увоза највише је допринео раст увоза опреме који је забележио повећање од 17,1% (прираст од 485,9 мил. евра). Високи раст увоза опреме омогућиће даљу модернизацију произво</w:t>
      </w:r>
      <w:r w:rsidR="004967AC" w:rsidRPr="00671E8F">
        <w:rPr>
          <w:rFonts w:eastAsia="Times New Roman" w:cstheme="minorHAnsi"/>
          <w:szCs w:val="24"/>
        </w:rPr>
        <w:t>дних капацитета привреде и раст</w:t>
      </w:r>
      <w:r w:rsidRPr="00671E8F">
        <w:rPr>
          <w:rFonts w:eastAsia="Times New Roman" w:cstheme="minorHAnsi"/>
          <w:szCs w:val="24"/>
        </w:rPr>
        <w:t xml:space="preserve"> продуктивности, што ће довести до повећања конкурентности на међународном тржишту и побољшања извозних перформанси. Истовремено, позитиван доп</w:t>
      </w:r>
      <w:r w:rsidR="00671E8F">
        <w:rPr>
          <w:rFonts w:eastAsia="Times New Roman" w:cstheme="minorHAnsi"/>
          <w:szCs w:val="24"/>
          <w:lang w:val="sr-Cyrl-RS"/>
        </w:rPr>
        <w:t>р</w:t>
      </w:r>
      <w:r w:rsidRPr="00671E8F">
        <w:rPr>
          <w:rFonts w:eastAsia="Times New Roman" w:cstheme="minorHAnsi"/>
          <w:szCs w:val="24"/>
        </w:rPr>
        <w:t xml:space="preserve">инос расту увоза дао је увоз потрошне робе и репроматеријала са оствареним растом од 8,9% и 0,5%, респективно (прираст од 419,4 и 63,0 мил. евра). </w:t>
      </w:r>
    </w:p>
    <w:p w14:paraId="408E8945" w14:textId="737EF7C9" w:rsidR="007F42E2" w:rsidRPr="00671E8F" w:rsidRDefault="007F42E2" w:rsidP="000E0EDA">
      <w:pPr>
        <w:spacing w:after="120"/>
        <w:rPr>
          <w:rFonts w:eastAsia="Times New Roman" w:cstheme="minorHAnsi"/>
          <w:szCs w:val="24"/>
        </w:rPr>
      </w:pPr>
    </w:p>
    <w:p w14:paraId="68F4CC6F" w14:textId="1AF1E5B3" w:rsidR="007F42E2" w:rsidRPr="00671E8F" w:rsidRDefault="007F42E2" w:rsidP="000E0EDA">
      <w:pPr>
        <w:spacing w:after="120"/>
        <w:rPr>
          <w:rFonts w:eastAsia="Times New Roman" w:cstheme="minorHAnsi"/>
          <w:szCs w:val="24"/>
        </w:rPr>
      </w:pPr>
    </w:p>
    <w:p w14:paraId="4D05C9DC" w14:textId="5C39327B" w:rsidR="007F42E2" w:rsidRPr="00671E8F" w:rsidRDefault="007F42E2" w:rsidP="000E0EDA">
      <w:pPr>
        <w:spacing w:after="120"/>
        <w:rPr>
          <w:rFonts w:eastAsia="Times New Roman" w:cstheme="minorHAnsi"/>
          <w:szCs w:val="24"/>
        </w:rPr>
      </w:pPr>
    </w:p>
    <w:p w14:paraId="1952919F" w14:textId="77777777" w:rsidR="007F42E2" w:rsidRPr="00671E8F" w:rsidRDefault="007F42E2" w:rsidP="000E0EDA">
      <w:pPr>
        <w:spacing w:after="120"/>
        <w:rPr>
          <w:rFonts w:eastAsia="Times New Roman" w:cstheme="minorHAnsi"/>
          <w:szCs w:val="24"/>
        </w:rPr>
      </w:pPr>
    </w:p>
    <w:p w14:paraId="0B2E6B87" w14:textId="72F2C51F" w:rsidR="00531828" w:rsidRPr="00671E8F" w:rsidRDefault="006602B0" w:rsidP="000E0EDA">
      <w:pPr>
        <w:jc w:val="center"/>
        <w:rPr>
          <w:rFonts w:eastAsia="Times New Roman" w:cstheme="minorHAnsi"/>
          <w:b/>
          <w:szCs w:val="24"/>
        </w:rPr>
      </w:pPr>
      <w:r w:rsidRPr="00671E8F">
        <w:rPr>
          <w:rFonts w:cstheme="minorHAnsi"/>
          <w:b/>
          <w:noProof/>
          <w:sz w:val="24"/>
          <w:lang w:val="en-US"/>
        </w:rPr>
        <mc:AlternateContent>
          <mc:Choice Requires="wps">
            <w:drawing>
              <wp:anchor distT="0" distB="0" distL="114300" distR="114300" simplePos="0" relativeHeight="251695616" behindDoc="1" locked="0" layoutInCell="1" allowOverlap="1" wp14:anchorId="68FF4C69" wp14:editId="7BDE1398">
                <wp:simplePos x="0" y="0"/>
                <wp:positionH relativeFrom="column">
                  <wp:posOffset>-107508</wp:posOffset>
                </wp:positionH>
                <wp:positionV relativeFrom="paragraph">
                  <wp:posOffset>7620</wp:posOffset>
                </wp:positionV>
                <wp:extent cx="3013544" cy="5390985"/>
                <wp:effectExtent l="0" t="0" r="0" b="635"/>
                <wp:wrapNone/>
                <wp:docPr id="55" name="Rectangle 55"/>
                <wp:cNvGraphicFramePr/>
                <a:graphic xmlns:a="http://schemas.openxmlformats.org/drawingml/2006/main">
                  <a:graphicData uri="http://schemas.microsoft.com/office/word/2010/wordprocessingShape">
                    <wps:wsp>
                      <wps:cNvSpPr/>
                      <wps:spPr>
                        <a:xfrm>
                          <a:off x="0" y="0"/>
                          <a:ext cx="3013544" cy="5390985"/>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372764" id="Rectangle 55" o:spid="_x0000_s1026" style="position:absolute;margin-left:-8.45pt;margin-top:.6pt;width:237.3pt;height:424.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" fillcolor="#d9d9d9" stroked="f" strokeweight="1pt">
                <v:fill r:id="rId102" o:title="" color2="window" type="pattern"/>
              </v:rect>
            </w:pict>
          </mc:Fallback>
        </mc:AlternateContent>
      </w:r>
      <w:r w:rsidR="00531828" w:rsidRPr="00671E8F">
        <w:rPr>
          <w:rFonts w:eastAsia="Times New Roman" w:cstheme="minorHAnsi"/>
          <w:b/>
          <w:szCs w:val="24"/>
        </w:rPr>
        <w:t>Утицај модернизације производних капацитета Зиђин групе на извозну активност</w:t>
      </w:r>
    </w:p>
    <w:p w14:paraId="0EDFCBC9" w14:textId="3E0C0EAF" w:rsidR="00531828" w:rsidRPr="00671E8F" w:rsidRDefault="00531828" w:rsidP="000E0EDA">
      <w:pPr>
        <w:rPr>
          <w:rFonts w:eastAsia="Times New Roman" w:cstheme="minorHAnsi"/>
          <w:color w:val="FF0000"/>
          <w:szCs w:val="24"/>
        </w:rPr>
      </w:pPr>
      <w:r w:rsidRPr="00671E8F">
        <w:rPr>
          <w:rFonts w:eastAsia="Times New Roman" w:cstheme="minorHAnsi"/>
          <w:szCs w:val="24"/>
        </w:rPr>
        <w:t>Зиђин мајнинг група у Србији послује са два огранка, Србија Зиђин Мајнинг и Србија Зиђин Бор Копер, која представљају два највећа извозника у Србији. Према подацима Управе царина ова предузећа су у 2023. години збирно посматрано извезли робе у вредности од 1,9 млрд евра, док је у првих девет месеци текуће године вредност њиховог извоза износила 2,1 млрд евра, 50,7% више него у истом периоду претходне године.</w:t>
      </w:r>
    </w:p>
    <w:p w14:paraId="3A9991FC" w14:textId="21A182B5" w:rsidR="00531828" w:rsidRPr="00671E8F" w:rsidRDefault="00531828" w:rsidP="000E0EDA">
      <w:pPr>
        <w:rPr>
          <w:rFonts w:eastAsia="Times New Roman" w:cstheme="minorHAnsi"/>
          <w:szCs w:val="24"/>
        </w:rPr>
      </w:pPr>
      <w:r w:rsidRPr="00671E8F">
        <w:rPr>
          <w:rFonts w:eastAsia="Times New Roman" w:cstheme="minorHAnsi"/>
          <w:szCs w:val="24"/>
        </w:rPr>
        <w:t>У марту 2023. године завршена је модернизација топионице бакра у Бору, чиме је окончан пројекат проширења производног капацитета и техничке реконструкције. За време док је топионица у Бору стајала због реконструкције и проширења, концентрат руде је без даље прераде био извозни производ. Међутим, поновно покретање топионице омогућило је да се руда прерађује у Србији и да се извози производ више додате вредности, што ће утицати на раст БДП и побољшање платно-билансне позиције земље. Позитивни ефекти видљиви су у првих девет месеци текуће године, будући да је вредност нето извоза Србија Зиђин Копера повећана за 150 милиона евра, односно за 39,0%. У наредном периоду предвиђена су даља улагања у развој подземних лежишта и побољшање инфраструктуре када је реч о површинској експлоатацији, што ће додатно подржати започети нови инвестициони циклус.</w:t>
      </w:r>
    </w:p>
    <w:p w14:paraId="308235F8" w14:textId="641D3065" w:rsidR="00531828" w:rsidRPr="00671E8F" w:rsidRDefault="00531828" w:rsidP="000E0EDA">
      <w:pPr>
        <w:pStyle w:val="NoSpacing"/>
        <w:jc w:val="center"/>
        <w:rPr>
          <w:rFonts w:cstheme="minorHAnsi"/>
          <w:color w:val="002060"/>
          <w:lang w:val="sr-Cyrl-CS"/>
        </w:rPr>
      </w:pPr>
      <w:r w:rsidRPr="00671E8F">
        <w:rPr>
          <w:rFonts w:cstheme="minorHAnsi"/>
          <w:color w:val="002060"/>
          <w:lang w:val="sr-Cyrl-CS"/>
        </w:rPr>
        <w:t>Доприноси стопи раста увоза, економска намена, п.п.</w:t>
      </w:r>
    </w:p>
    <w:p w14:paraId="0E5D3CEB" w14:textId="69E1D0D5" w:rsidR="00531828" w:rsidRPr="00671E8F" w:rsidRDefault="00531828" w:rsidP="000E0EDA">
      <w:pPr>
        <w:pStyle w:val="NoSpacing"/>
        <w:jc w:val="center"/>
        <w:rPr>
          <w:rFonts w:cstheme="minorHAnsi"/>
          <w:color w:val="44546A" w:themeColor="text2"/>
          <w:lang w:val="sr-Cyrl-CS"/>
        </w:rPr>
      </w:pPr>
      <w:r w:rsidRPr="00671E8F">
        <w:rPr>
          <w:noProof/>
        </w:rPr>
        <w:drawing>
          <wp:inline distT="0" distB="0" distL="0" distR="0" wp14:anchorId="560736C4" wp14:editId="6DCCD2FE">
            <wp:extent cx="2741735" cy="1980000"/>
            <wp:effectExtent l="0" t="0" r="1905" b="1270"/>
            <wp:docPr id="116" name="Chart 116">
              <a:extLst xmlns:a="http://schemas.openxmlformats.org/drawingml/2006/main">
                <a:ext uri="{FF2B5EF4-FFF2-40B4-BE49-F238E27FC236}">
                  <a16:creationId xmlns:a16="http://schemas.microsoft.com/office/drawing/2014/main" id="{00000000-0008-0000-16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29F6C456" w14:textId="764B1C58" w:rsidR="00531828" w:rsidRPr="00671E8F" w:rsidRDefault="00531828" w:rsidP="000E0EDA">
      <w:pPr>
        <w:spacing w:after="80" w:line="240" w:lineRule="auto"/>
        <w:rPr>
          <w:rFonts w:cstheme="minorHAnsi"/>
          <w:bCs/>
          <w:szCs w:val="72"/>
        </w:rPr>
      </w:pPr>
      <w:r w:rsidRPr="00671E8F">
        <w:rPr>
          <w:rFonts w:cstheme="minorHAnsi"/>
          <w:bCs/>
          <w:sz w:val="16"/>
          <w:szCs w:val="72"/>
        </w:rPr>
        <w:t>Извор: РЗС</w:t>
      </w:r>
    </w:p>
    <w:p w14:paraId="7AD6DD39" w14:textId="40FBEB82" w:rsidR="00531828" w:rsidRPr="00671E8F" w:rsidRDefault="00531828" w:rsidP="000E0EDA">
      <w:pPr>
        <w:spacing w:after="120"/>
        <w:rPr>
          <w:rFonts w:eastAsia="Times New Roman" w:cstheme="minorHAnsi"/>
          <w:color w:val="FF0000"/>
          <w:szCs w:val="24"/>
        </w:rPr>
      </w:pPr>
      <w:r w:rsidRPr="00671E8F">
        <w:rPr>
          <w:rFonts w:eastAsia="Times New Roman" w:cstheme="minorHAnsi"/>
          <w:szCs w:val="24"/>
        </w:rPr>
        <w:lastRenderedPageBreak/>
        <w:t>Оваква кретања у спољнотрговинској размени резултирала су растом спољнотрговинског дефицита током првих осам месеци 2024. године за 939,0 мил. евра, уз пад покривености увоза извозом ‒ са 78,8% на 76,2%.</w:t>
      </w:r>
    </w:p>
    <w:p w14:paraId="1FF1C693" w14:textId="77777777" w:rsidR="00531828" w:rsidRPr="00671E8F" w:rsidRDefault="00531828" w:rsidP="000E0EDA">
      <w:pPr>
        <w:pStyle w:val="NoSpacing"/>
        <w:jc w:val="center"/>
        <w:rPr>
          <w:rFonts w:cstheme="minorHAnsi"/>
          <w:color w:val="002060"/>
          <w:lang w:val="sr-Cyrl-CS"/>
        </w:rPr>
      </w:pPr>
      <w:r w:rsidRPr="00671E8F">
        <w:rPr>
          <w:rFonts w:cstheme="minorHAnsi"/>
          <w:color w:val="002060"/>
          <w:lang w:val="sr-Cyrl-CS"/>
        </w:rPr>
        <w:t>Робна размена, мил. ЕУР</w:t>
      </w:r>
    </w:p>
    <w:p w14:paraId="195BBA6A" w14:textId="77777777" w:rsidR="00531828" w:rsidRPr="00671E8F" w:rsidRDefault="00531828" w:rsidP="000E0EDA">
      <w:pPr>
        <w:spacing w:before="40"/>
        <w:rPr>
          <w:rFonts w:cstheme="minorHAnsi"/>
          <w:sz w:val="16"/>
        </w:rPr>
      </w:pPr>
      <w:r w:rsidRPr="00671E8F">
        <w:rPr>
          <w:noProof/>
          <w:lang w:val="en-US"/>
        </w:rPr>
        <w:drawing>
          <wp:inline distT="0" distB="0" distL="0" distR="0" wp14:anchorId="65C759A6" wp14:editId="03D8B8A0">
            <wp:extent cx="2736850" cy="1407381"/>
            <wp:effectExtent l="0" t="0" r="6350" b="2540"/>
            <wp:docPr id="117" name="Chart 117">
              <a:extLst xmlns:a="http://schemas.openxmlformats.org/drawingml/2006/main">
                <a:ext uri="{FF2B5EF4-FFF2-40B4-BE49-F238E27FC236}">
                  <a16:creationId xmlns:a16="http://schemas.microsoft.com/office/drawing/2014/main" id="{00000000-0008-0000-17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r w:rsidRPr="00671E8F">
        <w:rPr>
          <w:rFonts w:cstheme="minorHAnsi"/>
          <w:sz w:val="16"/>
        </w:rPr>
        <w:t>Извор: РЗС</w:t>
      </w:r>
    </w:p>
    <w:p w14:paraId="6F0B3325" w14:textId="77777777" w:rsidR="00531828" w:rsidRPr="00671E8F" w:rsidRDefault="00531828" w:rsidP="000E0EDA">
      <w:pPr>
        <w:rPr>
          <w:rFonts w:eastAsia="Times New Roman" w:cstheme="minorHAnsi"/>
          <w:color w:val="FF0000"/>
          <w:szCs w:val="24"/>
        </w:rPr>
      </w:pPr>
      <w:r w:rsidRPr="00671E8F">
        <w:rPr>
          <w:rFonts w:eastAsia="Times New Roman" w:cstheme="minorHAnsi"/>
          <w:szCs w:val="24"/>
        </w:rPr>
        <w:t>Најважнији спољнотрговински партнери током првих осам месеци 2024. године су земље ЕУ, на које се односило 62,0% укупног извоза и 56,6% укупног увоза. Највећи део укупног извоза (38,3%) у том периоду био је усмерен на тржиште пет земаља: Немачка, БиХ, Кина, Италија и Мађарска. Увоз из Немачке, Кине, Италије, Турске и Мађарске чинио је 43,3% укупног увоза. Спољнотрговински суфицит у овом периоду остварен је са Црном Гором, БиХ, Северном Македонијом, Румунијом, Словачком, Бугарском, Чешком, Шведском и Хрватском. Суфицит са овим земљама у посматраном периоду износио је 2,7 милијарде евра. Највећи дефицит јавља се у трговини са Кином, Турском, Италијом, Немачком и Казахстаном.</w:t>
      </w:r>
    </w:p>
    <w:p w14:paraId="1BB60CF4" w14:textId="38AE7C98" w:rsidR="00531828" w:rsidRPr="00671E8F" w:rsidRDefault="00531828" w:rsidP="000E0EDA">
      <w:pPr>
        <w:rPr>
          <w:color w:val="FF0000"/>
          <w:highlight w:val="yellow"/>
        </w:rPr>
      </w:pPr>
      <w:r w:rsidRPr="00671E8F">
        <w:rPr>
          <w:rFonts w:eastAsia="Times New Roman" w:cstheme="minorHAnsi"/>
          <w:szCs w:val="24"/>
        </w:rPr>
        <w:t xml:space="preserve">Дефицит текућег рачуна у првих осам месеци 2024. године износио је </w:t>
      </w:r>
      <w:r w:rsidR="00955209" w:rsidRPr="00671E8F">
        <w:rPr>
          <w:rFonts w:eastAsia="Times New Roman" w:cstheme="minorHAnsi"/>
          <w:szCs w:val="24"/>
        </w:rPr>
        <w:t>2,5</w:t>
      </w:r>
      <w:r w:rsidRPr="00671E8F">
        <w:rPr>
          <w:rFonts w:eastAsia="Times New Roman" w:cstheme="minorHAnsi"/>
          <w:szCs w:val="24"/>
        </w:rPr>
        <w:t xml:space="preserve"> млрд евра, и био је виши за 1,8 млрд евра у односу на исти период претходне године. Раст дефицита текућег рачуна последица је повећања дефицита </w:t>
      </w:r>
      <w:r w:rsidR="00771335" w:rsidRPr="00671E8F">
        <w:rPr>
          <w:rFonts w:eastAsia="Times New Roman" w:cstheme="minorHAnsi"/>
          <w:szCs w:val="24"/>
        </w:rPr>
        <w:t>на рачуну</w:t>
      </w:r>
      <w:r w:rsidRPr="00671E8F">
        <w:rPr>
          <w:rFonts w:eastAsia="Times New Roman" w:cstheme="minorHAnsi"/>
          <w:szCs w:val="24"/>
        </w:rPr>
        <w:t xml:space="preserve"> р</w:t>
      </w:r>
      <w:r w:rsidR="00771335" w:rsidRPr="00671E8F">
        <w:rPr>
          <w:rFonts w:eastAsia="Times New Roman" w:cstheme="minorHAnsi"/>
          <w:szCs w:val="24"/>
        </w:rPr>
        <w:t>оба и услуга</w:t>
      </w:r>
      <w:r w:rsidRPr="00671E8F">
        <w:rPr>
          <w:rFonts w:eastAsia="Times New Roman" w:cstheme="minorHAnsi"/>
          <w:szCs w:val="24"/>
        </w:rPr>
        <w:t xml:space="preserve">, као и раста дефицита примарног дохотка, уз истовремени пад суфицита секундарног дохотка. На рачуну роба и услуга дефицит је износио 3,3 млрд евра и међугодишње је већи је за 1,1 млрд евра, највећим делом услед раста дефицита робне размене, док је истовремено суфицит у услугама смањен. Робни дефицит је износио 4,9 млрд евра, што је повећање од </w:t>
      </w:r>
      <w:r w:rsidR="00955209" w:rsidRPr="00671E8F">
        <w:rPr>
          <w:rFonts w:eastAsia="Times New Roman" w:cstheme="minorHAnsi"/>
          <w:szCs w:val="24"/>
        </w:rPr>
        <w:t>814,5</w:t>
      </w:r>
      <w:r w:rsidRPr="00671E8F">
        <w:rPr>
          <w:rFonts w:eastAsia="Times New Roman" w:cstheme="minorHAnsi"/>
          <w:szCs w:val="24"/>
        </w:rPr>
        <w:t xml:space="preserve"> милиона евра, док је на рачуну услуга забележен суфицит који је износио 1,6 млрд евра и био нижи за </w:t>
      </w:r>
      <w:r w:rsidR="00955209" w:rsidRPr="00671E8F">
        <w:rPr>
          <w:rFonts w:eastAsia="Times New Roman" w:cstheme="minorHAnsi"/>
          <w:szCs w:val="24"/>
        </w:rPr>
        <w:t>329,3</w:t>
      </w:r>
      <w:r w:rsidRPr="00671E8F">
        <w:rPr>
          <w:rFonts w:eastAsia="Times New Roman" w:cstheme="minorHAnsi"/>
          <w:szCs w:val="24"/>
        </w:rPr>
        <w:t xml:space="preserve"> милиона евра. Повећању робног дефицита у првих осам месеци </w:t>
      </w:r>
      <w:r w:rsidRPr="00671E8F">
        <w:rPr>
          <w:rFonts w:eastAsia="Times New Roman" w:cstheme="minorHAnsi"/>
          <w:szCs w:val="24"/>
        </w:rPr>
        <w:t>2024. године највише је допринело смањење суфицита у размени електричне енергије, пре свега због велике базе из истог периода претходне године. Након стабилизације светског тржишта после иницијалног високог раста цена енергената услед избијања сукоба у Украјини, значајно је смањен увоз енергената изражен у еврима. У Србији је производња електричне енергије у 2023. години била на нивоу који превазилази сопствене потребе, што је омогућило пласирање вишка на инострана тржишта. Поред електричне енергије, највећи допринос дефициту робне размене последица је остваре</w:t>
      </w:r>
      <w:r w:rsidR="00771335" w:rsidRPr="00671E8F">
        <w:rPr>
          <w:rFonts w:eastAsia="Times New Roman" w:cstheme="minorHAnsi"/>
          <w:szCs w:val="24"/>
        </w:rPr>
        <w:t>них дефицита у нафтној, металској</w:t>
      </w:r>
      <w:r w:rsidRPr="00671E8F">
        <w:rPr>
          <w:rFonts w:eastAsia="Times New Roman" w:cstheme="minorHAnsi"/>
          <w:szCs w:val="24"/>
        </w:rPr>
        <w:t xml:space="preserve">, електричној и аутомобилској индустрији. Позитиван нето извоз услуга у највећој мери резултат је већег извоза ИКТ у посматраном периоду. Нето прилив по основу ИКТ услуга повећан је за </w:t>
      </w:r>
      <w:r w:rsidR="00955209" w:rsidRPr="00671E8F">
        <w:rPr>
          <w:rFonts w:eastAsia="Times New Roman" w:cstheme="minorHAnsi"/>
          <w:szCs w:val="24"/>
        </w:rPr>
        <w:t>20,5</w:t>
      </w:r>
      <w:r w:rsidR="00E726C6" w:rsidRPr="00671E8F">
        <w:rPr>
          <w:rFonts w:eastAsia="Times New Roman" w:cstheme="minorHAnsi"/>
          <w:szCs w:val="24"/>
        </w:rPr>
        <w:t>%</w:t>
      </w:r>
      <w:r w:rsidR="00984A71" w:rsidRPr="00671E8F">
        <w:rPr>
          <w:rFonts w:eastAsia="Times New Roman" w:cstheme="minorHAnsi"/>
          <w:szCs w:val="24"/>
        </w:rPr>
        <w:t xml:space="preserve"> </w:t>
      </w:r>
      <w:r w:rsidRPr="00671E8F">
        <w:rPr>
          <w:rFonts w:eastAsia="Times New Roman" w:cstheme="minorHAnsi"/>
          <w:szCs w:val="24"/>
        </w:rPr>
        <w:t xml:space="preserve">и износио је </w:t>
      </w:r>
      <w:r w:rsidR="00955209" w:rsidRPr="00671E8F">
        <w:rPr>
          <w:rFonts w:eastAsia="Times New Roman" w:cstheme="minorHAnsi"/>
          <w:szCs w:val="24"/>
        </w:rPr>
        <w:t>2,0</w:t>
      </w:r>
      <w:r w:rsidRPr="00671E8F">
        <w:rPr>
          <w:rFonts w:eastAsia="Times New Roman" w:cstheme="minorHAnsi"/>
          <w:szCs w:val="24"/>
        </w:rPr>
        <w:t xml:space="preserve"> млрд евра. Значајан нето прилив остварен је и по основу осталих пословних услуга који је износио </w:t>
      </w:r>
      <w:r w:rsidR="00955209" w:rsidRPr="00671E8F">
        <w:rPr>
          <w:rFonts w:eastAsia="Times New Roman" w:cstheme="minorHAnsi"/>
          <w:szCs w:val="24"/>
        </w:rPr>
        <w:t>742,4</w:t>
      </w:r>
      <w:r w:rsidRPr="00671E8F">
        <w:rPr>
          <w:rFonts w:eastAsia="Times New Roman" w:cstheme="minorHAnsi"/>
          <w:szCs w:val="24"/>
        </w:rPr>
        <w:t xml:space="preserve"> мил. евра. Дефицит примарног дохотка повећан је за </w:t>
      </w:r>
      <w:r w:rsidR="00955209" w:rsidRPr="00671E8F">
        <w:rPr>
          <w:rFonts w:eastAsia="Times New Roman" w:cstheme="minorHAnsi"/>
          <w:szCs w:val="24"/>
        </w:rPr>
        <w:t>267,6</w:t>
      </w:r>
      <w:r w:rsidRPr="00671E8F">
        <w:rPr>
          <w:rFonts w:eastAsia="Times New Roman" w:cstheme="minorHAnsi"/>
          <w:szCs w:val="24"/>
        </w:rPr>
        <w:t xml:space="preserve"> мил. евра, односно за </w:t>
      </w:r>
      <w:r w:rsidR="00955209" w:rsidRPr="00671E8F">
        <w:rPr>
          <w:rFonts w:eastAsia="Times New Roman" w:cstheme="minorHAnsi"/>
          <w:szCs w:val="24"/>
        </w:rPr>
        <w:t>11,1</w:t>
      </w:r>
      <w:r w:rsidRPr="00671E8F">
        <w:rPr>
          <w:rFonts w:eastAsia="Times New Roman" w:cstheme="minorHAnsi"/>
          <w:szCs w:val="24"/>
        </w:rPr>
        <w:t xml:space="preserve">%, док је суфицит секундарног дохотка био међугодишње нижи за </w:t>
      </w:r>
      <w:r w:rsidR="00955209" w:rsidRPr="00671E8F">
        <w:rPr>
          <w:rFonts w:eastAsia="Times New Roman" w:cstheme="minorHAnsi"/>
          <w:szCs w:val="24"/>
        </w:rPr>
        <w:t>9,6</w:t>
      </w:r>
      <w:r w:rsidRPr="00671E8F">
        <w:rPr>
          <w:rFonts w:eastAsia="Times New Roman" w:cstheme="minorHAnsi"/>
          <w:szCs w:val="24"/>
        </w:rPr>
        <w:t xml:space="preserve">% и износио је 3,6 млрд евра. Нето прилив дознака радника из иностранства </w:t>
      </w:r>
      <w:r w:rsidR="00955209" w:rsidRPr="00671E8F">
        <w:rPr>
          <w:rFonts w:eastAsia="Times New Roman" w:cstheme="minorHAnsi"/>
          <w:szCs w:val="24"/>
        </w:rPr>
        <w:t>мањи</w:t>
      </w:r>
      <w:r w:rsidRPr="00671E8F">
        <w:rPr>
          <w:rFonts w:eastAsia="Times New Roman" w:cstheme="minorHAnsi"/>
          <w:szCs w:val="24"/>
        </w:rPr>
        <w:t xml:space="preserve"> је за </w:t>
      </w:r>
      <w:r w:rsidR="00955209" w:rsidRPr="00671E8F">
        <w:rPr>
          <w:rFonts w:eastAsia="Times New Roman" w:cstheme="minorHAnsi"/>
          <w:szCs w:val="24"/>
        </w:rPr>
        <w:t>5,9</w:t>
      </w:r>
      <w:r w:rsidRPr="00671E8F">
        <w:rPr>
          <w:rFonts w:eastAsia="Times New Roman" w:cstheme="minorHAnsi"/>
          <w:szCs w:val="24"/>
        </w:rPr>
        <w:t xml:space="preserve">% и износио је </w:t>
      </w:r>
      <w:r w:rsidR="00955209" w:rsidRPr="00671E8F">
        <w:rPr>
          <w:rFonts w:eastAsia="Times New Roman" w:cstheme="minorHAnsi"/>
          <w:szCs w:val="24"/>
        </w:rPr>
        <w:t>2,5</w:t>
      </w:r>
      <w:r w:rsidRPr="00671E8F">
        <w:rPr>
          <w:rFonts w:eastAsia="Times New Roman" w:cstheme="minorHAnsi"/>
          <w:szCs w:val="24"/>
        </w:rPr>
        <w:t xml:space="preserve"> млрд евра.</w:t>
      </w:r>
    </w:p>
    <w:p w14:paraId="321B9F85" w14:textId="19A8465D" w:rsidR="00531828" w:rsidRPr="00671E8F" w:rsidRDefault="00531828" w:rsidP="000E0EDA">
      <w:pPr>
        <w:rPr>
          <w:rFonts w:eastAsia="Times New Roman" w:cstheme="minorHAnsi"/>
          <w:color w:val="FF0000"/>
          <w:szCs w:val="24"/>
        </w:rPr>
      </w:pPr>
      <w:r w:rsidRPr="00671E8F">
        <w:rPr>
          <w:rFonts w:eastAsia="Times New Roman" w:cstheme="minorHAnsi"/>
          <w:szCs w:val="24"/>
        </w:rPr>
        <w:t>Укупан прилив СДИ у првих осам месеци 2024. године износио је 3,2 млрд евра, док је нето прилив по основу СДИ износио је 2,9 млрд евра,</w:t>
      </w:r>
      <w:r w:rsidRPr="00671E8F">
        <w:rPr>
          <w:rFonts w:eastAsia="Times New Roman" w:cstheme="minorHAnsi"/>
          <w:color w:val="FF0000"/>
          <w:szCs w:val="24"/>
        </w:rPr>
        <w:t xml:space="preserve"> </w:t>
      </w:r>
      <w:r w:rsidRPr="00671E8F">
        <w:rPr>
          <w:rFonts w:eastAsia="Times New Roman" w:cstheme="minorHAnsi"/>
          <w:szCs w:val="24"/>
        </w:rPr>
        <w:t>што је више него довољно за пуну покривеност дефицита текућег рачуна, што додатно доприноси дугорочној одрживости екстерне позиције. Највећи део прилива СДИ био je у облику власничког капитала и реинвестиране добити (</w:t>
      </w:r>
      <w:r w:rsidR="005C79D2" w:rsidRPr="00671E8F">
        <w:rPr>
          <w:rFonts w:eastAsia="Times New Roman" w:cstheme="minorHAnsi"/>
          <w:szCs w:val="24"/>
        </w:rPr>
        <w:t>76,4</w:t>
      </w:r>
      <w:r w:rsidRPr="00671E8F">
        <w:rPr>
          <w:rFonts w:eastAsia="Times New Roman" w:cstheme="minorHAnsi"/>
          <w:szCs w:val="24"/>
        </w:rPr>
        <w:t>%), што потврђује опредељење страних инвеститора да наставе да улажу у Србију.</w:t>
      </w:r>
      <w:r w:rsidRPr="00671E8F">
        <w:rPr>
          <w:rFonts w:eastAsia="Times New Roman" w:cstheme="minorHAnsi"/>
          <w:color w:val="FF0000"/>
          <w:szCs w:val="24"/>
        </w:rPr>
        <w:t xml:space="preserve"> </w:t>
      </w:r>
      <w:r w:rsidRPr="00671E8F">
        <w:rPr>
          <w:rFonts w:eastAsia="Times New Roman" w:cstheme="minorHAnsi"/>
          <w:szCs w:val="24"/>
        </w:rPr>
        <w:t>Посматрано према делатностима, највећи прилив СДИ у првој половини текуће године је остварен у грађевинарству (670,5 мил. евра), рударству (582,9 мил. евра), затим у ИТ сектору (338,7 мил. евра), али и у прерађивачкој индустрији, сектору који традиционално привлачи највише СДИ, са остварених 274,6 мил. евра. Осим производне разноврсности, СДИ су и географски диверсификоване, са растућим уделом земаља из азијско-пацифичког региона. Посматрано према географском пореклу, највећи део СДИ</w:t>
      </w:r>
      <w:r w:rsidRPr="00671E8F">
        <w:rPr>
          <w:rFonts w:eastAsia="Times New Roman" w:cstheme="minorHAnsi"/>
          <w:color w:val="FF0000"/>
          <w:szCs w:val="24"/>
        </w:rPr>
        <w:t xml:space="preserve"> </w:t>
      </w:r>
      <w:r w:rsidRPr="00671E8F">
        <w:rPr>
          <w:rFonts w:eastAsia="Times New Roman" w:cstheme="minorHAnsi"/>
          <w:szCs w:val="24"/>
        </w:rPr>
        <w:t xml:space="preserve">(близу 2/3) долази са европског континента. Укупан прилив </w:t>
      </w:r>
      <w:r w:rsidRPr="00671E8F">
        <w:rPr>
          <w:rFonts w:eastAsia="Times New Roman" w:cstheme="minorHAnsi"/>
          <w:szCs w:val="24"/>
        </w:rPr>
        <w:lastRenderedPageBreak/>
        <w:t>инвестиција из Европске уније у првој половини 2024. године износио је 1,0 млрд евра, односно 43,4% од укупног прилива СДИ. Са друге стране, посматрано по земљама, највећи прилив страних директних улагања долази из Кине</w:t>
      </w:r>
      <w:r w:rsidRPr="00671E8F">
        <w:rPr>
          <w:rStyle w:val="FootnoteReference"/>
          <w:rFonts w:eastAsia="Times New Roman" w:cstheme="minorHAnsi"/>
          <w:szCs w:val="24"/>
        </w:rPr>
        <w:footnoteReference w:id="2"/>
      </w:r>
      <w:r w:rsidRPr="00671E8F">
        <w:rPr>
          <w:rFonts w:eastAsia="Times New Roman" w:cstheme="minorHAnsi"/>
          <w:szCs w:val="24"/>
        </w:rPr>
        <w:t>, Холандије, Луксембурга, Велике Британије и Чешке Републике, које збирно чине нешто више од четири петине укупног прилива СДИ. Удео прилива СДИ из Кине значајно је порастао у последњих осам година, са 3,1% у 2015. на 30,4% у прошлој години. Кина је, појединачно посматрано, у последње три године највећи инвеститор у српску привреду. У 2023. години, укупан прилив инвестиција из ове земље износио је 1,4 м</w:t>
      </w:r>
      <w:r w:rsidR="00771335" w:rsidRPr="00671E8F">
        <w:rPr>
          <w:rFonts w:eastAsia="Times New Roman" w:cstheme="minorHAnsi"/>
          <w:szCs w:val="24"/>
        </w:rPr>
        <w:t xml:space="preserve">лрд евра, док је само </w:t>
      </w:r>
      <w:r w:rsidR="0055736C" w:rsidRPr="00671E8F">
        <w:rPr>
          <w:rFonts w:eastAsia="Times New Roman" w:cstheme="minorHAnsi"/>
          <w:szCs w:val="24"/>
        </w:rPr>
        <w:t xml:space="preserve">у првих шест месеци текуће године износио </w:t>
      </w:r>
      <w:r w:rsidRPr="00671E8F">
        <w:rPr>
          <w:rFonts w:eastAsia="Times New Roman" w:cstheme="minorHAnsi"/>
          <w:szCs w:val="24"/>
        </w:rPr>
        <w:t>697,9 мил. евра.</w:t>
      </w:r>
      <w:r w:rsidRPr="00671E8F">
        <w:rPr>
          <w:rFonts w:eastAsia="Times New Roman" w:cstheme="minorHAnsi"/>
          <w:color w:val="FF0000"/>
          <w:szCs w:val="24"/>
        </w:rPr>
        <w:t xml:space="preserve"> </w:t>
      </w:r>
    </w:p>
    <w:p w14:paraId="68C3719A" w14:textId="2E447EAF" w:rsidR="00531828" w:rsidRPr="00671E8F" w:rsidRDefault="00321050" w:rsidP="000E0EDA">
      <w:pPr>
        <w:rPr>
          <w:rFonts w:eastAsia="Times New Roman" w:cstheme="minorHAnsi"/>
          <w:szCs w:val="24"/>
        </w:rPr>
      </w:pPr>
      <w:r w:rsidRPr="00671E8F">
        <w:rPr>
          <w:rFonts w:eastAsia="Times New Roman" w:cstheme="minorHAnsi"/>
          <w:szCs w:val="24"/>
        </w:rPr>
        <w:t>У</w:t>
      </w:r>
      <w:r w:rsidR="00531828" w:rsidRPr="00671E8F">
        <w:rPr>
          <w:rFonts w:eastAsia="Times New Roman" w:cstheme="minorHAnsi"/>
          <w:szCs w:val="24"/>
        </w:rPr>
        <w:t xml:space="preserve"> првих осам месеци текуће године забележен је нето прилив портфолио инвестиција у износу од 264,9 мил. евра. У јуну 2024. године Република Србија је успешно реализовала емисију одрживих еврообвезница деноминованих у америчким доларима на међународном финансијском тржишту. Емитоване су еврообвезнице са роком доспећа од 10 година у укупном износу од 1,5 милијарди долара уз купонску стопу од 6,00%. Након емисије зелених еврообвезница на међународном финансијском тржишту 2021. године, Србија је једина земља ван Европске </w:t>
      </w:r>
      <w:r w:rsidR="00671E8F" w:rsidRPr="00671E8F">
        <w:rPr>
          <w:rFonts w:eastAsia="Times New Roman" w:cstheme="minorHAnsi"/>
          <w:szCs w:val="24"/>
        </w:rPr>
        <w:t xml:space="preserve">уније </w:t>
      </w:r>
      <w:r w:rsidR="00531828" w:rsidRPr="00671E8F">
        <w:rPr>
          <w:rFonts w:eastAsia="Times New Roman" w:cstheme="minorHAnsi"/>
          <w:szCs w:val="24"/>
        </w:rPr>
        <w:t>која је издала и одрживу еврообвезницу (ESG - Environmental, Social, and Governance). На аукцији на којој је учествовало неколико стотина заинтересованих инвеститора из целог света, укупна тражња за овом еврообвезницом на дан трговања премашила је износ од 6,5 милијарди долара.</w:t>
      </w:r>
    </w:p>
    <w:p w14:paraId="2CEA1B4E" w14:textId="0133DFE5" w:rsidR="00531828" w:rsidRPr="00671E8F" w:rsidRDefault="00531828" w:rsidP="000E0EDA">
      <w:pPr>
        <w:rPr>
          <w:rFonts w:eastAsia="Times New Roman" w:cstheme="minorHAnsi"/>
          <w:szCs w:val="24"/>
        </w:rPr>
      </w:pPr>
      <w:r w:rsidRPr="00671E8F">
        <w:rPr>
          <w:rFonts w:eastAsia="Times New Roman" w:cstheme="minorHAnsi"/>
          <w:szCs w:val="24"/>
        </w:rPr>
        <w:t>Екстерну позицију Србије током 2024. године карактерисала је отпорност на финансијске шокове из међународног окружења. Повећан је рацио девизних резерви и краткорочног дуга у односу на крај 2023. године, услед раста девизних резерви и смањења краткорочног дуга. Учешће спољног дуга у БДП смањено је за 5,6 п.п., са 66,0% у 202</w:t>
      </w:r>
      <w:r w:rsidR="006602B0" w:rsidRPr="00671E8F">
        <w:rPr>
          <w:rFonts w:eastAsia="Times New Roman" w:cstheme="minorHAnsi"/>
          <w:szCs w:val="24"/>
        </w:rPr>
        <w:t>2</w:t>
      </w:r>
      <w:r w:rsidRPr="00671E8F">
        <w:rPr>
          <w:rFonts w:eastAsia="Times New Roman" w:cstheme="minorHAnsi"/>
          <w:szCs w:val="24"/>
        </w:rPr>
        <w:t>. на 60,4% у 2023. години, уз истовремено смањење удела краткорочног дуга у БДП.</w:t>
      </w:r>
      <w:r w:rsidRPr="00671E8F">
        <w:rPr>
          <w:rFonts w:eastAsia="Times New Roman" w:cstheme="minorHAnsi"/>
          <w:color w:val="FF0000"/>
          <w:szCs w:val="24"/>
        </w:rPr>
        <w:t xml:space="preserve"> </w:t>
      </w:r>
      <w:r w:rsidRPr="00671E8F">
        <w:rPr>
          <w:rFonts w:eastAsia="Times New Roman" w:cstheme="minorHAnsi"/>
          <w:szCs w:val="24"/>
        </w:rPr>
        <w:t xml:space="preserve">На крају јуна, однос спољног дуга према извозу робе и услуга износио је 115,0%, што представља </w:t>
      </w:r>
      <w:r w:rsidRPr="00671E8F">
        <w:rPr>
          <w:rFonts w:eastAsia="Times New Roman" w:cstheme="minorHAnsi"/>
          <w:szCs w:val="24"/>
        </w:rPr>
        <w:t>повећање од 4,3 процентна поена у односу на 110,7% на крају претходне године. Овај рацио је значајно испод критеријума Светске банке од 220%, што је гарант одрживости његовог сервисирања. Бруто девизне резерве НБС у првих девет месеци текуће године повећане су за 3,4 млрд евра и на крају септембра су износиле 28,3 млрд евра, што је највиши ниво до сада, виши је од референтних вредности свих мера које се користе за оцену њихове адекватности.</w:t>
      </w:r>
    </w:p>
    <w:p w14:paraId="2C264A91" w14:textId="77777777" w:rsidR="00531828" w:rsidRPr="00671E8F" w:rsidRDefault="00531828" w:rsidP="000E0EDA">
      <w:pPr>
        <w:rPr>
          <w:rFonts w:eastAsia="Times New Roman" w:cstheme="minorHAnsi"/>
          <w:szCs w:val="24"/>
        </w:rPr>
      </w:pPr>
      <w:r w:rsidRPr="00671E8F">
        <w:rPr>
          <w:rFonts w:eastAsia="Times New Roman" w:cstheme="minorHAnsi"/>
          <w:szCs w:val="24"/>
        </w:rPr>
        <w:t>Очекује се да ће укупан дефицит текућег рачуна у 2024. години порасти на 3,6 млрд евра, и износити 4,4% БДП. Бржи раст увоза од извоза у овој години, услед реализације планираних инвестиционих активности, определиће већи текући дефицит у 2024. у односу на 2023. И у условима спорог опоравка спољне тражње показана је отпорност извоза, док је раст увоза вођен вишим увозом опреме. Дефицит текућег рачуна наставиће постепено да расте до 5,4% у 2026. години, услед очекиваног убрзања инвестиционог циклуса и раста потрошње домаћинстава, након чега се очекује да ће опасти 2027. године на 4,2% БДП. И поред очекиваних високих стопа раста извоза у средњорочном периоду, могућност поновног раста цена енергената на светском тржишту, изазваног растућим геополитичким тензијама, може довести до раста дефицита у спољнотрговинској робној размени, и последично, дефицита текућег рачуна.</w:t>
      </w:r>
    </w:p>
    <w:p w14:paraId="54075E3D" w14:textId="745B3AE0" w:rsidR="00531828" w:rsidRPr="00671E8F" w:rsidRDefault="00531828" w:rsidP="00E726C6">
      <w:pPr>
        <w:spacing w:after="120"/>
        <w:jc w:val="center"/>
        <w:rPr>
          <w:rFonts w:cstheme="minorHAnsi"/>
          <w:b/>
          <w:color w:val="002060"/>
        </w:rPr>
      </w:pPr>
      <w:r w:rsidRPr="00671E8F">
        <w:rPr>
          <w:rFonts w:cstheme="minorHAnsi"/>
          <w:b/>
          <w:color w:val="002060"/>
        </w:rPr>
        <w:t>Структура текућег рачуна, % БДП</w:t>
      </w:r>
    </w:p>
    <w:p w14:paraId="39B72187" w14:textId="77777777" w:rsidR="00531828" w:rsidRPr="00671E8F" w:rsidRDefault="00531828" w:rsidP="000E0EDA">
      <w:pPr>
        <w:spacing w:after="80"/>
        <w:rPr>
          <w:rFonts w:cstheme="minorHAnsi"/>
          <w:sz w:val="16"/>
        </w:rPr>
      </w:pPr>
      <w:r w:rsidRPr="00671E8F">
        <w:rPr>
          <w:noProof/>
          <w:lang w:val="en-US"/>
        </w:rPr>
        <w:drawing>
          <wp:inline distT="0" distB="0" distL="0" distR="0" wp14:anchorId="13261BDE" wp14:editId="0E6B298B">
            <wp:extent cx="2735580" cy="2019631"/>
            <wp:effectExtent l="0" t="0" r="7620" b="0"/>
            <wp:docPr id="118" name="Chart 118">
              <a:extLst xmlns:a="http://schemas.openxmlformats.org/drawingml/2006/main">
                <a:ext uri="{FF2B5EF4-FFF2-40B4-BE49-F238E27FC236}">
                  <a16:creationId xmlns:a16="http://schemas.microsoft.com/office/drawing/2014/main" id="{00000000-0008-0000-1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418E09F1" w14:textId="77777777" w:rsidR="00531828" w:rsidRPr="00671E8F" w:rsidRDefault="00531828" w:rsidP="000E0EDA">
      <w:pPr>
        <w:spacing w:after="0"/>
        <w:rPr>
          <w:rFonts w:cstheme="minorHAnsi"/>
          <w:sz w:val="16"/>
        </w:rPr>
      </w:pPr>
      <w:r w:rsidRPr="00671E8F">
        <w:rPr>
          <w:rFonts w:cstheme="minorHAnsi"/>
          <w:sz w:val="16"/>
        </w:rPr>
        <w:t>Извор: Министарство финансија, НБС, РЗС</w:t>
      </w:r>
    </w:p>
    <w:p w14:paraId="01202A7C" w14:textId="77777777" w:rsidR="00531828" w:rsidRPr="00671E8F" w:rsidRDefault="00531828" w:rsidP="000E0EDA">
      <w:pPr>
        <w:rPr>
          <w:rFonts w:cstheme="minorHAnsi"/>
          <w:sz w:val="16"/>
        </w:rPr>
      </w:pPr>
      <w:r w:rsidRPr="00671E8F">
        <w:rPr>
          <w:rFonts w:cstheme="minorHAnsi"/>
          <w:sz w:val="16"/>
        </w:rPr>
        <w:t>* Процена МФИН.</w:t>
      </w:r>
    </w:p>
    <w:p w14:paraId="4A0A98E9" w14:textId="78D7D557" w:rsidR="00531828" w:rsidRPr="00671E8F" w:rsidRDefault="00410D7F" w:rsidP="000E0EDA">
      <w:pPr>
        <w:rPr>
          <w:rFonts w:eastAsia="Times New Roman" w:cstheme="minorHAnsi"/>
          <w:szCs w:val="24"/>
        </w:rPr>
      </w:pPr>
      <w:r w:rsidRPr="00671E8F">
        <w:rPr>
          <w:rFonts w:eastAsia="Times New Roman" w:cstheme="minorHAnsi"/>
          <w:szCs w:val="24"/>
        </w:rPr>
        <w:lastRenderedPageBreak/>
        <w:t xml:space="preserve">Пројектовано брже просечно повећање робног увоза од робног извоза услед убрзане динамике инвестиција довешће до благог </w:t>
      </w:r>
      <w:r w:rsidR="00531828" w:rsidRPr="00671E8F">
        <w:rPr>
          <w:rFonts w:eastAsia="Times New Roman" w:cstheme="minorHAnsi"/>
          <w:szCs w:val="24"/>
        </w:rPr>
        <w:t>повећа</w:t>
      </w:r>
      <w:r w:rsidRPr="00671E8F">
        <w:rPr>
          <w:rFonts w:eastAsia="Times New Roman" w:cstheme="minorHAnsi"/>
          <w:szCs w:val="24"/>
        </w:rPr>
        <w:t>ња</w:t>
      </w:r>
      <w:r w:rsidR="00531828" w:rsidRPr="00671E8F">
        <w:rPr>
          <w:rFonts w:eastAsia="Times New Roman" w:cstheme="minorHAnsi"/>
          <w:szCs w:val="24"/>
        </w:rPr>
        <w:t xml:space="preserve"> спољнотрговинск</w:t>
      </w:r>
      <w:r w:rsidRPr="00671E8F">
        <w:rPr>
          <w:rFonts w:eastAsia="Times New Roman" w:cstheme="minorHAnsi"/>
          <w:szCs w:val="24"/>
        </w:rPr>
        <w:t>ог</w:t>
      </w:r>
      <w:r w:rsidR="00531828" w:rsidRPr="00671E8F">
        <w:rPr>
          <w:rFonts w:eastAsia="Times New Roman" w:cstheme="minorHAnsi"/>
          <w:szCs w:val="24"/>
        </w:rPr>
        <w:t xml:space="preserve"> дефицит</w:t>
      </w:r>
      <w:r w:rsidRPr="00671E8F">
        <w:rPr>
          <w:rFonts w:eastAsia="Times New Roman" w:cstheme="minorHAnsi"/>
          <w:szCs w:val="24"/>
        </w:rPr>
        <w:t>а</w:t>
      </w:r>
      <w:r w:rsidR="00531828" w:rsidRPr="00671E8F">
        <w:rPr>
          <w:rFonts w:eastAsia="Times New Roman" w:cstheme="minorHAnsi"/>
          <w:szCs w:val="24"/>
        </w:rPr>
        <w:t xml:space="preserve"> роба на 10,9% БДП у</w:t>
      </w:r>
      <w:r w:rsidR="00984A71" w:rsidRPr="00671E8F">
        <w:rPr>
          <w:rFonts w:eastAsia="Times New Roman" w:cstheme="minorHAnsi"/>
          <w:szCs w:val="24"/>
        </w:rPr>
        <w:t xml:space="preserve"> </w:t>
      </w:r>
      <w:r w:rsidR="00531828" w:rsidRPr="00671E8F">
        <w:rPr>
          <w:rFonts w:eastAsia="Times New Roman" w:cstheme="minorHAnsi"/>
          <w:szCs w:val="24"/>
        </w:rPr>
        <w:t>2027. години, са овогодишњих 9,9%. Предвиђа се наставак повољних кретања на рачуну услуга, где ће суфицит у пројектованом трогодишњем периоду износити у просеку 4,9 млрд евра. Прилив по основу текућих трансфера износиће у просеку 5,9% БДП годишње, при чему ће приходи од дознака задржати улогу доминантне компоненте.</w:t>
      </w:r>
      <w:r w:rsidR="00531828" w:rsidRPr="00671E8F">
        <w:rPr>
          <w:rFonts w:eastAsia="Times New Roman" w:cstheme="minorHAnsi"/>
          <w:color w:val="FF0000"/>
          <w:szCs w:val="24"/>
        </w:rPr>
        <w:t xml:space="preserve"> </w:t>
      </w:r>
      <w:r w:rsidR="00531828" w:rsidRPr="00671E8F">
        <w:rPr>
          <w:rFonts w:eastAsia="Times New Roman" w:cstheme="minorHAnsi"/>
          <w:szCs w:val="24"/>
        </w:rPr>
        <w:t>Нето ефекат текућих трансфера и нето факторских плаћања у наредном трогодишњем периоду биће позитиван, што ће ублажити дефицит спољнотрговинског биланса роба и услуга. Оваква кретања уз пројектовану динамику економске активности имаће за резултат постепени раст учешћа дефицита текућег рачуна платног биланса</w:t>
      </w:r>
      <w:r w:rsidR="005A4987" w:rsidRPr="00671E8F">
        <w:rPr>
          <w:rFonts w:eastAsia="Times New Roman" w:cstheme="minorHAnsi"/>
          <w:szCs w:val="24"/>
        </w:rPr>
        <w:t xml:space="preserve"> на 5,4% у 2026. години. Међутим, у 2027. години очекује се значајно смањење дефицита текућег рачуна, на 4,2%, услед значајног раста извоза услуга у години одржавања специјализоване изложбе „ЕХПО 2027", али и по основу побољшања спољнотрговинске робне размене.</w:t>
      </w:r>
      <w:r w:rsidR="00984A71" w:rsidRPr="00671E8F">
        <w:rPr>
          <w:rFonts w:eastAsia="Times New Roman" w:cstheme="minorHAnsi"/>
          <w:szCs w:val="24"/>
        </w:rPr>
        <w:t xml:space="preserve"> </w:t>
      </w:r>
    </w:p>
    <w:p w14:paraId="54099EDC" w14:textId="77777777" w:rsidR="00AA3BC6" w:rsidRPr="00671E8F" w:rsidRDefault="00AA3BC6" w:rsidP="000E0EDA">
      <w:pPr>
        <w:spacing w:after="40"/>
        <w:jc w:val="center"/>
        <w:rPr>
          <w:rFonts w:cstheme="minorHAnsi"/>
          <w:b/>
          <w:color w:val="002060"/>
        </w:rPr>
      </w:pPr>
    </w:p>
    <w:p w14:paraId="696DC2E9" w14:textId="77777777" w:rsidR="00AA3BC6" w:rsidRPr="00671E8F" w:rsidRDefault="00AA3BC6" w:rsidP="000E0EDA">
      <w:pPr>
        <w:spacing w:after="40"/>
        <w:jc w:val="center"/>
        <w:rPr>
          <w:rFonts w:cstheme="minorHAnsi"/>
          <w:b/>
          <w:color w:val="002060"/>
        </w:rPr>
      </w:pPr>
    </w:p>
    <w:p w14:paraId="731C4B31" w14:textId="77777777" w:rsidR="00AA3BC6" w:rsidRPr="00671E8F" w:rsidRDefault="00AA3BC6" w:rsidP="000E0EDA">
      <w:pPr>
        <w:spacing w:after="40"/>
        <w:jc w:val="center"/>
        <w:rPr>
          <w:rFonts w:cstheme="minorHAnsi"/>
          <w:b/>
          <w:color w:val="002060"/>
        </w:rPr>
      </w:pPr>
    </w:p>
    <w:p w14:paraId="1398EF86" w14:textId="11B963DB" w:rsidR="00531828" w:rsidRPr="00671E8F" w:rsidRDefault="00531828" w:rsidP="000E0EDA">
      <w:pPr>
        <w:spacing w:after="40"/>
        <w:jc w:val="center"/>
        <w:rPr>
          <w:rFonts w:cstheme="minorHAnsi"/>
          <w:b/>
          <w:color w:val="002060"/>
        </w:rPr>
      </w:pPr>
      <w:r w:rsidRPr="00671E8F">
        <w:rPr>
          <w:rFonts w:cstheme="minorHAnsi"/>
          <w:b/>
          <w:color w:val="002060"/>
        </w:rPr>
        <w:t>Дефицит текућег рачуна и СДИ, % БДП</w:t>
      </w:r>
    </w:p>
    <w:p w14:paraId="6D29B48E" w14:textId="2B1AE47D" w:rsidR="00531828" w:rsidRPr="00671E8F" w:rsidRDefault="00046551" w:rsidP="000E0EDA">
      <w:pPr>
        <w:spacing w:after="40"/>
        <w:jc w:val="center"/>
        <w:rPr>
          <w:rFonts w:cstheme="minorHAnsi"/>
        </w:rPr>
      </w:pPr>
      <w:r w:rsidRPr="00671E8F">
        <w:rPr>
          <w:noProof/>
          <w:lang w:val="en-US"/>
        </w:rPr>
        <w:drawing>
          <wp:inline distT="0" distB="0" distL="0" distR="0" wp14:anchorId="41BC6281" wp14:editId="1343125C">
            <wp:extent cx="2743200" cy="2039620"/>
            <wp:effectExtent l="0" t="0" r="1270" b="0"/>
            <wp:docPr id="5" name="Chart 5">
              <a:extLst xmlns:a="http://schemas.openxmlformats.org/drawingml/2006/main">
                <a:ext uri="{FF2B5EF4-FFF2-40B4-BE49-F238E27FC236}">
                  <a16:creationId xmlns:a16="http://schemas.microsoft.com/office/drawing/2014/main" id="{00000000-0008-0000-1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7400935C" w14:textId="77777777" w:rsidR="00531828" w:rsidRPr="00671E8F" w:rsidRDefault="00531828" w:rsidP="000E0EDA">
      <w:pPr>
        <w:spacing w:after="0"/>
        <w:rPr>
          <w:rFonts w:cstheme="minorHAnsi"/>
          <w:sz w:val="16"/>
        </w:rPr>
      </w:pPr>
      <w:r w:rsidRPr="00671E8F">
        <w:rPr>
          <w:rFonts w:cstheme="minorHAnsi"/>
          <w:sz w:val="16"/>
        </w:rPr>
        <w:t>Извор: НБС и Министарство финансија</w:t>
      </w:r>
    </w:p>
    <w:p w14:paraId="5522204A" w14:textId="77777777" w:rsidR="00531828" w:rsidRPr="00671E8F" w:rsidRDefault="00531828" w:rsidP="000E0EDA">
      <w:pPr>
        <w:rPr>
          <w:rFonts w:cstheme="minorHAnsi"/>
          <w:sz w:val="16"/>
        </w:rPr>
      </w:pPr>
      <w:r w:rsidRPr="00671E8F">
        <w:rPr>
          <w:rFonts w:cstheme="minorHAnsi"/>
          <w:sz w:val="16"/>
        </w:rPr>
        <w:t>* Процена МФИН.</w:t>
      </w:r>
    </w:p>
    <w:p w14:paraId="6AFF8E34" w14:textId="5F53E0EE" w:rsidR="00531828" w:rsidRPr="00671E8F" w:rsidRDefault="00531828" w:rsidP="000E0EDA">
      <w:r w:rsidRPr="00671E8F">
        <w:rPr>
          <w:rFonts w:eastAsia="Times New Roman" w:cstheme="minorHAnsi"/>
          <w:szCs w:val="24"/>
        </w:rPr>
        <w:t xml:space="preserve">У структури финансијског рачуна доминираће удео СДИ са учешћем у БДП од </w:t>
      </w:r>
      <w:r w:rsidR="00321050" w:rsidRPr="00671E8F">
        <w:rPr>
          <w:rFonts w:eastAsia="Times New Roman" w:cstheme="minorHAnsi"/>
          <w:szCs w:val="24"/>
        </w:rPr>
        <w:t>5,2</w:t>
      </w:r>
      <w:r w:rsidRPr="00671E8F">
        <w:rPr>
          <w:rFonts w:eastAsia="Times New Roman" w:cstheme="minorHAnsi"/>
          <w:szCs w:val="24"/>
        </w:rPr>
        <w:t>% просечно годишње. Овај прилив ће уједно бити главни извор финансирања дефицита текућег рачуна. Задржана повољна инвестициона перспектива</w:t>
      </w:r>
      <w:r w:rsidRPr="00671E8F">
        <w:rPr>
          <w:rFonts w:cstheme="minorHAnsi"/>
          <w:color w:val="FF0000"/>
        </w:rPr>
        <w:t xml:space="preserve"> </w:t>
      </w:r>
      <w:r w:rsidRPr="00671E8F">
        <w:rPr>
          <w:rFonts w:cstheme="minorHAnsi"/>
        </w:rPr>
        <w:t>наше земље и очекиван наставак високог прилива СДИ, као и њихова даља диверсификација ка сектору разменљивих добара, допринеће наставку раста извоза и јачању спољне и унутрашње макроекономске равнотеже.</w:t>
      </w:r>
    </w:p>
    <w:p w14:paraId="52AE3399" w14:textId="77777777" w:rsidR="00531828" w:rsidRPr="00671E8F" w:rsidRDefault="00531828" w:rsidP="00AD6DF6">
      <w:pPr>
        <w:sectPr w:rsidR="00531828" w:rsidRPr="00671E8F" w:rsidSect="00531828">
          <w:footerReference w:type="default" r:id="rId107"/>
          <w:type w:val="continuous"/>
          <w:pgSz w:w="12240" w:h="15840" w:code="1"/>
          <w:pgMar w:top="1440" w:right="1440" w:bottom="1440" w:left="1440" w:header="720" w:footer="720" w:gutter="0"/>
          <w:cols w:num="2" w:space="720"/>
          <w:titlePg/>
          <w:docGrid w:linePitch="360"/>
          <w15:footnoteColumns w:val="1"/>
        </w:sectPr>
      </w:pPr>
    </w:p>
    <w:p w14:paraId="16B76704" w14:textId="617A6889" w:rsidR="00D2027F" w:rsidRPr="00671E8F" w:rsidRDefault="006B475C" w:rsidP="006B475C">
      <w:pPr>
        <w:jc w:val="left"/>
        <w:rPr>
          <w:rFonts w:eastAsiaTheme="majorEastAsia" w:cstheme="minorHAnsi"/>
          <w:b/>
          <w:color w:val="2F5496" w:themeColor="accent1" w:themeShade="BF"/>
          <w:sz w:val="24"/>
          <w:szCs w:val="24"/>
        </w:rPr>
      </w:pPr>
      <w:bookmarkStart w:id="19" w:name="_Toc11155989"/>
      <w:bookmarkStart w:id="20" w:name="_Toc56667074"/>
      <w:bookmarkStart w:id="21" w:name="_Toc86923720"/>
      <w:bookmarkStart w:id="22" w:name="_Toc119654143"/>
      <w:bookmarkStart w:id="23" w:name="_Toc135994499"/>
      <w:bookmarkStart w:id="24" w:name="_Toc146277914"/>
      <w:bookmarkStart w:id="25" w:name="_Toc148431267"/>
      <w:bookmarkStart w:id="26" w:name="_Toc86923722"/>
      <w:bookmarkStart w:id="27" w:name="_Toc11155992"/>
      <w:bookmarkStart w:id="28" w:name="_Toc56667077"/>
      <w:bookmarkStart w:id="29" w:name="_Toc24119837"/>
      <w:bookmarkStart w:id="30" w:name="_Toc530635105"/>
      <w:bookmarkStart w:id="31" w:name="_Toc24119831"/>
      <w:bookmarkStart w:id="32" w:name="_Toc56667076"/>
      <w:bookmarkStart w:id="33" w:name="_Toc530635106"/>
      <w:r w:rsidRPr="00671E8F">
        <w:rPr>
          <w:rFonts w:eastAsiaTheme="majorEastAsia" w:cstheme="minorHAnsi"/>
          <w:b/>
          <w:color w:val="2F5496" w:themeColor="accent1" w:themeShade="BF"/>
          <w:sz w:val="24"/>
          <w:szCs w:val="24"/>
        </w:rPr>
        <w:br w:type="page"/>
      </w:r>
    </w:p>
    <w:p w14:paraId="03BBD055" w14:textId="5C6E4A79" w:rsidR="00473C3B" w:rsidRPr="00671E8F" w:rsidRDefault="00473C3B" w:rsidP="000B4ACD">
      <w:pPr>
        <w:pStyle w:val="Heading1"/>
        <w:spacing w:after="240"/>
        <w:jc w:val="center"/>
        <w:rPr>
          <w:rFonts w:asciiTheme="minorHAnsi" w:hAnsiTheme="minorHAnsi" w:cstheme="minorHAnsi"/>
          <w:b/>
          <w:sz w:val="26"/>
          <w:szCs w:val="26"/>
        </w:rPr>
      </w:pPr>
      <w:bookmarkStart w:id="34" w:name="_Toc181190966"/>
      <w:r w:rsidRPr="00671E8F">
        <w:rPr>
          <w:rFonts w:asciiTheme="minorHAnsi" w:hAnsiTheme="minorHAnsi" w:cstheme="minorHAnsi"/>
          <w:b/>
          <w:sz w:val="26"/>
          <w:szCs w:val="26"/>
        </w:rPr>
        <w:lastRenderedPageBreak/>
        <w:t>II. ФИСКАЛНИ ОКВИР ЗА ПЕРИОД ОД 2025. ДО 2027. ГОДИНЕ</w:t>
      </w:r>
      <w:bookmarkStart w:id="35" w:name="_Toc528909823"/>
      <w:bookmarkStart w:id="36" w:name="_Toc530635104"/>
      <w:bookmarkEnd w:id="19"/>
      <w:bookmarkEnd w:id="20"/>
      <w:bookmarkEnd w:id="21"/>
      <w:bookmarkEnd w:id="22"/>
      <w:bookmarkEnd w:id="23"/>
      <w:bookmarkEnd w:id="24"/>
      <w:bookmarkEnd w:id="25"/>
      <w:bookmarkEnd w:id="34"/>
    </w:p>
    <w:p w14:paraId="57340F30" w14:textId="77777777" w:rsidR="00473C3B" w:rsidRPr="00671E8F" w:rsidRDefault="00473C3B" w:rsidP="000B4ACD">
      <w:pPr>
        <w:pStyle w:val="Heading2"/>
        <w:jc w:val="center"/>
        <w:rPr>
          <w:rFonts w:asciiTheme="minorHAnsi" w:hAnsiTheme="minorHAnsi" w:cstheme="minorHAnsi"/>
          <w:b/>
          <w:sz w:val="24"/>
        </w:rPr>
      </w:pPr>
      <w:bookmarkStart w:id="37" w:name="_Toc11155990"/>
      <w:bookmarkStart w:id="38" w:name="_Toc56667075"/>
      <w:bookmarkStart w:id="39" w:name="_Toc86923721"/>
      <w:bookmarkStart w:id="40" w:name="_Toc119654144"/>
      <w:bookmarkStart w:id="41" w:name="_Toc135994500"/>
      <w:bookmarkStart w:id="42" w:name="_Toc146277915"/>
      <w:bookmarkStart w:id="43" w:name="_Toc148431268"/>
      <w:bookmarkStart w:id="44" w:name="_Toc181190967"/>
      <w:r w:rsidRPr="00671E8F">
        <w:rPr>
          <w:rFonts w:asciiTheme="minorHAnsi" w:hAnsiTheme="minorHAnsi" w:cstheme="minorHAnsi"/>
          <w:b/>
          <w:sz w:val="24"/>
        </w:rPr>
        <w:t xml:space="preserve">1. </w:t>
      </w:r>
      <w:bookmarkEnd w:id="35"/>
      <w:r w:rsidRPr="00671E8F">
        <w:rPr>
          <w:rFonts w:asciiTheme="minorHAnsi" w:hAnsiTheme="minorHAnsi" w:cstheme="minorHAnsi"/>
          <w:b/>
          <w:sz w:val="24"/>
        </w:rPr>
        <w:t>Средњорочни циљеви фискалне политике</w:t>
      </w:r>
      <w:bookmarkEnd w:id="36"/>
      <w:bookmarkEnd w:id="37"/>
      <w:bookmarkEnd w:id="38"/>
      <w:bookmarkEnd w:id="39"/>
      <w:bookmarkEnd w:id="40"/>
      <w:bookmarkEnd w:id="41"/>
      <w:bookmarkEnd w:id="42"/>
      <w:bookmarkEnd w:id="43"/>
      <w:bookmarkEnd w:id="44"/>
    </w:p>
    <w:p w14:paraId="03379B21" w14:textId="73BBF7E7" w:rsidR="00473C3B" w:rsidRPr="00671E8F" w:rsidRDefault="00473C3B" w:rsidP="00473C3B">
      <w:pPr>
        <w:spacing w:after="360"/>
        <w:rPr>
          <w:rFonts w:ascii="Calibri" w:hAnsi="Calibri" w:cs="Calibri"/>
          <w:bCs/>
          <w:szCs w:val="20"/>
        </w:rPr>
      </w:pPr>
    </w:p>
    <w:p w14:paraId="3E6FF27D" w14:textId="728CE1FE" w:rsidR="000B4ACD" w:rsidRPr="00671E8F" w:rsidRDefault="000B4ACD" w:rsidP="00473C3B">
      <w:pPr>
        <w:spacing w:after="360"/>
        <w:rPr>
          <w:rFonts w:ascii="Calibri" w:hAnsi="Calibri" w:cs="Calibri"/>
          <w:bCs/>
          <w:szCs w:val="20"/>
        </w:rPr>
        <w:sectPr w:rsidR="000B4ACD" w:rsidRPr="00671E8F" w:rsidSect="00473C3B">
          <w:headerReference w:type="even" r:id="rId108"/>
          <w:footerReference w:type="even" r:id="rId109"/>
          <w:footerReference w:type="default" r:id="rId110"/>
          <w:headerReference w:type="first" r:id="rId111"/>
          <w:type w:val="continuous"/>
          <w:pgSz w:w="12240" w:h="15840" w:code="1"/>
          <w:pgMar w:top="1440" w:right="1440" w:bottom="1440" w:left="1440" w:header="720" w:footer="720" w:gutter="0"/>
          <w:cols w:space="720"/>
          <w:titlePg/>
          <w:docGrid w:linePitch="360"/>
        </w:sectPr>
      </w:pPr>
    </w:p>
    <w:p w14:paraId="0746E9AE" w14:textId="77777777" w:rsidR="00473C3B" w:rsidRPr="00671E8F" w:rsidRDefault="00473C3B" w:rsidP="00473C3B">
      <w:pPr>
        <w:spacing w:after="120"/>
        <w:rPr>
          <w:rFonts w:ascii="Calibri" w:hAnsi="Calibri" w:cs="Calibri"/>
          <w:bCs/>
          <w:szCs w:val="20"/>
        </w:rPr>
      </w:pPr>
      <w:r w:rsidRPr="00671E8F">
        <w:rPr>
          <w:rFonts w:ascii="Calibri" w:hAnsi="Calibri" w:cs="Calibri"/>
          <w:bCs/>
          <w:szCs w:val="20"/>
        </w:rPr>
        <w:t>Смиривање пандемије коронавируса, висока инфлација изазвана кризом на међународним тржиштима енергије и сировина и сукоб у Украјини обележили су претходни период у свету, уз неизвесност која би могла да потраје дужи временски период. У таквој ситуацији задатак економске и фискалне политике био је да обезбеди стабилност привредних токова и очува стандард грађана.</w:t>
      </w:r>
    </w:p>
    <w:p w14:paraId="467F5D87" w14:textId="77777777" w:rsidR="00473C3B" w:rsidRPr="00671E8F" w:rsidRDefault="00473C3B" w:rsidP="00473C3B">
      <w:pPr>
        <w:spacing w:after="120"/>
        <w:rPr>
          <w:rFonts w:ascii="Calibri" w:hAnsi="Calibri" w:cs="Calibri"/>
          <w:bCs/>
          <w:szCs w:val="20"/>
        </w:rPr>
      </w:pPr>
      <w:r w:rsidRPr="00671E8F">
        <w:rPr>
          <w:rFonts w:ascii="Calibri" w:hAnsi="Calibri" w:cs="Calibri"/>
          <w:bCs/>
          <w:szCs w:val="20"/>
        </w:rPr>
        <w:t>Претходна година је, ипак, била релативно стабилна у економском смислу, са очекиваном динамиком макроекономских кретања и нешто бољим резултатима фискалних агрегата. Повољни фискални трендови оличени у бољој наплати прихода од очекиване и уштедама на средствима која су намењена превазилажењу енергетске кризe довели су до нижих нивоа дефицита и дуга. Овакав развој догађаја омогућава бољу фискалну слику у средњорочном периоду, брже снижавање нивоа јавног дуга и већи фискални простор.</w:t>
      </w:r>
    </w:p>
    <w:p w14:paraId="1F33E00C" w14:textId="77777777" w:rsidR="00473C3B" w:rsidRPr="00671E8F" w:rsidRDefault="00473C3B" w:rsidP="00473C3B">
      <w:pPr>
        <w:spacing w:after="120"/>
        <w:rPr>
          <w:rFonts w:ascii="Calibri" w:hAnsi="Calibri" w:cs="Calibri"/>
          <w:bCs/>
          <w:szCs w:val="20"/>
        </w:rPr>
      </w:pPr>
      <w:r w:rsidRPr="00671E8F">
        <w:rPr>
          <w:rFonts w:ascii="Calibri" w:hAnsi="Calibri" w:cs="Calibri"/>
          <w:bCs/>
          <w:color w:val="323E4F" w:themeColor="text2" w:themeShade="BF"/>
          <w:szCs w:val="20"/>
        </w:rPr>
        <w:t xml:space="preserve">Већи фискални простор, односно целокупна добра фискална позиција уз очекивана повољна макроекономска кретања омогућавају нови инвестициони циклус оличен у програму „Скок у будућност - Србија 2027” и изложби ЕКСПО 2027. Овај програм ће бити окосница економског и друштвеног развоја државе у наредном периоду. С обзиром на предвиђена велика улагања у склопу програма и припрема за Експо привремено се очекује издашнија фискална политика, али уз поштовање принципа снижавања нивоа јавног дуга. Битно је да ће повећање дефицита бити резултат раста капиталних издатака, што ће </w:t>
      </w:r>
      <w:r w:rsidRPr="00671E8F">
        <w:rPr>
          <w:rFonts w:ascii="Calibri" w:hAnsi="Calibri" w:cs="Calibri"/>
          <w:bCs/>
          <w:color w:val="323E4F" w:themeColor="text2" w:themeShade="BF"/>
          <w:szCs w:val="20"/>
        </w:rPr>
        <w:t xml:space="preserve">додатно да помогне макроекономским токовима и убрза раст економије. </w:t>
      </w:r>
      <w:r w:rsidRPr="00671E8F">
        <w:rPr>
          <w:rFonts w:ascii="Calibri" w:hAnsi="Calibri" w:cs="Calibri"/>
          <w:bCs/>
          <w:szCs w:val="20"/>
        </w:rPr>
        <w:t>Паралелно са тим потребно је обезбедити простор за правовремену реакцију фискалне политике на економске шокове. Међународно окружење је и даље неизвесно у погледу глобалних економских токова тако да би евентуална фискална интервенција државе у циљу минимизирања негативних екстерних ефеката свакако била комбинована са настојањима да се наставе развојни програми и инфраструктурни пројекти финансирани из буџета.</w:t>
      </w:r>
    </w:p>
    <w:p w14:paraId="2426F903" w14:textId="77777777" w:rsidR="00473C3B" w:rsidRPr="00671E8F" w:rsidRDefault="00473C3B" w:rsidP="00473C3B">
      <w:pPr>
        <w:spacing w:after="120"/>
        <w:rPr>
          <w:rFonts w:ascii="Calibri" w:hAnsi="Calibri" w:cs="Calibri"/>
          <w:bCs/>
          <w:szCs w:val="20"/>
        </w:rPr>
      </w:pPr>
      <w:r w:rsidRPr="00671E8F">
        <w:rPr>
          <w:rFonts w:ascii="Calibri" w:hAnsi="Calibri" w:cs="Calibri"/>
          <w:bCs/>
          <w:szCs w:val="20"/>
        </w:rPr>
        <w:t>С обзиром на неизвесну економску ситуацију, буџет ће свакако представљати „сигурносну мрежу” у случају ескалације неповољних кретања. Са једне стране обезбедиће се континуитет развојних и социјалних програма, а са друге стране одрживост јавних финансија и наставак смањења нивоа јавног дуга у смислу учешћа у БДП. Имајући у виду очекивана макроекономска кретања, предвиђени годишњи фискални дефицити омогућавају смањење учешћа дуга сектора државе у БДП и у наредном периоду.</w:t>
      </w:r>
    </w:p>
    <w:p w14:paraId="062BBAF7" w14:textId="77777777" w:rsidR="00473C3B" w:rsidRPr="00671E8F" w:rsidRDefault="00473C3B" w:rsidP="00473C3B">
      <w:pPr>
        <w:spacing w:after="120"/>
        <w:rPr>
          <w:rFonts w:ascii="Calibri" w:hAnsi="Calibri" w:cs="Calibri"/>
          <w:bCs/>
          <w:szCs w:val="20"/>
        </w:rPr>
      </w:pPr>
      <w:r w:rsidRPr="00671E8F">
        <w:rPr>
          <w:rFonts w:ascii="Calibri" w:hAnsi="Calibri" w:cs="Calibri"/>
          <w:bCs/>
          <w:szCs w:val="20"/>
        </w:rPr>
        <w:t>Фискална политика ће у наредном периоду бити фокусирана, у складу са расположивим фискалним простором, и на даље смањење укупног пореског оптерећења рада чиме се додатно растерећује привреда, односно повећава конкурентност приватног сектора. На расходној страни, осим инфраструктурних и капиталних пројеката, приоритет ће бити политика пензија и плата, како би се наставио раст животног стандарда становништва.</w:t>
      </w:r>
    </w:p>
    <w:p w14:paraId="56B04529" w14:textId="77777777" w:rsidR="00473C3B" w:rsidRPr="00671E8F" w:rsidRDefault="00473C3B" w:rsidP="00473C3B">
      <w:pPr>
        <w:rPr>
          <w:lang w:eastAsia="ja-JP"/>
        </w:rPr>
        <w:sectPr w:rsidR="00473C3B" w:rsidRPr="00671E8F" w:rsidSect="00473C3B">
          <w:headerReference w:type="even" r:id="rId112"/>
          <w:headerReference w:type="default" r:id="rId113"/>
          <w:footerReference w:type="even" r:id="rId114"/>
          <w:footerReference w:type="default" r:id="rId115"/>
          <w:headerReference w:type="first" r:id="rId116"/>
          <w:type w:val="continuous"/>
          <w:pgSz w:w="12240" w:h="15840" w:code="1"/>
          <w:pgMar w:top="1440" w:right="1440" w:bottom="1440" w:left="1440" w:header="720" w:footer="720" w:gutter="0"/>
          <w:cols w:num="2" w:space="720"/>
          <w:docGrid w:linePitch="360"/>
        </w:sectPr>
      </w:pPr>
    </w:p>
    <w:p w14:paraId="616626AF" w14:textId="5FF786A6" w:rsidR="00473C3B" w:rsidRPr="00671E8F" w:rsidRDefault="00473C3B" w:rsidP="00473C3B">
      <w:pPr>
        <w:rPr>
          <w:szCs w:val="26"/>
        </w:rPr>
        <w:sectPr w:rsidR="00473C3B" w:rsidRPr="00671E8F" w:rsidSect="00473C3B">
          <w:headerReference w:type="even" r:id="rId117"/>
          <w:headerReference w:type="default" r:id="rId118"/>
          <w:footerReference w:type="even" r:id="rId119"/>
          <w:footerReference w:type="default" r:id="rId120"/>
          <w:headerReference w:type="first" r:id="rId121"/>
          <w:type w:val="continuous"/>
          <w:pgSz w:w="12240" w:h="15840" w:code="1"/>
          <w:pgMar w:top="1440" w:right="1440" w:bottom="1440" w:left="1440" w:header="720" w:footer="720" w:gutter="0"/>
          <w:cols w:space="720"/>
          <w:titlePg/>
          <w:docGrid w:linePitch="360"/>
        </w:sectPr>
      </w:pPr>
      <w:bookmarkStart w:id="45" w:name="_Toc119654146"/>
      <w:bookmarkStart w:id="46" w:name="_Toc135994503"/>
      <w:bookmarkStart w:id="47" w:name="_Toc146277917"/>
      <w:bookmarkStart w:id="48" w:name="_Toc148431270"/>
      <w:bookmarkStart w:id="49" w:name="_Toc56667078"/>
      <w:bookmarkStart w:id="50" w:name="_Toc119326595"/>
      <w:bookmarkStart w:id="51" w:name="_Toc119654148"/>
      <w:bookmarkStart w:id="52" w:name="_Toc135994505"/>
      <w:bookmarkEnd w:id="26"/>
      <w:bookmarkEnd w:id="27"/>
      <w:bookmarkEnd w:id="28"/>
      <w:bookmarkEnd w:id="29"/>
      <w:bookmarkEnd w:id="30"/>
      <w:bookmarkEnd w:id="31"/>
      <w:bookmarkEnd w:id="32"/>
      <w:bookmarkEnd w:id="33"/>
    </w:p>
    <w:p w14:paraId="26E6F831" w14:textId="77777777" w:rsidR="00473C3B" w:rsidRPr="00671E8F" w:rsidRDefault="00473C3B" w:rsidP="000B4ACD">
      <w:pPr>
        <w:pStyle w:val="Heading2"/>
        <w:jc w:val="center"/>
        <w:rPr>
          <w:rFonts w:asciiTheme="minorHAnsi" w:hAnsiTheme="minorHAnsi" w:cstheme="minorHAnsi"/>
          <w:b/>
          <w:sz w:val="24"/>
        </w:rPr>
      </w:pPr>
      <w:bookmarkStart w:id="53" w:name="_Toc181190968"/>
      <w:bookmarkStart w:id="54" w:name="_Toc73364969"/>
      <w:bookmarkStart w:id="55" w:name="_Toc119654145"/>
      <w:bookmarkStart w:id="56" w:name="_Toc135994502"/>
      <w:bookmarkStart w:id="57" w:name="_Toc146277916"/>
      <w:bookmarkStart w:id="58" w:name="_Toc148431269"/>
      <w:r w:rsidRPr="00671E8F">
        <w:rPr>
          <w:rFonts w:asciiTheme="minorHAnsi" w:hAnsiTheme="minorHAnsi" w:cstheme="minorHAnsi"/>
          <w:b/>
          <w:sz w:val="24"/>
        </w:rPr>
        <w:t>2. Текућа фискална кретања и изгледи за 2024. годину</w:t>
      </w:r>
      <w:bookmarkEnd w:id="53"/>
    </w:p>
    <w:p w14:paraId="05CC49DE" w14:textId="6486CE6A" w:rsidR="00473C3B" w:rsidRPr="00671E8F" w:rsidRDefault="00473C3B" w:rsidP="00473C3B">
      <w:pPr>
        <w:keepNext/>
        <w:keepLines/>
        <w:outlineLvl w:val="1"/>
        <w:rPr>
          <w:rFonts w:eastAsia="MS PGothic" w:cstheme="minorHAnsi"/>
          <w:b/>
          <w:color w:val="2F5496" w:themeColor="accent1" w:themeShade="BF"/>
          <w:sz w:val="24"/>
          <w:szCs w:val="26"/>
          <w:lang w:eastAsia="ja-JP"/>
        </w:rPr>
      </w:pPr>
    </w:p>
    <w:p w14:paraId="22A9B112" w14:textId="77777777" w:rsidR="000B4ACD" w:rsidRPr="00671E8F" w:rsidRDefault="000B4ACD" w:rsidP="00473C3B">
      <w:pPr>
        <w:keepNext/>
        <w:keepLines/>
        <w:outlineLvl w:val="1"/>
        <w:rPr>
          <w:rFonts w:eastAsia="MS PGothic" w:cstheme="minorHAnsi"/>
          <w:b/>
          <w:color w:val="2F5496" w:themeColor="accent1" w:themeShade="BF"/>
          <w:sz w:val="24"/>
          <w:szCs w:val="26"/>
          <w:lang w:eastAsia="ja-JP"/>
        </w:rPr>
        <w:sectPr w:rsidR="000B4ACD" w:rsidRPr="00671E8F" w:rsidSect="00473C3B">
          <w:headerReference w:type="even" r:id="rId122"/>
          <w:headerReference w:type="default" r:id="rId123"/>
          <w:footerReference w:type="even" r:id="rId124"/>
          <w:footerReference w:type="default" r:id="rId125"/>
          <w:type w:val="continuous"/>
          <w:pgSz w:w="12240" w:h="15840" w:code="1"/>
          <w:pgMar w:top="1440" w:right="1440" w:bottom="1440" w:left="1440" w:header="720" w:footer="720" w:gutter="0"/>
          <w:cols w:space="720"/>
          <w:titlePg/>
          <w:docGrid w:linePitch="360"/>
        </w:sectPr>
      </w:pPr>
    </w:p>
    <w:p w14:paraId="093A89DE"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bCs/>
          <w:szCs w:val="20"/>
          <w:lang w:eastAsia="ja-JP"/>
        </w:rPr>
        <w:t>Фискални оквир за 2024. годину планиран је узимајући у обзир неизвесност како на домаћем тржишту, тако и у међународном окружењу.</w:t>
      </w:r>
      <w:r w:rsidRPr="00671E8F">
        <w:rPr>
          <w:rFonts w:eastAsia="MS PGothic" w:cstheme="minorHAnsi"/>
          <w:szCs w:val="20"/>
          <w:lang w:eastAsia="ja-JP"/>
        </w:rPr>
        <w:t xml:space="preserve"> Планирању се приступило опрезно, како би се </w:t>
      </w:r>
      <w:r w:rsidRPr="00671E8F">
        <w:rPr>
          <w:rFonts w:eastAsia="MS PGothic" w:cstheme="minorHAnsi"/>
          <w:szCs w:val="20"/>
          <w:lang w:eastAsia="ja-JP"/>
        </w:rPr>
        <w:t xml:space="preserve">оставио неопходан простор за буџетске интервенције у случају неповољних догађаја. Макроекономским оквиром за 2024. годину било је предвиђено умерено убрзање економске </w:t>
      </w:r>
      <w:r w:rsidRPr="00671E8F">
        <w:rPr>
          <w:rFonts w:eastAsia="MS PGothic" w:cstheme="minorHAnsi"/>
          <w:szCs w:val="20"/>
          <w:lang w:eastAsia="ja-JP"/>
        </w:rPr>
        <w:lastRenderedPageBreak/>
        <w:t>активности, у односу на 2023. годину, уз постепено смиривање стопе инфлације, што би, поред осталог, деловало и на повећање реалне потрошње.</w:t>
      </w:r>
    </w:p>
    <w:p w14:paraId="25C7B050"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 xml:space="preserve"> Мере спроведене крајем 2023. утицале су на планирање фискалног оквира за 2024. годину. Крајем претходне године спроведено је повећање зарада запосленима у просвети и делу здравства од 5,5%, ванредно повећање пензија од 5,5%, а почетком 2024. године, у складу са законском формулом за усклађивање, пензије су повећане за 14,8%. У циљу одржања стандарда и куповне моћи становништва усвојене су следеће мере: подизање минималне зараде у 2024. години за 17,8%, повећање зарада у јавном сектору од 10%, уз даље смањење пореског оптерећења зарада испод 60%. Ове мере делују на повећање личне потрошње и последично, на приходе од пореза на потрошњу. Очекиван је и позитиван тренд кретања прихода од опорезивања рада и поред смањења пореског оптерећења, услед дејства предложених мера на запосленост и зараде у приватном сектору. У 2024. години планирана су значајна средстава за интервенцију на тржишту енергије, међутим услед стабилизације цена и расположивости енергената, део неутрошених средстава је пренамењен.</w:t>
      </w:r>
    </w:p>
    <w:p w14:paraId="78C3BC69"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 xml:space="preserve">Акцизна политика враћена је у редовне токове, укључујући и делимично подизање реалних износа акцизних стопа. Усвојеном законском регулативом крајем претходне године, поред осталог, извршено је повећање износа акциза за 8%, и планирано додатно усклађивање са оствареном инфлацијом у 2023. години, почетком 2024. године. Овим повећањима се само делимично надокнађује реална вредност износа акциза, у поређењу са периодом пре избијања енергетске кризе и убрзаног раста инфлације, те висина акцизних стопа остаје 13% нижа у односу на стопу која би била у примени са редовном индексацијом у протеклом периоду. Процењени губитак прихода у 2022. и 2023. години, изостанком редовне индексације, износио је преко 100 млрд динара односно 1,3% БДП. Почетком 2024. године донета је одлука да се предвиђено усклађивање са инфлацијом одложи за три месеца, услед тога што је забележен солидан раст прихода од акциза крајем претходне </w:t>
      </w:r>
      <w:r w:rsidRPr="00671E8F">
        <w:rPr>
          <w:rFonts w:eastAsia="MS PGothic" w:cstheme="minorHAnsi"/>
          <w:szCs w:val="20"/>
          <w:lang w:eastAsia="ja-JP"/>
        </w:rPr>
        <w:t>године, а и како би се делимично ублажио и одложио инфлаторни ефекат подизања акциза.</w:t>
      </w:r>
    </w:p>
    <w:p w14:paraId="081FEFB3"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Ризици који су узети у обзир приликом планирања фискалног оквира за ову годину су и даље присутни, али са нешто мањим интензитетом. Раст економске активност и инфлације били су у нивоу пројектоване кварталне динамике. Процена привредног раста за ову годину благо је ревидирана навише у односу на оригиналну буџетску процену, а непромењена у односу на пролећну Фискалну стратегију.</w:t>
      </w:r>
    </w:p>
    <w:p w14:paraId="4C3B5AB4" w14:textId="31FC430F"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Остварење прихода у првих осам месеци текуће године боље је од ориг</w:t>
      </w:r>
      <w:r w:rsidR="00517561" w:rsidRPr="00671E8F">
        <w:rPr>
          <w:rFonts w:eastAsia="MS PGothic" w:cstheme="minorHAnsi"/>
          <w:szCs w:val="20"/>
          <w:lang w:eastAsia="ja-JP"/>
        </w:rPr>
        <w:t>и</w:t>
      </w:r>
      <w:r w:rsidRPr="00671E8F">
        <w:rPr>
          <w:rFonts w:eastAsia="MS PGothic" w:cstheme="minorHAnsi"/>
          <w:szCs w:val="20"/>
          <w:lang w:eastAsia="ja-JP"/>
        </w:rPr>
        <w:t>нално планираног. Кретања на тржишту рада су изнад очекивања, што, уз истовремени раст реалног дохотка, позитивно утиче на наплату свих прихода од пореза на потрошњу. Остварена профитабилност привредних друштава у 2023. години и наплата пореза на добит у п</w:t>
      </w:r>
      <w:r w:rsidR="00517561" w:rsidRPr="00671E8F">
        <w:rPr>
          <w:rFonts w:eastAsia="MS PGothic" w:cstheme="minorHAnsi"/>
          <w:szCs w:val="20"/>
          <w:lang w:eastAsia="ja-JP"/>
        </w:rPr>
        <w:t>рвих девет месеци текуће године</w:t>
      </w:r>
      <w:r w:rsidRPr="00671E8F">
        <w:rPr>
          <w:rFonts w:eastAsia="MS PGothic" w:cstheme="minorHAnsi"/>
          <w:szCs w:val="20"/>
          <w:lang w:eastAsia="ja-JP"/>
        </w:rPr>
        <w:t xml:space="preserve"> су значајан фактор ревизије прихода у 2024. години навише. Одлук</w:t>
      </w:r>
      <w:r w:rsidR="00517561" w:rsidRPr="00671E8F">
        <w:rPr>
          <w:rFonts w:eastAsia="MS PGothic" w:cstheme="minorHAnsi"/>
          <w:szCs w:val="20"/>
          <w:lang w:eastAsia="ja-JP"/>
        </w:rPr>
        <w:t>а о одлагању индексације акциза</w:t>
      </w:r>
      <w:r w:rsidRPr="00671E8F">
        <w:rPr>
          <w:rFonts w:eastAsia="MS PGothic" w:cstheme="minorHAnsi"/>
          <w:szCs w:val="20"/>
          <w:lang w:eastAsia="ja-JP"/>
        </w:rPr>
        <w:t xml:space="preserve"> није имала негативан утицај на износ наплате овог пореског облика, пре свега због опоравка потрошње у последњем кварталу претходне и првој половини текуће године. Уобичајено, непланирани ванредни непорески приходи, наплаћени у протеклом периоду, као и боља реализација редовних прихода укључени су у ревидирану процену непореских прихода. Боље остварење на крају претходне године, такође је значајан фактор који је довео до ревизије прихода навише.</w:t>
      </w:r>
    </w:p>
    <w:p w14:paraId="1C137978" w14:textId="3551B14B"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Ревидирани фискални оквир за 2024.</w:t>
      </w:r>
      <w:r w:rsidR="00517561" w:rsidRPr="00671E8F">
        <w:rPr>
          <w:rFonts w:eastAsia="MS PGothic" w:cstheme="minorHAnsi"/>
          <w:szCs w:val="20"/>
          <w:lang w:eastAsia="ja-JP"/>
        </w:rPr>
        <w:t xml:space="preserve"> годину</w:t>
      </w:r>
      <w:r w:rsidRPr="00671E8F">
        <w:rPr>
          <w:rFonts w:eastAsia="MS PGothic" w:cstheme="minorHAnsi"/>
          <w:szCs w:val="20"/>
          <w:lang w:eastAsia="ja-JP"/>
        </w:rPr>
        <w:t>, у складу са усвојеним ребалансом буџета, предвиђа фискални дефицит од 2,7% БДП, што је 0,6 п</w:t>
      </w:r>
      <w:r w:rsidR="00080426" w:rsidRPr="00671E8F">
        <w:rPr>
          <w:rFonts w:eastAsia="MS PGothic" w:cstheme="minorHAnsi"/>
          <w:szCs w:val="20"/>
          <w:lang w:eastAsia="ja-JP"/>
        </w:rPr>
        <w:t>.</w:t>
      </w:r>
      <w:r w:rsidRPr="00671E8F">
        <w:rPr>
          <w:rFonts w:eastAsia="MS PGothic" w:cstheme="minorHAnsi"/>
          <w:szCs w:val="20"/>
          <w:lang w:eastAsia="ja-JP"/>
        </w:rPr>
        <w:t>п</w:t>
      </w:r>
      <w:r w:rsidR="00080426" w:rsidRPr="00671E8F">
        <w:rPr>
          <w:rFonts w:eastAsia="MS PGothic" w:cstheme="minorHAnsi"/>
          <w:szCs w:val="20"/>
          <w:lang w:eastAsia="ja-JP"/>
        </w:rPr>
        <w:t>.</w:t>
      </w:r>
      <w:r w:rsidRPr="00671E8F">
        <w:rPr>
          <w:rFonts w:eastAsia="MS PGothic" w:cstheme="minorHAnsi"/>
          <w:szCs w:val="20"/>
          <w:lang w:eastAsia="ja-JP"/>
        </w:rPr>
        <w:t xml:space="preserve"> више у односу на оригинални буџетски план. Учешће јавног дуга у БДП на крају 2024. године износиће 47,9%. Приходна страна повећана је за 166 млрд, а расходна страна за 232,1 млрд динара. Виши приходи и расходи,</w:t>
      </w:r>
      <w:r w:rsidRPr="00671E8F">
        <w:rPr>
          <w:rFonts w:eastAsia="MS PGothic" w:cstheme="minorHAnsi"/>
          <w:bCs/>
          <w:szCs w:val="20"/>
          <w:lang w:eastAsia="ja-JP"/>
        </w:rPr>
        <w:t xml:space="preserve"> уз прерасподелу средстава предвиђених за енергетику, обезбедили су фискални простор за значајно повећање јавних инвестиција, као и појединих категорија текућих расхода (социјална помоћ и трансфери становништву). На овај начин, поред очувања и повећања животног стандарда појединих категорија становништва, убрзава се </w:t>
      </w:r>
      <w:r w:rsidRPr="00671E8F">
        <w:rPr>
          <w:rFonts w:eastAsia="MS PGothic" w:cstheme="minorHAnsi"/>
          <w:bCs/>
          <w:szCs w:val="20"/>
          <w:lang w:eastAsia="ja-JP"/>
        </w:rPr>
        <w:lastRenderedPageBreak/>
        <w:t>развој инфраструктуре и повећава привредни потенцијал земље.</w:t>
      </w:r>
      <w:r w:rsidRPr="00671E8F">
        <w:rPr>
          <w:rFonts w:eastAsia="MS PGothic" w:cstheme="minorHAnsi"/>
          <w:szCs w:val="20"/>
          <w:lang w:eastAsia="ja-JP"/>
        </w:rPr>
        <w:t xml:space="preserve"> Спровођење ових мера уз остварење предвиђеног фискалног резултата сектора државе, неће нарушити успостављену путању смањења учешћа јавног дуга у БДП која је присутна од 2016. Анализом структурног фискалног резултата у 2024. години, идентификовано је да се око 0,47% БДП односи на једнократне и привремене ефекте на приходној и расходној страни.</w:t>
      </w:r>
    </w:p>
    <w:p w14:paraId="375AC65D" w14:textId="3E9CFB9F" w:rsidR="00473C3B" w:rsidRPr="00671E8F" w:rsidRDefault="00473C3B" w:rsidP="00080426">
      <w:pPr>
        <w:spacing w:after="120"/>
        <w:jc w:val="center"/>
        <w:rPr>
          <w:rFonts w:cstheme="minorHAnsi"/>
          <w:b/>
          <w:color w:val="002060"/>
        </w:rPr>
      </w:pPr>
      <w:r w:rsidRPr="00671E8F">
        <w:rPr>
          <w:rFonts w:cstheme="minorHAnsi"/>
          <w:b/>
          <w:color w:val="002060"/>
        </w:rPr>
        <w:t>Фискални резултат сектора државе у периоду од 2015. до 2024. године, % БДП</w:t>
      </w:r>
      <w:r w:rsidRPr="00671E8F">
        <w:rPr>
          <w:noProof/>
          <w:lang w:val="en-US"/>
        </w:rPr>
        <w:drawing>
          <wp:inline distT="0" distB="0" distL="0" distR="0" wp14:anchorId="4BF6547F" wp14:editId="54B88C08">
            <wp:extent cx="2487168" cy="2048256"/>
            <wp:effectExtent l="0" t="0" r="8890" b="9525"/>
            <wp:docPr id="332543240" name="Chart 33254324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14:paraId="3078BDEB" w14:textId="5393734B" w:rsidR="00473C3B" w:rsidRPr="00671E8F" w:rsidRDefault="00473C3B" w:rsidP="00473C3B">
      <w:pPr>
        <w:spacing w:after="120" w:line="276" w:lineRule="auto"/>
        <w:jc w:val="left"/>
        <w:rPr>
          <w:rFonts w:cstheme="minorHAnsi"/>
          <w:bCs/>
          <w:sz w:val="16"/>
          <w:szCs w:val="72"/>
        </w:rPr>
      </w:pPr>
      <w:r w:rsidRPr="00671E8F">
        <w:rPr>
          <w:rFonts w:cstheme="minorHAnsi"/>
          <w:bCs/>
          <w:sz w:val="16"/>
          <w:szCs w:val="72"/>
        </w:rPr>
        <w:t>Извор: Министарство финансија</w:t>
      </w:r>
    </w:p>
    <w:p w14:paraId="5ABAE8B9" w14:textId="6B10B1A3" w:rsidR="00080426" w:rsidRPr="00671E8F" w:rsidRDefault="00080426" w:rsidP="00473C3B">
      <w:pPr>
        <w:spacing w:after="120" w:line="276" w:lineRule="auto"/>
        <w:jc w:val="left"/>
        <w:rPr>
          <w:rFonts w:cstheme="minorHAnsi"/>
          <w:bCs/>
          <w:sz w:val="16"/>
          <w:szCs w:val="72"/>
        </w:rPr>
      </w:pPr>
    </w:p>
    <w:p w14:paraId="7A7BB6D1" w14:textId="77777777" w:rsidR="00080426" w:rsidRPr="00671E8F" w:rsidRDefault="00080426" w:rsidP="00473C3B">
      <w:pPr>
        <w:spacing w:after="120" w:line="276" w:lineRule="auto"/>
        <w:jc w:val="left"/>
        <w:sectPr w:rsidR="00080426" w:rsidRPr="00671E8F" w:rsidSect="00473C3B">
          <w:type w:val="continuous"/>
          <w:pgSz w:w="12240" w:h="15840" w:code="1"/>
          <w:pgMar w:top="1440" w:right="1440" w:bottom="1440" w:left="1440" w:header="720" w:footer="720" w:gutter="0"/>
          <w:cols w:num="2" w:space="720"/>
          <w:docGrid w:linePitch="360"/>
        </w:sectPr>
      </w:pPr>
    </w:p>
    <w:p w14:paraId="53A89850" w14:textId="0FC46644"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6. Приходи, расходи и резултат сектора државе у 2024. години, у млрд динара</w:t>
      </w:r>
      <w:r w:rsidR="00EA25AE" w:rsidRPr="00671E8F">
        <w:rPr>
          <w:rStyle w:val="FootnoteReference"/>
          <w:rFonts w:eastAsia="MS PGothic" w:cstheme="minorHAnsi"/>
          <w:b/>
          <w:color w:val="002060"/>
          <w:szCs w:val="20"/>
          <w:lang w:eastAsia="ja-JP"/>
        </w:rPr>
        <w:footnoteReference w:id="3"/>
      </w:r>
    </w:p>
    <w:tbl>
      <w:tblPr>
        <w:tblW w:w="5000" w:type="pct"/>
        <w:jc w:val="center"/>
        <w:tblLook w:val="04A0" w:firstRow="1" w:lastRow="0" w:firstColumn="1" w:lastColumn="0" w:noHBand="0" w:noVBand="1"/>
      </w:tblPr>
      <w:tblGrid>
        <w:gridCol w:w="2509"/>
        <w:gridCol w:w="1096"/>
        <w:gridCol w:w="1093"/>
        <w:gridCol w:w="1093"/>
        <w:gridCol w:w="1398"/>
        <w:gridCol w:w="1095"/>
        <w:gridCol w:w="1076"/>
      </w:tblGrid>
      <w:tr w:rsidR="00473C3B" w:rsidRPr="00671E8F" w14:paraId="184CB021" w14:textId="77777777" w:rsidTr="00473C3B">
        <w:trPr>
          <w:trHeight w:val="454"/>
          <w:tblHeader/>
          <w:jc w:val="center"/>
        </w:trPr>
        <w:tc>
          <w:tcPr>
            <w:tcW w:w="1340" w:type="pct"/>
            <w:tcBorders>
              <w:top w:val="single" w:sz="4" w:space="0" w:color="002060"/>
            </w:tcBorders>
            <w:shd w:val="clear" w:color="auto" w:fill="auto"/>
            <w:noWrap/>
            <w:vAlign w:val="center"/>
            <w:hideMark/>
          </w:tcPr>
          <w:p w14:paraId="05E822C3" w14:textId="77777777" w:rsidR="00473C3B" w:rsidRPr="00671E8F" w:rsidRDefault="00473C3B" w:rsidP="00473C3B">
            <w:pPr>
              <w:spacing w:after="0" w:line="240" w:lineRule="auto"/>
              <w:jc w:val="center"/>
              <w:rPr>
                <w:rFonts w:eastAsia="Times New Roman" w:cstheme="minorHAnsi"/>
                <w:bCs/>
                <w:color w:val="002060"/>
                <w:sz w:val="16"/>
                <w:szCs w:val="16"/>
                <w:lang w:eastAsia="sr-Cyrl-RS"/>
              </w:rPr>
            </w:pPr>
            <w:r w:rsidRPr="00671E8F">
              <w:rPr>
                <w:rFonts w:eastAsia="MS PGothic" w:cstheme="minorHAnsi"/>
                <w:color w:val="002060"/>
                <w:sz w:val="16"/>
                <w:szCs w:val="16"/>
                <w:lang w:eastAsia="ja-JP"/>
              </w:rPr>
              <w:t> </w:t>
            </w:r>
          </w:p>
        </w:tc>
        <w:tc>
          <w:tcPr>
            <w:tcW w:w="585" w:type="pct"/>
            <w:tcBorders>
              <w:top w:val="single" w:sz="4" w:space="0" w:color="002060"/>
              <w:bottom w:val="single" w:sz="4" w:space="0" w:color="002060"/>
            </w:tcBorders>
            <w:shd w:val="clear" w:color="auto" w:fill="auto"/>
            <w:vAlign w:val="center"/>
            <w:hideMark/>
          </w:tcPr>
          <w:p w14:paraId="358A4352"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буџет 2024*</w:t>
            </w:r>
          </w:p>
        </w:tc>
        <w:tc>
          <w:tcPr>
            <w:tcW w:w="584" w:type="pct"/>
            <w:tcBorders>
              <w:top w:val="single" w:sz="4" w:space="0" w:color="002060"/>
              <w:bottom w:val="single" w:sz="4" w:space="0" w:color="002060"/>
            </w:tcBorders>
            <w:vAlign w:val="center"/>
          </w:tcPr>
          <w:p w14:paraId="14456846"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процена мај 2024</w:t>
            </w:r>
          </w:p>
        </w:tc>
        <w:tc>
          <w:tcPr>
            <w:tcW w:w="584" w:type="pct"/>
            <w:tcBorders>
              <w:top w:val="single" w:sz="4" w:space="0" w:color="002060"/>
              <w:bottom w:val="single" w:sz="4" w:space="0" w:color="002060"/>
            </w:tcBorders>
            <w:vAlign w:val="center"/>
          </w:tcPr>
          <w:p w14:paraId="45BE03D8"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нова процена 2024</w:t>
            </w:r>
          </w:p>
        </w:tc>
        <w:tc>
          <w:tcPr>
            <w:tcW w:w="747" w:type="pct"/>
            <w:tcBorders>
              <w:top w:val="single" w:sz="4" w:space="0" w:color="002060"/>
              <w:bottom w:val="single" w:sz="4" w:space="0" w:color="002060"/>
            </w:tcBorders>
            <w:shd w:val="clear" w:color="auto" w:fill="auto"/>
            <w:vAlign w:val="center"/>
            <w:hideMark/>
          </w:tcPr>
          <w:p w14:paraId="25A65B13"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разлика нова процена /буџет</w:t>
            </w:r>
          </w:p>
        </w:tc>
        <w:tc>
          <w:tcPr>
            <w:tcW w:w="585" w:type="pct"/>
            <w:tcBorders>
              <w:top w:val="single" w:sz="4" w:space="0" w:color="002060"/>
              <w:bottom w:val="single" w:sz="4" w:space="0" w:color="002060"/>
            </w:tcBorders>
            <w:shd w:val="clear" w:color="auto" w:fill="auto"/>
            <w:vAlign w:val="center"/>
            <w:hideMark/>
          </w:tcPr>
          <w:p w14:paraId="7A00A710"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 промена</w:t>
            </w:r>
          </w:p>
        </w:tc>
        <w:tc>
          <w:tcPr>
            <w:tcW w:w="575" w:type="pct"/>
            <w:tcBorders>
              <w:top w:val="single" w:sz="4" w:space="0" w:color="002060"/>
              <w:bottom w:val="single" w:sz="4" w:space="0" w:color="002060"/>
            </w:tcBorders>
            <w:shd w:val="clear" w:color="auto" w:fill="auto"/>
            <w:vAlign w:val="center"/>
            <w:hideMark/>
          </w:tcPr>
          <w:p w14:paraId="061615BD"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2024 нова пр. % БДП</w:t>
            </w:r>
          </w:p>
        </w:tc>
      </w:tr>
      <w:tr w:rsidR="00473C3B" w:rsidRPr="00671E8F" w14:paraId="26FC212D" w14:textId="77777777" w:rsidTr="00473C3B">
        <w:trPr>
          <w:trHeight w:val="224"/>
          <w:jc w:val="center"/>
        </w:trPr>
        <w:tc>
          <w:tcPr>
            <w:tcW w:w="1340" w:type="pct"/>
            <w:shd w:val="clear" w:color="auto" w:fill="E7E6E6" w:themeFill="background2"/>
            <w:noWrap/>
            <w:vAlign w:val="center"/>
            <w:hideMark/>
          </w:tcPr>
          <w:p w14:paraId="510DABDE"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ЈАВНИ ПРИХОДИ</w:t>
            </w:r>
          </w:p>
        </w:tc>
        <w:tc>
          <w:tcPr>
            <w:tcW w:w="585" w:type="pct"/>
            <w:tcBorders>
              <w:top w:val="single" w:sz="4" w:space="0" w:color="002060"/>
            </w:tcBorders>
            <w:shd w:val="clear" w:color="auto" w:fill="E7E6E6" w:themeFill="background2"/>
            <w:hideMark/>
          </w:tcPr>
          <w:p w14:paraId="1487413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3.756,1</w:t>
            </w:r>
          </w:p>
        </w:tc>
        <w:tc>
          <w:tcPr>
            <w:tcW w:w="584" w:type="pct"/>
            <w:tcBorders>
              <w:top w:val="single" w:sz="4" w:space="0" w:color="002060"/>
            </w:tcBorders>
            <w:shd w:val="clear" w:color="auto" w:fill="E7E6E6" w:themeFill="background2"/>
          </w:tcPr>
          <w:p w14:paraId="23DE6F9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3.823,0</w:t>
            </w:r>
          </w:p>
        </w:tc>
        <w:tc>
          <w:tcPr>
            <w:tcW w:w="584" w:type="pct"/>
            <w:tcBorders>
              <w:top w:val="single" w:sz="4" w:space="0" w:color="002060"/>
            </w:tcBorders>
            <w:shd w:val="clear" w:color="auto" w:fill="E7E6E6" w:themeFill="background2"/>
          </w:tcPr>
          <w:p w14:paraId="276CCB8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3.922,2</w:t>
            </w:r>
          </w:p>
        </w:tc>
        <w:tc>
          <w:tcPr>
            <w:tcW w:w="747" w:type="pct"/>
            <w:tcBorders>
              <w:top w:val="single" w:sz="4" w:space="0" w:color="002060"/>
            </w:tcBorders>
            <w:shd w:val="clear" w:color="auto" w:fill="E7E6E6" w:themeFill="background2"/>
            <w:hideMark/>
          </w:tcPr>
          <w:p w14:paraId="13C9C12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166,0</w:t>
            </w:r>
          </w:p>
        </w:tc>
        <w:tc>
          <w:tcPr>
            <w:tcW w:w="585" w:type="pct"/>
            <w:tcBorders>
              <w:top w:val="single" w:sz="4" w:space="0" w:color="002060"/>
            </w:tcBorders>
            <w:shd w:val="clear" w:color="auto" w:fill="E7E6E6" w:themeFill="background2"/>
            <w:hideMark/>
          </w:tcPr>
          <w:p w14:paraId="3E04DD3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4,4</w:t>
            </w:r>
          </w:p>
        </w:tc>
        <w:tc>
          <w:tcPr>
            <w:tcW w:w="575" w:type="pct"/>
            <w:tcBorders>
              <w:top w:val="single" w:sz="4" w:space="0" w:color="002060"/>
            </w:tcBorders>
            <w:shd w:val="clear" w:color="auto" w:fill="E7E6E6" w:themeFill="background2"/>
            <w:noWrap/>
            <w:hideMark/>
          </w:tcPr>
          <w:p w14:paraId="5BA6BF0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40,8</w:t>
            </w:r>
          </w:p>
        </w:tc>
      </w:tr>
      <w:tr w:rsidR="00473C3B" w:rsidRPr="00671E8F" w14:paraId="6E29D4CD" w14:textId="77777777" w:rsidTr="00473C3B">
        <w:trPr>
          <w:trHeight w:val="224"/>
          <w:jc w:val="center"/>
        </w:trPr>
        <w:tc>
          <w:tcPr>
            <w:tcW w:w="1340" w:type="pct"/>
            <w:shd w:val="clear" w:color="auto" w:fill="auto"/>
            <w:noWrap/>
            <w:vAlign w:val="center"/>
            <w:hideMark/>
          </w:tcPr>
          <w:p w14:paraId="319191D1"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Текући приходи</w:t>
            </w:r>
          </w:p>
        </w:tc>
        <w:tc>
          <w:tcPr>
            <w:tcW w:w="585" w:type="pct"/>
            <w:shd w:val="clear" w:color="auto" w:fill="auto"/>
            <w:hideMark/>
          </w:tcPr>
          <w:p w14:paraId="3893C9E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3.717,0</w:t>
            </w:r>
          </w:p>
        </w:tc>
        <w:tc>
          <w:tcPr>
            <w:tcW w:w="584" w:type="pct"/>
          </w:tcPr>
          <w:p w14:paraId="18B6827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3.784,0</w:t>
            </w:r>
          </w:p>
        </w:tc>
        <w:tc>
          <w:tcPr>
            <w:tcW w:w="584" w:type="pct"/>
          </w:tcPr>
          <w:p w14:paraId="2CB88C6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3.885,9</w:t>
            </w:r>
          </w:p>
        </w:tc>
        <w:tc>
          <w:tcPr>
            <w:tcW w:w="747" w:type="pct"/>
            <w:shd w:val="clear" w:color="auto" w:fill="auto"/>
            <w:hideMark/>
          </w:tcPr>
          <w:p w14:paraId="3EEF8F4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168,8</w:t>
            </w:r>
          </w:p>
        </w:tc>
        <w:tc>
          <w:tcPr>
            <w:tcW w:w="585" w:type="pct"/>
            <w:shd w:val="clear" w:color="auto" w:fill="auto"/>
            <w:hideMark/>
          </w:tcPr>
          <w:p w14:paraId="07588FA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4,5</w:t>
            </w:r>
          </w:p>
        </w:tc>
        <w:tc>
          <w:tcPr>
            <w:tcW w:w="575" w:type="pct"/>
            <w:shd w:val="clear" w:color="auto" w:fill="auto"/>
            <w:noWrap/>
            <w:hideMark/>
          </w:tcPr>
          <w:p w14:paraId="6B8BD2F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40,5</w:t>
            </w:r>
          </w:p>
        </w:tc>
      </w:tr>
      <w:tr w:rsidR="00473C3B" w:rsidRPr="00671E8F" w14:paraId="20BB8EE5" w14:textId="77777777" w:rsidTr="00473C3B">
        <w:trPr>
          <w:trHeight w:val="224"/>
          <w:jc w:val="center"/>
        </w:trPr>
        <w:tc>
          <w:tcPr>
            <w:tcW w:w="1340" w:type="pct"/>
            <w:shd w:val="clear" w:color="auto" w:fill="auto"/>
            <w:noWrap/>
            <w:vAlign w:val="center"/>
            <w:hideMark/>
          </w:tcPr>
          <w:p w14:paraId="55D5B2C9"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Порески приходи</w:t>
            </w:r>
          </w:p>
        </w:tc>
        <w:tc>
          <w:tcPr>
            <w:tcW w:w="585" w:type="pct"/>
            <w:shd w:val="clear" w:color="auto" w:fill="auto"/>
            <w:hideMark/>
          </w:tcPr>
          <w:p w14:paraId="02389BA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3.330,5</w:t>
            </w:r>
          </w:p>
        </w:tc>
        <w:tc>
          <w:tcPr>
            <w:tcW w:w="584" w:type="pct"/>
          </w:tcPr>
          <w:p w14:paraId="50B8B00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3.392,2</w:t>
            </w:r>
          </w:p>
        </w:tc>
        <w:tc>
          <w:tcPr>
            <w:tcW w:w="584" w:type="pct"/>
          </w:tcPr>
          <w:p w14:paraId="5845221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3.478,9</w:t>
            </w:r>
          </w:p>
        </w:tc>
        <w:tc>
          <w:tcPr>
            <w:tcW w:w="747" w:type="pct"/>
            <w:shd w:val="clear" w:color="auto" w:fill="auto"/>
            <w:hideMark/>
          </w:tcPr>
          <w:p w14:paraId="6F3A4D6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148,3</w:t>
            </w:r>
          </w:p>
        </w:tc>
        <w:tc>
          <w:tcPr>
            <w:tcW w:w="585" w:type="pct"/>
            <w:shd w:val="clear" w:color="auto" w:fill="auto"/>
            <w:hideMark/>
          </w:tcPr>
          <w:p w14:paraId="2AB97D2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4,5</w:t>
            </w:r>
          </w:p>
        </w:tc>
        <w:tc>
          <w:tcPr>
            <w:tcW w:w="575" w:type="pct"/>
            <w:shd w:val="clear" w:color="auto" w:fill="auto"/>
            <w:noWrap/>
            <w:hideMark/>
          </w:tcPr>
          <w:p w14:paraId="2904303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36,2</w:t>
            </w:r>
          </w:p>
        </w:tc>
      </w:tr>
      <w:tr w:rsidR="00473C3B" w:rsidRPr="00671E8F" w14:paraId="2E0903AC" w14:textId="77777777" w:rsidTr="00473C3B">
        <w:trPr>
          <w:trHeight w:val="224"/>
          <w:jc w:val="center"/>
        </w:trPr>
        <w:tc>
          <w:tcPr>
            <w:tcW w:w="1340" w:type="pct"/>
            <w:shd w:val="clear" w:color="auto" w:fill="auto"/>
            <w:noWrap/>
            <w:vAlign w:val="center"/>
            <w:hideMark/>
          </w:tcPr>
          <w:p w14:paraId="5665AEE6"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Порез на доходак грађана</w:t>
            </w:r>
          </w:p>
        </w:tc>
        <w:tc>
          <w:tcPr>
            <w:tcW w:w="585" w:type="pct"/>
            <w:shd w:val="clear" w:color="auto" w:fill="auto"/>
            <w:hideMark/>
          </w:tcPr>
          <w:p w14:paraId="15F380E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378,6</w:t>
            </w:r>
          </w:p>
        </w:tc>
        <w:tc>
          <w:tcPr>
            <w:tcW w:w="584" w:type="pct"/>
          </w:tcPr>
          <w:p w14:paraId="39A3EA9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382,0</w:t>
            </w:r>
          </w:p>
        </w:tc>
        <w:tc>
          <w:tcPr>
            <w:tcW w:w="584" w:type="pct"/>
          </w:tcPr>
          <w:p w14:paraId="606C6FA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396,3</w:t>
            </w:r>
          </w:p>
        </w:tc>
        <w:tc>
          <w:tcPr>
            <w:tcW w:w="747" w:type="pct"/>
            <w:shd w:val="clear" w:color="auto" w:fill="auto"/>
            <w:hideMark/>
          </w:tcPr>
          <w:p w14:paraId="3B0586E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17,7</w:t>
            </w:r>
          </w:p>
        </w:tc>
        <w:tc>
          <w:tcPr>
            <w:tcW w:w="585" w:type="pct"/>
            <w:shd w:val="clear" w:color="auto" w:fill="auto"/>
            <w:hideMark/>
          </w:tcPr>
          <w:p w14:paraId="5E164A0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4,7</w:t>
            </w:r>
          </w:p>
        </w:tc>
        <w:tc>
          <w:tcPr>
            <w:tcW w:w="575" w:type="pct"/>
            <w:shd w:val="clear" w:color="auto" w:fill="auto"/>
            <w:noWrap/>
            <w:hideMark/>
          </w:tcPr>
          <w:p w14:paraId="1823BCA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4,1</w:t>
            </w:r>
          </w:p>
        </w:tc>
      </w:tr>
      <w:tr w:rsidR="00473C3B" w:rsidRPr="00671E8F" w14:paraId="78CA3A5D" w14:textId="77777777" w:rsidTr="00473C3B">
        <w:trPr>
          <w:trHeight w:val="224"/>
          <w:jc w:val="center"/>
        </w:trPr>
        <w:tc>
          <w:tcPr>
            <w:tcW w:w="1340" w:type="pct"/>
            <w:shd w:val="clear" w:color="auto" w:fill="auto"/>
            <w:noWrap/>
            <w:vAlign w:val="center"/>
            <w:hideMark/>
          </w:tcPr>
          <w:p w14:paraId="2ADEAF62"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Порез на добит правних лица</w:t>
            </w:r>
          </w:p>
        </w:tc>
        <w:tc>
          <w:tcPr>
            <w:tcW w:w="585" w:type="pct"/>
            <w:shd w:val="clear" w:color="auto" w:fill="auto"/>
            <w:hideMark/>
          </w:tcPr>
          <w:p w14:paraId="3BFB0A8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256,7</w:t>
            </w:r>
          </w:p>
        </w:tc>
        <w:tc>
          <w:tcPr>
            <w:tcW w:w="584" w:type="pct"/>
          </w:tcPr>
          <w:p w14:paraId="28CFEBA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256,7</w:t>
            </w:r>
          </w:p>
        </w:tc>
        <w:tc>
          <w:tcPr>
            <w:tcW w:w="584" w:type="pct"/>
          </w:tcPr>
          <w:p w14:paraId="4B8F72B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292,2</w:t>
            </w:r>
          </w:p>
        </w:tc>
        <w:tc>
          <w:tcPr>
            <w:tcW w:w="747" w:type="pct"/>
            <w:shd w:val="clear" w:color="auto" w:fill="auto"/>
            <w:hideMark/>
          </w:tcPr>
          <w:p w14:paraId="5931315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35,5</w:t>
            </w:r>
          </w:p>
        </w:tc>
        <w:tc>
          <w:tcPr>
            <w:tcW w:w="585" w:type="pct"/>
            <w:shd w:val="clear" w:color="auto" w:fill="auto"/>
            <w:hideMark/>
          </w:tcPr>
          <w:p w14:paraId="4F3EECC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13,8</w:t>
            </w:r>
          </w:p>
        </w:tc>
        <w:tc>
          <w:tcPr>
            <w:tcW w:w="575" w:type="pct"/>
            <w:shd w:val="clear" w:color="auto" w:fill="auto"/>
            <w:noWrap/>
            <w:hideMark/>
          </w:tcPr>
          <w:p w14:paraId="3C0DCEF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3,0</w:t>
            </w:r>
          </w:p>
        </w:tc>
      </w:tr>
      <w:tr w:rsidR="00473C3B" w:rsidRPr="00671E8F" w14:paraId="56323926" w14:textId="77777777" w:rsidTr="00473C3B">
        <w:trPr>
          <w:trHeight w:val="224"/>
          <w:jc w:val="center"/>
        </w:trPr>
        <w:tc>
          <w:tcPr>
            <w:tcW w:w="1340" w:type="pct"/>
            <w:shd w:val="clear" w:color="auto" w:fill="auto"/>
            <w:noWrap/>
            <w:vAlign w:val="center"/>
            <w:hideMark/>
          </w:tcPr>
          <w:p w14:paraId="012DF10F"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ПДВ</w:t>
            </w:r>
          </w:p>
        </w:tc>
        <w:tc>
          <w:tcPr>
            <w:tcW w:w="585" w:type="pct"/>
            <w:shd w:val="clear" w:color="auto" w:fill="auto"/>
            <w:hideMark/>
          </w:tcPr>
          <w:p w14:paraId="5A8575E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908,0</w:t>
            </w:r>
          </w:p>
        </w:tc>
        <w:tc>
          <w:tcPr>
            <w:tcW w:w="584" w:type="pct"/>
          </w:tcPr>
          <w:p w14:paraId="4D084A1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950,0</w:t>
            </w:r>
          </w:p>
        </w:tc>
        <w:tc>
          <w:tcPr>
            <w:tcW w:w="584" w:type="pct"/>
          </w:tcPr>
          <w:p w14:paraId="520F951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960,0</w:t>
            </w:r>
          </w:p>
        </w:tc>
        <w:tc>
          <w:tcPr>
            <w:tcW w:w="747" w:type="pct"/>
            <w:shd w:val="clear" w:color="auto" w:fill="auto"/>
            <w:hideMark/>
          </w:tcPr>
          <w:p w14:paraId="3AD6B44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52,0</w:t>
            </w:r>
          </w:p>
        </w:tc>
        <w:tc>
          <w:tcPr>
            <w:tcW w:w="585" w:type="pct"/>
            <w:shd w:val="clear" w:color="auto" w:fill="auto"/>
            <w:hideMark/>
          </w:tcPr>
          <w:p w14:paraId="59CEA80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5,7</w:t>
            </w:r>
          </w:p>
        </w:tc>
        <w:tc>
          <w:tcPr>
            <w:tcW w:w="575" w:type="pct"/>
            <w:shd w:val="clear" w:color="auto" w:fill="auto"/>
            <w:noWrap/>
            <w:hideMark/>
          </w:tcPr>
          <w:p w14:paraId="681058F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10,0</w:t>
            </w:r>
          </w:p>
        </w:tc>
      </w:tr>
      <w:tr w:rsidR="00473C3B" w:rsidRPr="00671E8F" w14:paraId="21896622" w14:textId="77777777" w:rsidTr="00473C3B">
        <w:trPr>
          <w:trHeight w:val="224"/>
          <w:jc w:val="center"/>
        </w:trPr>
        <w:tc>
          <w:tcPr>
            <w:tcW w:w="1340" w:type="pct"/>
            <w:shd w:val="clear" w:color="auto" w:fill="auto"/>
            <w:noWrap/>
            <w:vAlign w:val="center"/>
            <w:hideMark/>
          </w:tcPr>
          <w:p w14:paraId="5FC747D6"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Акцизе</w:t>
            </w:r>
          </w:p>
        </w:tc>
        <w:tc>
          <w:tcPr>
            <w:tcW w:w="585" w:type="pct"/>
            <w:shd w:val="clear" w:color="auto" w:fill="auto"/>
            <w:hideMark/>
          </w:tcPr>
          <w:p w14:paraId="7B1BBF3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395,0</w:t>
            </w:r>
          </w:p>
        </w:tc>
        <w:tc>
          <w:tcPr>
            <w:tcW w:w="584" w:type="pct"/>
          </w:tcPr>
          <w:p w14:paraId="7282D4E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400,0</w:t>
            </w:r>
          </w:p>
        </w:tc>
        <w:tc>
          <w:tcPr>
            <w:tcW w:w="584" w:type="pct"/>
          </w:tcPr>
          <w:p w14:paraId="202F7A5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407,0</w:t>
            </w:r>
          </w:p>
        </w:tc>
        <w:tc>
          <w:tcPr>
            <w:tcW w:w="747" w:type="pct"/>
            <w:shd w:val="clear" w:color="auto" w:fill="auto"/>
            <w:hideMark/>
          </w:tcPr>
          <w:p w14:paraId="58761BC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12,0</w:t>
            </w:r>
          </w:p>
        </w:tc>
        <w:tc>
          <w:tcPr>
            <w:tcW w:w="585" w:type="pct"/>
            <w:shd w:val="clear" w:color="auto" w:fill="auto"/>
            <w:hideMark/>
          </w:tcPr>
          <w:p w14:paraId="46145A8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3,0</w:t>
            </w:r>
          </w:p>
        </w:tc>
        <w:tc>
          <w:tcPr>
            <w:tcW w:w="575" w:type="pct"/>
            <w:shd w:val="clear" w:color="auto" w:fill="auto"/>
            <w:noWrap/>
            <w:hideMark/>
          </w:tcPr>
          <w:p w14:paraId="15E2314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4,2</w:t>
            </w:r>
          </w:p>
        </w:tc>
      </w:tr>
      <w:tr w:rsidR="00473C3B" w:rsidRPr="00671E8F" w14:paraId="607BAB7A" w14:textId="77777777" w:rsidTr="00473C3B">
        <w:trPr>
          <w:trHeight w:val="224"/>
          <w:jc w:val="center"/>
        </w:trPr>
        <w:tc>
          <w:tcPr>
            <w:tcW w:w="1340" w:type="pct"/>
            <w:shd w:val="clear" w:color="auto" w:fill="auto"/>
            <w:noWrap/>
            <w:vAlign w:val="center"/>
            <w:hideMark/>
          </w:tcPr>
          <w:p w14:paraId="2F1FEB10"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Царине</w:t>
            </w:r>
          </w:p>
        </w:tc>
        <w:tc>
          <w:tcPr>
            <w:tcW w:w="585" w:type="pct"/>
            <w:shd w:val="clear" w:color="auto" w:fill="auto"/>
            <w:hideMark/>
          </w:tcPr>
          <w:p w14:paraId="76898DF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88,0</w:t>
            </w:r>
          </w:p>
        </w:tc>
        <w:tc>
          <w:tcPr>
            <w:tcW w:w="584" w:type="pct"/>
          </w:tcPr>
          <w:p w14:paraId="16173B2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89,0</w:t>
            </w:r>
          </w:p>
        </w:tc>
        <w:tc>
          <w:tcPr>
            <w:tcW w:w="584" w:type="pct"/>
          </w:tcPr>
          <w:p w14:paraId="14462B7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88,0</w:t>
            </w:r>
          </w:p>
        </w:tc>
        <w:tc>
          <w:tcPr>
            <w:tcW w:w="747" w:type="pct"/>
            <w:shd w:val="clear" w:color="auto" w:fill="auto"/>
            <w:hideMark/>
          </w:tcPr>
          <w:p w14:paraId="62FDCF8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0,0</w:t>
            </w:r>
          </w:p>
        </w:tc>
        <w:tc>
          <w:tcPr>
            <w:tcW w:w="585" w:type="pct"/>
            <w:shd w:val="clear" w:color="auto" w:fill="auto"/>
            <w:hideMark/>
          </w:tcPr>
          <w:p w14:paraId="3E0ED4A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0,0</w:t>
            </w:r>
          </w:p>
        </w:tc>
        <w:tc>
          <w:tcPr>
            <w:tcW w:w="575" w:type="pct"/>
            <w:shd w:val="clear" w:color="auto" w:fill="auto"/>
            <w:noWrap/>
            <w:hideMark/>
          </w:tcPr>
          <w:p w14:paraId="5A0081A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0,9</w:t>
            </w:r>
          </w:p>
        </w:tc>
      </w:tr>
      <w:tr w:rsidR="00473C3B" w:rsidRPr="00671E8F" w14:paraId="0BD69117" w14:textId="77777777" w:rsidTr="00473C3B">
        <w:trPr>
          <w:trHeight w:val="224"/>
          <w:jc w:val="center"/>
        </w:trPr>
        <w:tc>
          <w:tcPr>
            <w:tcW w:w="1340" w:type="pct"/>
            <w:shd w:val="clear" w:color="auto" w:fill="auto"/>
            <w:noWrap/>
            <w:vAlign w:val="center"/>
            <w:hideMark/>
          </w:tcPr>
          <w:p w14:paraId="036E5B2A"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Остали порески приходи</w:t>
            </w:r>
          </w:p>
        </w:tc>
        <w:tc>
          <w:tcPr>
            <w:tcW w:w="585" w:type="pct"/>
            <w:shd w:val="clear" w:color="auto" w:fill="auto"/>
            <w:hideMark/>
          </w:tcPr>
          <w:p w14:paraId="3BAC06B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114,0</w:t>
            </w:r>
          </w:p>
        </w:tc>
        <w:tc>
          <w:tcPr>
            <w:tcW w:w="584" w:type="pct"/>
          </w:tcPr>
          <w:p w14:paraId="5189832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114,5</w:t>
            </w:r>
          </w:p>
        </w:tc>
        <w:tc>
          <w:tcPr>
            <w:tcW w:w="584" w:type="pct"/>
          </w:tcPr>
          <w:p w14:paraId="23783FC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115,2</w:t>
            </w:r>
          </w:p>
        </w:tc>
        <w:tc>
          <w:tcPr>
            <w:tcW w:w="747" w:type="pct"/>
            <w:shd w:val="clear" w:color="auto" w:fill="auto"/>
            <w:hideMark/>
          </w:tcPr>
          <w:p w14:paraId="5732ED3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w:t>
            </w:r>
          </w:p>
        </w:tc>
        <w:tc>
          <w:tcPr>
            <w:tcW w:w="585" w:type="pct"/>
            <w:shd w:val="clear" w:color="auto" w:fill="auto"/>
            <w:hideMark/>
          </w:tcPr>
          <w:p w14:paraId="57C3147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w:t>
            </w:r>
          </w:p>
        </w:tc>
        <w:tc>
          <w:tcPr>
            <w:tcW w:w="575" w:type="pct"/>
            <w:shd w:val="clear" w:color="auto" w:fill="auto"/>
            <w:noWrap/>
            <w:hideMark/>
          </w:tcPr>
          <w:p w14:paraId="71F62AD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w:t>
            </w:r>
          </w:p>
        </w:tc>
      </w:tr>
      <w:tr w:rsidR="00473C3B" w:rsidRPr="00671E8F" w14:paraId="26F7E793" w14:textId="77777777" w:rsidTr="00473C3B">
        <w:trPr>
          <w:trHeight w:val="224"/>
          <w:jc w:val="center"/>
        </w:trPr>
        <w:tc>
          <w:tcPr>
            <w:tcW w:w="1340" w:type="pct"/>
            <w:shd w:val="clear" w:color="auto" w:fill="auto"/>
            <w:noWrap/>
            <w:vAlign w:val="center"/>
            <w:hideMark/>
          </w:tcPr>
          <w:p w14:paraId="4188D322"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Доприноси</w:t>
            </w:r>
          </w:p>
        </w:tc>
        <w:tc>
          <w:tcPr>
            <w:tcW w:w="585" w:type="pct"/>
            <w:shd w:val="clear" w:color="auto" w:fill="auto"/>
            <w:hideMark/>
          </w:tcPr>
          <w:p w14:paraId="3918868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1.190,2</w:t>
            </w:r>
          </w:p>
        </w:tc>
        <w:tc>
          <w:tcPr>
            <w:tcW w:w="584" w:type="pct"/>
          </w:tcPr>
          <w:p w14:paraId="7CEDFEA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1.200,0</w:t>
            </w:r>
          </w:p>
        </w:tc>
        <w:tc>
          <w:tcPr>
            <w:tcW w:w="584" w:type="pct"/>
          </w:tcPr>
          <w:p w14:paraId="5150029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1.220,1</w:t>
            </w:r>
          </w:p>
        </w:tc>
        <w:tc>
          <w:tcPr>
            <w:tcW w:w="747" w:type="pct"/>
            <w:shd w:val="clear" w:color="auto" w:fill="auto"/>
            <w:hideMark/>
          </w:tcPr>
          <w:p w14:paraId="057F7F1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30,0</w:t>
            </w:r>
          </w:p>
        </w:tc>
        <w:tc>
          <w:tcPr>
            <w:tcW w:w="585" w:type="pct"/>
            <w:shd w:val="clear" w:color="auto" w:fill="auto"/>
            <w:hideMark/>
          </w:tcPr>
          <w:p w14:paraId="073A9BD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w:t>
            </w:r>
          </w:p>
        </w:tc>
        <w:tc>
          <w:tcPr>
            <w:tcW w:w="575" w:type="pct"/>
            <w:shd w:val="clear" w:color="auto" w:fill="auto"/>
            <w:noWrap/>
            <w:hideMark/>
          </w:tcPr>
          <w:p w14:paraId="6E78AFA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12,7</w:t>
            </w:r>
          </w:p>
        </w:tc>
      </w:tr>
      <w:tr w:rsidR="00473C3B" w:rsidRPr="00671E8F" w14:paraId="77B2F7E8" w14:textId="77777777" w:rsidTr="00473C3B">
        <w:trPr>
          <w:trHeight w:val="224"/>
          <w:jc w:val="center"/>
        </w:trPr>
        <w:tc>
          <w:tcPr>
            <w:tcW w:w="1340" w:type="pct"/>
            <w:shd w:val="clear" w:color="auto" w:fill="auto"/>
            <w:noWrap/>
            <w:vAlign w:val="center"/>
            <w:hideMark/>
          </w:tcPr>
          <w:p w14:paraId="0F7BAB93"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Непорески приходи</w:t>
            </w:r>
          </w:p>
        </w:tc>
        <w:tc>
          <w:tcPr>
            <w:tcW w:w="585" w:type="pct"/>
            <w:shd w:val="clear" w:color="auto" w:fill="auto"/>
            <w:hideMark/>
          </w:tcPr>
          <w:p w14:paraId="1671F09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386,5</w:t>
            </w:r>
          </w:p>
        </w:tc>
        <w:tc>
          <w:tcPr>
            <w:tcW w:w="584" w:type="pct"/>
          </w:tcPr>
          <w:p w14:paraId="2C27573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391,8</w:t>
            </w:r>
          </w:p>
        </w:tc>
        <w:tc>
          <w:tcPr>
            <w:tcW w:w="584" w:type="pct"/>
          </w:tcPr>
          <w:p w14:paraId="7C4A106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407,0</w:t>
            </w:r>
          </w:p>
        </w:tc>
        <w:tc>
          <w:tcPr>
            <w:tcW w:w="747" w:type="pct"/>
            <w:shd w:val="clear" w:color="auto" w:fill="auto"/>
            <w:hideMark/>
          </w:tcPr>
          <w:p w14:paraId="4064326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20,5</w:t>
            </w:r>
          </w:p>
        </w:tc>
        <w:tc>
          <w:tcPr>
            <w:tcW w:w="585" w:type="pct"/>
            <w:shd w:val="clear" w:color="auto" w:fill="auto"/>
            <w:hideMark/>
          </w:tcPr>
          <w:p w14:paraId="5EEF9F4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5,3</w:t>
            </w:r>
          </w:p>
        </w:tc>
        <w:tc>
          <w:tcPr>
            <w:tcW w:w="575" w:type="pct"/>
            <w:shd w:val="clear" w:color="auto" w:fill="auto"/>
            <w:noWrap/>
            <w:hideMark/>
          </w:tcPr>
          <w:p w14:paraId="29BDF6D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4,2</w:t>
            </w:r>
          </w:p>
        </w:tc>
      </w:tr>
      <w:tr w:rsidR="00473C3B" w:rsidRPr="00671E8F" w14:paraId="6D68E21B" w14:textId="77777777" w:rsidTr="00473C3B">
        <w:trPr>
          <w:trHeight w:val="224"/>
          <w:jc w:val="center"/>
        </w:trPr>
        <w:tc>
          <w:tcPr>
            <w:tcW w:w="1340" w:type="pct"/>
            <w:shd w:val="clear" w:color="auto" w:fill="auto"/>
            <w:noWrap/>
            <w:vAlign w:val="center"/>
            <w:hideMark/>
          </w:tcPr>
          <w:p w14:paraId="27DD77C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Донације</w:t>
            </w:r>
          </w:p>
        </w:tc>
        <w:tc>
          <w:tcPr>
            <w:tcW w:w="585" w:type="pct"/>
            <w:shd w:val="clear" w:color="auto" w:fill="auto"/>
            <w:hideMark/>
          </w:tcPr>
          <w:p w14:paraId="7648770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39,1</w:t>
            </w:r>
          </w:p>
        </w:tc>
        <w:tc>
          <w:tcPr>
            <w:tcW w:w="584" w:type="pct"/>
          </w:tcPr>
          <w:p w14:paraId="550B967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39,1</w:t>
            </w:r>
          </w:p>
        </w:tc>
        <w:tc>
          <w:tcPr>
            <w:tcW w:w="584" w:type="pct"/>
          </w:tcPr>
          <w:p w14:paraId="3899544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36,3</w:t>
            </w:r>
          </w:p>
        </w:tc>
        <w:tc>
          <w:tcPr>
            <w:tcW w:w="747" w:type="pct"/>
            <w:shd w:val="clear" w:color="auto" w:fill="auto"/>
            <w:hideMark/>
          </w:tcPr>
          <w:p w14:paraId="6D435FA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-2,8</w:t>
            </w:r>
          </w:p>
        </w:tc>
        <w:tc>
          <w:tcPr>
            <w:tcW w:w="585" w:type="pct"/>
            <w:shd w:val="clear" w:color="auto" w:fill="auto"/>
            <w:hideMark/>
          </w:tcPr>
          <w:p w14:paraId="4CB9F33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-7,2</w:t>
            </w:r>
          </w:p>
        </w:tc>
        <w:tc>
          <w:tcPr>
            <w:tcW w:w="575" w:type="pct"/>
            <w:shd w:val="clear" w:color="auto" w:fill="auto"/>
            <w:noWrap/>
            <w:hideMark/>
          </w:tcPr>
          <w:p w14:paraId="14B48BE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0,4</w:t>
            </w:r>
          </w:p>
        </w:tc>
      </w:tr>
      <w:tr w:rsidR="00473C3B" w:rsidRPr="00671E8F" w14:paraId="59A3945D" w14:textId="77777777" w:rsidTr="00473C3B">
        <w:trPr>
          <w:trHeight w:val="224"/>
          <w:jc w:val="center"/>
        </w:trPr>
        <w:tc>
          <w:tcPr>
            <w:tcW w:w="1340" w:type="pct"/>
            <w:shd w:val="clear" w:color="auto" w:fill="E7E6E6" w:themeFill="background2"/>
            <w:noWrap/>
            <w:vAlign w:val="center"/>
            <w:hideMark/>
          </w:tcPr>
          <w:p w14:paraId="6BB70BEF"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ЈАВНИ РАСХОДИ</w:t>
            </w:r>
          </w:p>
        </w:tc>
        <w:tc>
          <w:tcPr>
            <w:tcW w:w="585" w:type="pct"/>
            <w:shd w:val="clear" w:color="auto" w:fill="E7E6E6" w:themeFill="background2"/>
            <w:hideMark/>
          </w:tcPr>
          <w:p w14:paraId="6851BFD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3.953,1</w:t>
            </w:r>
          </w:p>
        </w:tc>
        <w:tc>
          <w:tcPr>
            <w:tcW w:w="584" w:type="pct"/>
            <w:shd w:val="clear" w:color="auto" w:fill="E7E6E6" w:themeFill="background2"/>
          </w:tcPr>
          <w:p w14:paraId="23398A3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4.020,0</w:t>
            </w:r>
          </w:p>
        </w:tc>
        <w:tc>
          <w:tcPr>
            <w:tcW w:w="584" w:type="pct"/>
            <w:shd w:val="clear" w:color="auto" w:fill="E7E6E6" w:themeFill="background2"/>
          </w:tcPr>
          <w:p w14:paraId="717894D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4.185,2</w:t>
            </w:r>
          </w:p>
        </w:tc>
        <w:tc>
          <w:tcPr>
            <w:tcW w:w="747" w:type="pct"/>
            <w:shd w:val="clear" w:color="auto" w:fill="E7E6E6" w:themeFill="background2"/>
            <w:hideMark/>
          </w:tcPr>
          <w:p w14:paraId="39F381D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232,1</w:t>
            </w:r>
          </w:p>
        </w:tc>
        <w:tc>
          <w:tcPr>
            <w:tcW w:w="585" w:type="pct"/>
            <w:shd w:val="clear" w:color="auto" w:fill="E7E6E6" w:themeFill="background2"/>
            <w:hideMark/>
          </w:tcPr>
          <w:p w14:paraId="4DC88DF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5,9</w:t>
            </w:r>
          </w:p>
        </w:tc>
        <w:tc>
          <w:tcPr>
            <w:tcW w:w="575" w:type="pct"/>
            <w:shd w:val="clear" w:color="auto" w:fill="E7E6E6" w:themeFill="background2"/>
            <w:noWrap/>
            <w:hideMark/>
          </w:tcPr>
          <w:p w14:paraId="21FBF2F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43,6</w:t>
            </w:r>
          </w:p>
        </w:tc>
      </w:tr>
      <w:tr w:rsidR="00473C3B" w:rsidRPr="00671E8F" w14:paraId="060B164C" w14:textId="77777777" w:rsidTr="00473C3B">
        <w:trPr>
          <w:trHeight w:val="224"/>
          <w:jc w:val="center"/>
        </w:trPr>
        <w:tc>
          <w:tcPr>
            <w:tcW w:w="1340" w:type="pct"/>
            <w:shd w:val="clear" w:color="auto" w:fill="auto"/>
            <w:noWrap/>
            <w:vAlign w:val="center"/>
            <w:hideMark/>
          </w:tcPr>
          <w:p w14:paraId="737F8FF2"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Текући расходи</w:t>
            </w:r>
          </w:p>
        </w:tc>
        <w:tc>
          <w:tcPr>
            <w:tcW w:w="585" w:type="pct"/>
            <w:shd w:val="clear" w:color="auto" w:fill="auto"/>
            <w:hideMark/>
          </w:tcPr>
          <w:p w14:paraId="7FC220C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3.283,5</w:t>
            </w:r>
          </w:p>
        </w:tc>
        <w:tc>
          <w:tcPr>
            <w:tcW w:w="584" w:type="pct"/>
          </w:tcPr>
          <w:p w14:paraId="5570B22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3.318,1</w:t>
            </w:r>
          </w:p>
        </w:tc>
        <w:tc>
          <w:tcPr>
            <w:tcW w:w="584" w:type="pct"/>
          </w:tcPr>
          <w:p w14:paraId="5F7095F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3.431,6</w:t>
            </w:r>
          </w:p>
        </w:tc>
        <w:tc>
          <w:tcPr>
            <w:tcW w:w="747" w:type="pct"/>
            <w:shd w:val="clear" w:color="auto" w:fill="auto"/>
            <w:hideMark/>
          </w:tcPr>
          <w:p w14:paraId="7D35AC8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148,1</w:t>
            </w:r>
          </w:p>
        </w:tc>
        <w:tc>
          <w:tcPr>
            <w:tcW w:w="585" w:type="pct"/>
            <w:shd w:val="clear" w:color="auto" w:fill="auto"/>
            <w:hideMark/>
          </w:tcPr>
          <w:p w14:paraId="0F28665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4,5</w:t>
            </w:r>
          </w:p>
        </w:tc>
        <w:tc>
          <w:tcPr>
            <w:tcW w:w="575" w:type="pct"/>
            <w:shd w:val="clear" w:color="auto" w:fill="auto"/>
            <w:noWrap/>
            <w:hideMark/>
          </w:tcPr>
          <w:p w14:paraId="1BEA494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35,7</w:t>
            </w:r>
          </w:p>
        </w:tc>
      </w:tr>
      <w:tr w:rsidR="00473C3B" w:rsidRPr="00671E8F" w14:paraId="5A842EEC" w14:textId="77777777" w:rsidTr="00473C3B">
        <w:trPr>
          <w:trHeight w:val="224"/>
          <w:jc w:val="center"/>
        </w:trPr>
        <w:tc>
          <w:tcPr>
            <w:tcW w:w="1340" w:type="pct"/>
            <w:shd w:val="clear" w:color="auto" w:fill="auto"/>
            <w:noWrap/>
            <w:vAlign w:val="center"/>
            <w:hideMark/>
          </w:tcPr>
          <w:p w14:paraId="726316BB"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Расходи за запослене</w:t>
            </w:r>
          </w:p>
        </w:tc>
        <w:tc>
          <w:tcPr>
            <w:tcW w:w="585" w:type="pct"/>
            <w:shd w:val="clear" w:color="auto" w:fill="auto"/>
            <w:hideMark/>
          </w:tcPr>
          <w:p w14:paraId="5E6BFBD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890,7</w:t>
            </w:r>
          </w:p>
        </w:tc>
        <w:tc>
          <w:tcPr>
            <w:tcW w:w="584" w:type="pct"/>
          </w:tcPr>
          <w:p w14:paraId="6FA872B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900,7</w:t>
            </w:r>
          </w:p>
        </w:tc>
        <w:tc>
          <w:tcPr>
            <w:tcW w:w="584" w:type="pct"/>
          </w:tcPr>
          <w:p w14:paraId="2C46B97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911,3</w:t>
            </w:r>
          </w:p>
        </w:tc>
        <w:tc>
          <w:tcPr>
            <w:tcW w:w="747" w:type="pct"/>
            <w:shd w:val="clear" w:color="auto" w:fill="auto"/>
            <w:hideMark/>
          </w:tcPr>
          <w:p w14:paraId="3046E1E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20,7</w:t>
            </w:r>
          </w:p>
        </w:tc>
        <w:tc>
          <w:tcPr>
            <w:tcW w:w="585" w:type="pct"/>
            <w:shd w:val="clear" w:color="auto" w:fill="auto"/>
            <w:hideMark/>
          </w:tcPr>
          <w:p w14:paraId="2A56220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2,3</w:t>
            </w:r>
          </w:p>
        </w:tc>
        <w:tc>
          <w:tcPr>
            <w:tcW w:w="575" w:type="pct"/>
            <w:shd w:val="clear" w:color="auto" w:fill="auto"/>
            <w:noWrap/>
            <w:hideMark/>
          </w:tcPr>
          <w:p w14:paraId="45654E9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9,5</w:t>
            </w:r>
          </w:p>
        </w:tc>
      </w:tr>
      <w:tr w:rsidR="00473C3B" w:rsidRPr="00671E8F" w14:paraId="10142EDC" w14:textId="77777777" w:rsidTr="00473C3B">
        <w:trPr>
          <w:trHeight w:val="224"/>
          <w:jc w:val="center"/>
        </w:trPr>
        <w:tc>
          <w:tcPr>
            <w:tcW w:w="1340" w:type="pct"/>
            <w:shd w:val="clear" w:color="auto" w:fill="auto"/>
            <w:noWrap/>
            <w:vAlign w:val="center"/>
            <w:hideMark/>
          </w:tcPr>
          <w:p w14:paraId="1C09058E"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Куповина робе и услуга</w:t>
            </w:r>
          </w:p>
        </w:tc>
        <w:tc>
          <w:tcPr>
            <w:tcW w:w="585" w:type="pct"/>
            <w:shd w:val="clear" w:color="auto" w:fill="auto"/>
            <w:hideMark/>
          </w:tcPr>
          <w:p w14:paraId="2126C8B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672,6</w:t>
            </w:r>
          </w:p>
        </w:tc>
        <w:tc>
          <w:tcPr>
            <w:tcW w:w="584" w:type="pct"/>
          </w:tcPr>
          <w:p w14:paraId="67EDF94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672,6</w:t>
            </w:r>
          </w:p>
        </w:tc>
        <w:tc>
          <w:tcPr>
            <w:tcW w:w="584" w:type="pct"/>
          </w:tcPr>
          <w:p w14:paraId="2F81F85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706,7</w:t>
            </w:r>
          </w:p>
        </w:tc>
        <w:tc>
          <w:tcPr>
            <w:tcW w:w="747" w:type="pct"/>
            <w:shd w:val="clear" w:color="auto" w:fill="auto"/>
            <w:hideMark/>
          </w:tcPr>
          <w:p w14:paraId="28219EC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34,1</w:t>
            </w:r>
          </w:p>
        </w:tc>
        <w:tc>
          <w:tcPr>
            <w:tcW w:w="585" w:type="pct"/>
            <w:shd w:val="clear" w:color="auto" w:fill="auto"/>
            <w:hideMark/>
          </w:tcPr>
          <w:p w14:paraId="2CD57C2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5,1</w:t>
            </w:r>
          </w:p>
        </w:tc>
        <w:tc>
          <w:tcPr>
            <w:tcW w:w="575" w:type="pct"/>
            <w:shd w:val="clear" w:color="auto" w:fill="auto"/>
            <w:noWrap/>
            <w:hideMark/>
          </w:tcPr>
          <w:p w14:paraId="1508DD0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7,4</w:t>
            </w:r>
          </w:p>
        </w:tc>
      </w:tr>
      <w:tr w:rsidR="00473C3B" w:rsidRPr="00671E8F" w14:paraId="44EA8895" w14:textId="77777777" w:rsidTr="00473C3B">
        <w:trPr>
          <w:trHeight w:val="224"/>
          <w:jc w:val="center"/>
        </w:trPr>
        <w:tc>
          <w:tcPr>
            <w:tcW w:w="1340" w:type="pct"/>
            <w:shd w:val="clear" w:color="auto" w:fill="auto"/>
            <w:noWrap/>
            <w:vAlign w:val="center"/>
            <w:hideMark/>
          </w:tcPr>
          <w:p w14:paraId="7156752D"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Отплата камата</w:t>
            </w:r>
          </w:p>
        </w:tc>
        <w:tc>
          <w:tcPr>
            <w:tcW w:w="585" w:type="pct"/>
            <w:shd w:val="clear" w:color="auto" w:fill="auto"/>
            <w:hideMark/>
          </w:tcPr>
          <w:p w14:paraId="1CDA359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185,9</w:t>
            </w:r>
          </w:p>
        </w:tc>
        <w:tc>
          <w:tcPr>
            <w:tcW w:w="584" w:type="pct"/>
          </w:tcPr>
          <w:p w14:paraId="7A46873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186,0</w:t>
            </w:r>
          </w:p>
        </w:tc>
        <w:tc>
          <w:tcPr>
            <w:tcW w:w="584" w:type="pct"/>
          </w:tcPr>
          <w:p w14:paraId="7EBF47D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187,6</w:t>
            </w:r>
          </w:p>
        </w:tc>
        <w:tc>
          <w:tcPr>
            <w:tcW w:w="747" w:type="pct"/>
            <w:shd w:val="clear" w:color="auto" w:fill="auto"/>
            <w:hideMark/>
          </w:tcPr>
          <w:p w14:paraId="0B34CA5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w:t>
            </w:r>
          </w:p>
        </w:tc>
        <w:tc>
          <w:tcPr>
            <w:tcW w:w="585" w:type="pct"/>
            <w:shd w:val="clear" w:color="auto" w:fill="auto"/>
            <w:hideMark/>
          </w:tcPr>
          <w:p w14:paraId="034267F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0,9</w:t>
            </w:r>
          </w:p>
        </w:tc>
        <w:tc>
          <w:tcPr>
            <w:tcW w:w="575" w:type="pct"/>
            <w:shd w:val="clear" w:color="auto" w:fill="auto"/>
            <w:noWrap/>
            <w:hideMark/>
          </w:tcPr>
          <w:p w14:paraId="259AF66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w:t>
            </w:r>
          </w:p>
        </w:tc>
      </w:tr>
      <w:tr w:rsidR="00473C3B" w:rsidRPr="00671E8F" w14:paraId="3E2ADAE3" w14:textId="77777777" w:rsidTr="00473C3B">
        <w:trPr>
          <w:trHeight w:val="224"/>
          <w:jc w:val="center"/>
        </w:trPr>
        <w:tc>
          <w:tcPr>
            <w:tcW w:w="1340" w:type="pct"/>
            <w:shd w:val="clear" w:color="auto" w:fill="auto"/>
            <w:noWrap/>
            <w:vAlign w:val="center"/>
            <w:hideMark/>
          </w:tcPr>
          <w:p w14:paraId="7486A673"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Субвенције</w:t>
            </w:r>
          </w:p>
        </w:tc>
        <w:tc>
          <w:tcPr>
            <w:tcW w:w="585" w:type="pct"/>
            <w:shd w:val="clear" w:color="auto" w:fill="auto"/>
            <w:hideMark/>
          </w:tcPr>
          <w:p w14:paraId="6CAC805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209,9</w:t>
            </w:r>
          </w:p>
        </w:tc>
        <w:tc>
          <w:tcPr>
            <w:tcW w:w="584" w:type="pct"/>
          </w:tcPr>
          <w:p w14:paraId="30C364B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210,0</w:t>
            </w:r>
          </w:p>
        </w:tc>
        <w:tc>
          <w:tcPr>
            <w:tcW w:w="584" w:type="pct"/>
          </w:tcPr>
          <w:p w14:paraId="52FA95D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243,6</w:t>
            </w:r>
          </w:p>
        </w:tc>
        <w:tc>
          <w:tcPr>
            <w:tcW w:w="747" w:type="pct"/>
            <w:shd w:val="clear" w:color="auto" w:fill="auto"/>
            <w:hideMark/>
          </w:tcPr>
          <w:p w14:paraId="72544EF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33,7</w:t>
            </w:r>
          </w:p>
        </w:tc>
        <w:tc>
          <w:tcPr>
            <w:tcW w:w="585" w:type="pct"/>
            <w:shd w:val="clear" w:color="auto" w:fill="auto"/>
            <w:hideMark/>
          </w:tcPr>
          <w:p w14:paraId="2767755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16,1</w:t>
            </w:r>
          </w:p>
        </w:tc>
        <w:tc>
          <w:tcPr>
            <w:tcW w:w="575" w:type="pct"/>
            <w:shd w:val="clear" w:color="auto" w:fill="auto"/>
            <w:noWrap/>
            <w:hideMark/>
          </w:tcPr>
          <w:p w14:paraId="470C4E7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w:t>
            </w:r>
          </w:p>
        </w:tc>
      </w:tr>
      <w:tr w:rsidR="00473C3B" w:rsidRPr="00671E8F" w14:paraId="1E9B2E9C" w14:textId="77777777" w:rsidTr="00473C3B">
        <w:trPr>
          <w:trHeight w:val="224"/>
          <w:jc w:val="center"/>
        </w:trPr>
        <w:tc>
          <w:tcPr>
            <w:tcW w:w="1340" w:type="pct"/>
            <w:shd w:val="clear" w:color="auto" w:fill="auto"/>
            <w:noWrap/>
            <w:vAlign w:val="center"/>
            <w:hideMark/>
          </w:tcPr>
          <w:p w14:paraId="0D1BFE06"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Социјална помоћ и трансфери</w:t>
            </w:r>
          </w:p>
        </w:tc>
        <w:tc>
          <w:tcPr>
            <w:tcW w:w="585" w:type="pct"/>
            <w:shd w:val="clear" w:color="auto" w:fill="auto"/>
            <w:hideMark/>
          </w:tcPr>
          <w:p w14:paraId="05ECF19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1.212,5</w:t>
            </w:r>
          </w:p>
        </w:tc>
        <w:tc>
          <w:tcPr>
            <w:tcW w:w="584" w:type="pct"/>
          </w:tcPr>
          <w:p w14:paraId="6DFC02C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1.234,7</w:t>
            </w:r>
          </w:p>
        </w:tc>
        <w:tc>
          <w:tcPr>
            <w:tcW w:w="584" w:type="pct"/>
          </w:tcPr>
          <w:p w14:paraId="78040BA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1.250,0</w:t>
            </w:r>
          </w:p>
        </w:tc>
        <w:tc>
          <w:tcPr>
            <w:tcW w:w="747" w:type="pct"/>
            <w:shd w:val="clear" w:color="auto" w:fill="auto"/>
            <w:hideMark/>
          </w:tcPr>
          <w:p w14:paraId="4E3FBA5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37,5</w:t>
            </w:r>
          </w:p>
        </w:tc>
        <w:tc>
          <w:tcPr>
            <w:tcW w:w="585" w:type="pct"/>
            <w:shd w:val="clear" w:color="auto" w:fill="auto"/>
            <w:hideMark/>
          </w:tcPr>
          <w:p w14:paraId="7DDC901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3,1</w:t>
            </w:r>
          </w:p>
        </w:tc>
        <w:tc>
          <w:tcPr>
            <w:tcW w:w="575" w:type="pct"/>
            <w:shd w:val="clear" w:color="auto" w:fill="auto"/>
            <w:noWrap/>
            <w:hideMark/>
          </w:tcPr>
          <w:p w14:paraId="1191BA0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13,0</w:t>
            </w:r>
          </w:p>
        </w:tc>
      </w:tr>
      <w:tr w:rsidR="00473C3B" w:rsidRPr="00671E8F" w14:paraId="2D5C3E61" w14:textId="77777777" w:rsidTr="00473C3B">
        <w:trPr>
          <w:trHeight w:val="224"/>
          <w:jc w:val="center"/>
        </w:trPr>
        <w:tc>
          <w:tcPr>
            <w:tcW w:w="1340" w:type="pct"/>
            <w:shd w:val="clear" w:color="auto" w:fill="auto"/>
            <w:noWrap/>
            <w:vAlign w:val="center"/>
            <w:hideMark/>
          </w:tcPr>
          <w:p w14:paraId="4257DEC1" w14:textId="77777777" w:rsidR="00473C3B" w:rsidRPr="00671E8F" w:rsidRDefault="00473C3B" w:rsidP="00473C3B">
            <w:pPr>
              <w:spacing w:after="0" w:line="240" w:lineRule="auto"/>
              <w:jc w:val="left"/>
              <w:rPr>
                <w:rFonts w:eastAsia="MS PGothic" w:cstheme="minorHAnsi"/>
                <w:i/>
                <w:color w:val="002060"/>
                <w:sz w:val="16"/>
                <w:szCs w:val="16"/>
                <w:lang w:eastAsia="ja-JP"/>
              </w:rPr>
            </w:pPr>
            <w:r w:rsidRPr="00671E8F">
              <w:rPr>
                <w:rFonts w:eastAsia="MS PGothic" w:cstheme="minorHAnsi"/>
                <w:i/>
                <w:color w:val="002060"/>
                <w:sz w:val="16"/>
                <w:szCs w:val="16"/>
                <w:lang w:eastAsia="ja-JP"/>
              </w:rPr>
              <w:t>од чега пензије</w:t>
            </w:r>
          </w:p>
        </w:tc>
        <w:tc>
          <w:tcPr>
            <w:tcW w:w="585" w:type="pct"/>
            <w:shd w:val="clear" w:color="auto" w:fill="auto"/>
            <w:hideMark/>
          </w:tcPr>
          <w:p w14:paraId="400961E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926,7</w:t>
            </w:r>
          </w:p>
        </w:tc>
        <w:tc>
          <w:tcPr>
            <w:tcW w:w="584" w:type="pct"/>
          </w:tcPr>
          <w:p w14:paraId="42FE12A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926,7</w:t>
            </w:r>
          </w:p>
        </w:tc>
        <w:tc>
          <w:tcPr>
            <w:tcW w:w="584" w:type="pct"/>
          </w:tcPr>
          <w:p w14:paraId="281E061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930,6</w:t>
            </w:r>
          </w:p>
        </w:tc>
        <w:tc>
          <w:tcPr>
            <w:tcW w:w="747" w:type="pct"/>
            <w:shd w:val="clear" w:color="auto" w:fill="auto"/>
            <w:hideMark/>
          </w:tcPr>
          <w:p w14:paraId="22DCFC3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3,9</w:t>
            </w:r>
          </w:p>
        </w:tc>
        <w:tc>
          <w:tcPr>
            <w:tcW w:w="585" w:type="pct"/>
            <w:shd w:val="clear" w:color="auto" w:fill="auto"/>
            <w:hideMark/>
          </w:tcPr>
          <w:p w14:paraId="12C3E17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0,4</w:t>
            </w:r>
          </w:p>
        </w:tc>
        <w:tc>
          <w:tcPr>
            <w:tcW w:w="575" w:type="pct"/>
            <w:shd w:val="clear" w:color="auto" w:fill="auto"/>
            <w:noWrap/>
            <w:hideMark/>
          </w:tcPr>
          <w:p w14:paraId="7FAD106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9,7</w:t>
            </w:r>
          </w:p>
        </w:tc>
      </w:tr>
      <w:tr w:rsidR="00473C3B" w:rsidRPr="00671E8F" w14:paraId="34DF7455" w14:textId="77777777" w:rsidTr="00473C3B">
        <w:trPr>
          <w:trHeight w:val="224"/>
          <w:jc w:val="center"/>
        </w:trPr>
        <w:tc>
          <w:tcPr>
            <w:tcW w:w="1340" w:type="pct"/>
            <w:shd w:val="clear" w:color="auto" w:fill="auto"/>
            <w:noWrap/>
            <w:vAlign w:val="center"/>
            <w:hideMark/>
          </w:tcPr>
          <w:p w14:paraId="46D1D0CD"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Остали текући расходи</w:t>
            </w:r>
          </w:p>
        </w:tc>
        <w:tc>
          <w:tcPr>
            <w:tcW w:w="585" w:type="pct"/>
            <w:shd w:val="clear" w:color="auto" w:fill="auto"/>
            <w:hideMark/>
          </w:tcPr>
          <w:p w14:paraId="7A441FD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111,9</w:t>
            </w:r>
          </w:p>
        </w:tc>
        <w:tc>
          <w:tcPr>
            <w:tcW w:w="584" w:type="pct"/>
          </w:tcPr>
          <w:p w14:paraId="22864D0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114,1</w:t>
            </w:r>
          </w:p>
        </w:tc>
        <w:tc>
          <w:tcPr>
            <w:tcW w:w="584" w:type="pct"/>
          </w:tcPr>
          <w:p w14:paraId="1544E75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132,4</w:t>
            </w:r>
          </w:p>
        </w:tc>
        <w:tc>
          <w:tcPr>
            <w:tcW w:w="747" w:type="pct"/>
            <w:shd w:val="clear" w:color="auto" w:fill="auto"/>
            <w:hideMark/>
          </w:tcPr>
          <w:p w14:paraId="0F6CF05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20,5</w:t>
            </w:r>
          </w:p>
        </w:tc>
        <w:tc>
          <w:tcPr>
            <w:tcW w:w="585" w:type="pct"/>
            <w:shd w:val="clear" w:color="auto" w:fill="auto"/>
            <w:hideMark/>
          </w:tcPr>
          <w:p w14:paraId="614D28B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18,3</w:t>
            </w:r>
          </w:p>
        </w:tc>
        <w:tc>
          <w:tcPr>
            <w:tcW w:w="575" w:type="pct"/>
            <w:shd w:val="clear" w:color="auto" w:fill="auto"/>
            <w:noWrap/>
            <w:hideMark/>
          </w:tcPr>
          <w:p w14:paraId="6820295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w:t>
            </w:r>
          </w:p>
        </w:tc>
      </w:tr>
      <w:tr w:rsidR="00473C3B" w:rsidRPr="00671E8F" w14:paraId="3DC27B3F" w14:textId="77777777" w:rsidTr="00473C3B">
        <w:trPr>
          <w:trHeight w:val="224"/>
          <w:jc w:val="center"/>
        </w:trPr>
        <w:tc>
          <w:tcPr>
            <w:tcW w:w="1340" w:type="pct"/>
            <w:shd w:val="clear" w:color="auto" w:fill="auto"/>
            <w:noWrap/>
            <w:vAlign w:val="center"/>
            <w:hideMark/>
          </w:tcPr>
          <w:p w14:paraId="7B7EA669"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Капитални расходи</w:t>
            </w:r>
          </w:p>
        </w:tc>
        <w:tc>
          <w:tcPr>
            <w:tcW w:w="585" w:type="pct"/>
            <w:shd w:val="clear" w:color="auto" w:fill="auto"/>
            <w:hideMark/>
          </w:tcPr>
          <w:p w14:paraId="44C2F99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595,2</w:t>
            </w:r>
          </w:p>
        </w:tc>
        <w:tc>
          <w:tcPr>
            <w:tcW w:w="584" w:type="pct"/>
          </w:tcPr>
          <w:p w14:paraId="06ECE70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652,3</w:t>
            </w:r>
          </w:p>
        </w:tc>
        <w:tc>
          <w:tcPr>
            <w:tcW w:w="584" w:type="pct"/>
          </w:tcPr>
          <w:p w14:paraId="49689A1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706,3</w:t>
            </w:r>
          </w:p>
        </w:tc>
        <w:tc>
          <w:tcPr>
            <w:tcW w:w="747" w:type="pct"/>
            <w:shd w:val="clear" w:color="auto" w:fill="auto"/>
            <w:hideMark/>
          </w:tcPr>
          <w:p w14:paraId="4CED33C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111,1</w:t>
            </w:r>
          </w:p>
        </w:tc>
        <w:tc>
          <w:tcPr>
            <w:tcW w:w="585" w:type="pct"/>
            <w:shd w:val="clear" w:color="auto" w:fill="auto"/>
            <w:hideMark/>
          </w:tcPr>
          <w:p w14:paraId="42E96DE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18,7</w:t>
            </w:r>
          </w:p>
        </w:tc>
        <w:tc>
          <w:tcPr>
            <w:tcW w:w="575" w:type="pct"/>
            <w:shd w:val="clear" w:color="auto" w:fill="auto"/>
            <w:noWrap/>
            <w:hideMark/>
          </w:tcPr>
          <w:p w14:paraId="102A31B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7,4</w:t>
            </w:r>
          </w:p>
        </w:tc>
      </w:tr>
      <w:tr w:rsidR="00473C3B" w:rsidRPr="00671E8F" w14:paraId="2A392496" w14:textId="77777777" w:rsidTr="00473C3B">
        <w:trPr>
          <w:trHeight w:val="224"/>
          <w:jc w:val="center"/>
        </w:trPr>
        <w:tc>
          <w:tcPr>
            <w:tcW w:w="1340" w:type="pct"/>
            <w:shd w:val="clear" w:color="auto" w:fill="auto"/>
            <w:noWrap/>
            <w:vAlign w:val="center"/>
            <w:hideMark/>
          </w:tcPr>
          <w:p w14:paraId="68FEEF1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Нето буџетске позајмице</w:t>
            </w:r>
          </w:p>
        </w:tc>
        <w:tc>
          <w:tcPr>
            <w:tcW w:w="585" w:type="pct"/>
            <w:shd w:val="clear" w:color="auto" w:fill="auto"/>
            <w:hideMark/>
          </w:tcPr>
          <w:p w14:paraId="1726F89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46,9</w:t>
            </w:r>
          </w:p>
        </w:tc>
        <w:tc>
          <w:tcPr>
            <w:tcW w:w="584" w:type="pct"/>
          </w:tcPr>
          <w:p w14:paraId="4D1C357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20,1</w:t>
            </w:r>
          </w:p>
        </w:tc>
        <w:tc>
          <w:tcPr>
            <w:tcW w:w="584" w:type="pct"/>
          </w:tcPr>
          <w:p w14:paraId="4E3AEF7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18,7</w:t>
            </w:r>
          </w:p>
        </w:tc>
        <w:tc>
          <w:tcPr>
            <w:tcW w:w="747" w:type="pct"/>
            <w:shd w:val="clear" w:color="auto" w:fill="auto"/>
            <w:hideMark/>
          </w:tcPr>
          <w:p w14:paraId="46008F2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-28,2</w:t>
            </w:r>
          </w:p>
        </w:tc>
        <w:tc>
          <w:tcPr>
            <w:tcW w:w="585" w:type="pct"/>
            <w:shd w:val="clear" w:color="auto" w:fill="auto"/>
            <w:hideMark/>
          </w:tcPr>
          <w:p w14:paraId="1E80A17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-60,1</w:t>
            </w:r>
          </w:p>
        </w:tc>
        <w:tc>
          <w:tcPr>
            <w:tcW w:w="575" w:type="pct"/>
            <w:shd w:val="clear" w:color="auto" w:fill="auto"/>
            <w:noWrap/>
            <w:hideMark/>
          </w:tcPr>
          <w:p w14:paraId="47BFF57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0,2</w:t>
            </w:r>
          </w:p>
        </w:tc>
      </w:tr>
      <w:tr w:rsidR="00473C3B" w:rsidRPr="00671E8F" w14:paraId="376327C6" w14:textId="77777777" w:rsidTr="00473C3B">
        <w:trPr>
          <w:trHeight w:val="224"/>
          <w:jc w:val="center"/>
        </w:trPr>
        <w:tc>
          <w:tcPr>
            <w:tcW w:w="1340" w:type="pct"/>
            <w:shd w:val="clear" w:color="auto" w:fill="auto"/>
            <w:noWrap/>
            <w:vAlign w:val="center"/>
            <w:hideMark/>
          </w:tcPr>
          <w:p w14:paraId="6D3D4B1B"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Активиране гаранције</w:t>
            </w:r>
          </w:p>
        </w:tc>
        <w:tc>
          <w:tcPr>
            <w:tcW w:w="585" w:type="pct"/>
            <w:shd w:val="clear" w:color="auto" w:fill="auto"/>
            <w:hideMark/>
          </w:tcPr>
          <w:p w14:paraId="637748F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27,5</w:t>
            </w:r>
          </w:p>
        </w:tc>
        <w:tc>
          <w:tcPr>
            <w:tcW w:w="584" w:type="pct"/>
          </w:tcPr>
          <w:p w14:paraId="7237E74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29,5</w:t>
            </w:r>
          </w:p>
        </w:tc>
        <w:tc>
          <w:tcPr>
            <w:tcW w:w="584" w:type="pct"/>
          </w:tcPr>
          <w:p w14:paraId="65AF7E2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28,5</w:t>
            </w:r>
          </w:p>
        </w:tc>
        <w:tc>
          <w:tcPr>
            <w:tcW w:w="747" w:type="pct"/>
            <w:shd w:val="clear" w:color="auto" w:fill="auto"/>
            <w:hideMark/>
          </w:tcPr>
          <w:p w14:paraId="1888955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w:t>
            </w:r>
          </w:p>
        </w:tc>
        <w:tc>
          <w:tcPr>
            <w:tcW w:w="585" w:type="pct"/>
            <w:shd w:val="clear" w:color="auto" w:fill="auto"/>
            <w:hideMark/>
          </w:tcPr>
          <w:p w14:paraId="4AD5C9E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w:t>
            </w:r>
          </w:p>
        </w:tc>
        <w:tc>
          <w:tcPr>
            <w:tcW w:w="575" w:type="pct"/>
            <w:shd w:val="clear" w:color="auto" w:fill="auto"/>
            <w:noWrap/>
            <w:hideMark/>
          </w:tcPr>
          <w:p w14:paraId="06B0601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0,3</w:t>
            </w:r>
          </w:p>
        </w:tc>
      </w:tr>
      <w:tr w:rsidR="00473C3B" w:rsidRPr="00671E8F" w14:paraId="4F794F9C" w14:textId="77777777" w:rsidTr="00473C3B">
        <w:trPr>
          <w:trHeight w:val="224"/>
          <w:jc w:val="center"/>
        </w:trPr>
        <w:tc>
          <w:tcPr>
            <w:tcW w:w="1340" w:type="pct"/>
            <w:shd w:val="clear" w:color="auto" w:fill="E7E6E6" w:themeFill="background2"/>
            <w:noWrap/>
            <w:vAlign w:val="center"/>
            <w:hideMark/>
          </w:tcPr>
          <w:p w14:paraId="71F9B377"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Резултат</w:t>
            </w:r>
          </w:p>
        </w:tc>
        <w:tc>
          <w:tcPr>
            <w:tcW w:w="585" w:type="pct"/>
            <w:shd w:val="clear" w:color="auto" w:fill="E7E6E6" w:themeFill="background2"/>
            <w:hideMark/>
          </w:tcPr>
          <w:p w14:paraId="1366C29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-197,0</w:t>
            </w:r>
          </w:p>
        </w:tc>
        <w:tc>
          <w:tcPr>
            <w:tcW w:w="584" w:type="pct"/>
            <w:shd w:val="clear" w:color="auto" w:fill="E7E6E6" w:themeFill="background2"/>
          </w:tcPr>
          <w:p w14:paraId="6843ACC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-197,0</w:t>
            </w:r>
          </w:p>
        </w:tc>
        <w:tc>
          <w:tcPr>
            <w:tcW w:w="584" w:type="pct"/>
            <w:shd w:val="clear" w:color="auto" w:fill="E7E6E6" w:themeFill="background2"/>
          </w:tcPr>
          <w:p w14:paraId="07479E7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-263,0</w:t>
            </w:r>
          </w:p>
        </w:tc>
        <w:tc>
          <w:tcPr>
            <w:tcW w:w="747" w:type="pct"/>
            <w:shd w:val="clear" w:color="auto" w:fill="E7E6E6" w:themeFill="background2"/>
            <w:hideMark/>
          </w:tcPr>
          <w:p w14:paraId="6197FF9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-66,0</w:t>
            </w:r>
          </w:p>
        </w:tc>
        <w:tc>
          <w:tcPr>
            <w:tcW w:w="585" w:type="pct"/>
            <w:shd w:val="clear" w:color="auto" w:fill="E7E6E6" w:themeFill="background2"/>
            <w:hideMark/>
          </w:tcPr>
          <w:p w14:paraId="1F35506C" w14:textId="77777777" w:rsidR="00473C3B" w:rsidRPr="00671E8F" w:rsidRDefault="00473C3B" w:rsidP="00473C3B">
            <w:pPr>
              <w:spacing w:after="0" w:line="240" w:lineRule="auto"/>
              <w:jc w:val="right"/>
              <w:rPr>
                <w:rFonts w:eastAsia="MS PGothic" w:cstheme="minorHAnsi"/>
                <w:color w:val="002060"/>
                <w:sz w:val="16"/>
                <w:szCs w:val="16"/>
                <w:lang w:eastAsia="ja-JP"/>
              </w:rPr>
            </w:pPr>
          </w:p>
        </w:tc>
        <w:tc>
          <w:tcPr>
            <w:tcW w:w="575" w:type="pct"/>
            <w:shd w:val="clear" w:color="auto" w:fill="E7E6E6" w:themeFill="background2"/>
            <w:noWrap/>
            <w:hideMark/>
          </w:tcPr>
          <w:p w14:paraId="5B5B0FC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w:t>
            </w:r>
          </w:p>
        </w:tc>
      </w:tr>
      <w:tr w:rsidR="00473C3B" w:rsidRPr="00671E8F" w14:paraId="1F16D001" w14:textId="77777777" w:rsidTr="00473C3B">
        <w:trPr>
          <w:trHeight w:val="224"/>
          <w:jc w:val="center"/>
        </w:trPr>
        <w:tc>
          <w:tcPr>
            <w:tcW w:w="1340" w:type="pct"/>
            <w:tcBorders>
              <w:bottom w:val="single" w:sz="4" w:space="0" w:color="002060"/>
            </w:tcBorders>
            <w:shd w:val="clear" w:color="auto" w:fill="auto"/>
            <w:noWrap/>
            <w:vAlign w:val="center"/>
            <w:hideMark/>
          </w:tcPr>
          <w:p w14:paraId="7BEFF959"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Резултат у % БДП**</w:t>
            </w:r>
          </w:p>
        </w:tc>
        <w:tc>
          <w:tcPr>
            <w:tcW w:w="585" w:type="pct"/>
            <w:tcBorders>
              <w:bottom w:val="single" w:sz="4" w:space="0" w:color="002060"/>
            </w:tcBorders>
            <w:shd w:val="clear" w:color="auto" w:fill="auto"/>
            <w:hideMark/>
          </w:tcPr>
          <w:p w14:paraId="403DB7D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w:t>
            </w:r>
          </w:p>
        </w:tc>
        <w:tc>
          <w:tcPr>
            <w:tcW w:w="584" w:type="pct"/>
            <w:tcBorders>
              <w:bottom w:val="single" w:sz="4" w:space="0" w:color="002060"/>
            </w:tcBorders>
          </w:tcPr>
          <w:p w14:paraId="1AC21A7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w:t>
            </w:r>
          </w:p>
        </w:tc>
        <w:tc>
          <w:tcPr>
            <w:tcW w:w="584" w:type="pct"/>
            <w:tcBorders>
              <w:bottom w:val="single" w:sz="4" w:space="0" w:color="002060"/>
            </w:tcBorders>
          </w:tcPr>
          <w:p w14:paraId="237DB73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w:t>
            </w:r>
          </w:p>
        </w:tc>
        <w:tc>
          <w:tcPr>
            <w:tcW w:w="747" w:type="pct"/>
            <w:tcBorders>
              <w:bottom w:val="single" w:sz="4" w:space="0" w:color="002060"/>
            </w:tcBorders>
            <w:shd w:val="clear" w:color="auto" w:fill="auto"/>
            <w:hideMark/>
          </w:tcPr>
          <w:p w14:paraId="28E9D7F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-0,6</w:t>
            </w:r>
          </w:p>
        </w:tc>
        <w:tc>
          <w:tcPr>
            <w:tcW w:w="585" w:type="pct"/>
            <w:tcBorders>
              <w:bottom w:val="single" w:sz="4" w:space="0" w:color="002060"/>
            </w:tcBorders>
            <w:shd w:val="clear" w:color="auto" w:fill="auto"/>
            <w:hideMark/>
          </w:tcPr>
          <w:p w14:paraId="2E0E5680" w14:textId="77777777" w:rsidR="00473C3B" w:rsidRPr="00671E8F" w:rsidRDefault="00473C3B" w:rsidP="00473C3B">
            <w:pPr>
              <w:spacing w:after="0" w:line="240" w:lineRule="auto"/>
              <w:ind w:right="284"/>
              <w:jc w:val="right"/>
              <w:rPr>
                <w:rFonts w:eastAsia="MS PGothic" w:cstheme="minorHAnsi"/>
                <w:color w:val="002060"/>
                <w:sz w:val="16"/>
                <w:szCs w:val="16"/>
                <w:lang w:eastAsia="ja-JP"/>
              </w:rPr>
            </w:pPr>
          </w:p>
        </w:tc>
        <w:tc>
          <w:tcPr>
            <w:tcW w:w="575" w:type="pct"/>
            <w:tcBorders>
              <w:bottom w:val="single" w:sz="4" w:space="0" w:color="002060"/>
            </w:tcBorders>
            <w:shd w:val="clear" w:color="auto" w:fill="auto"/>
            <w:hideMark/>
          </w:tcPr>
          <w:p w14:paraId="77194271" w14:textId="77777777" w:rsidR="00473C3B" w:rsidRPr="00671E8F" w:rsidRDefault="00473C3B" w:rsidP="00473C3B">
            <w:pPr>
              <w:spacing w:after="0" w:line="240" w:lineRule="auto"/>
              <w:ind w:right="284"/>
              <w:jc w:val="right"/>
              <w:rPr>
                <w:rFonts w:eastAsia="MS PGothic" w:cstheme="minorHAnsi"/>
                <w:color w:val="002060"/>
                <w:sz w:val="16"/>
                <w:szCs w:val="16"/>
                <w:lang w:eastAsia="ja-JP"/>
              </w:rPr>
            </w:pPr>
          </w:p>
        </w:tc>
      </w:tr>
    </w:tbl>
    <w:p w14:paraId="49368004" w14:textId="77777777" w:rsidR="00473C3B" w:rsidRPr="00671E8F" w:rsidRDefault="00473C3B" w:rsidP="00473C3B">
      <w:pPr>
        <w:spacing w:after="0" w:line="240" w:lineRule="auto"/>
        <w:jc w:val="left"/>
        <w:rPr>
          <w:rFonts w:eastAsia="Calibri" w:cstheme="minorHAnsi"/>
          <w:bCs/>
          <w:sz w:val="16"/>
          <w:szCs w:val="16"/>
          <w:lang w:eastAsia="ja-JP"/>
        </w:rPr>
        <w:sectPr w:rsidR="00473C3B" w:rsidRPr="00671E8F" w:rsidSect="00473C3B">
          <w:type w:val="continuous"/>
          <w:pgSz w:w="12240" w:h="15840" w:code="1"/>
          <w:pgMar w:top="1440" w:right="1440" w:bottom="1440" w:left="1440" w:header="720" w:footer="720" w:gutter="0"/>
          <w:cols w:space="720"/>
          <w:docGrid w:linePitch="360"/>
        </w:sectPr>
      </w:pPr>
    </w:p>
    <w:p w14:paraId="675F00D1" w14:textId="77777777" w:rsidR="00473C3B" w:rsidRPr="00671E8F" w:rsidRDefault="00473C3B" w:rsidP="00473C3B">
      <w:pPr>
        <w:rPr>
          <w:rFonts w:eastAsia="MS PGothic" w:cstheme="minorHAnsi"/>
          <w:szCs w:val="20"/>
          <w:lang w:eastAsia="ja-JP"/>
        </w:rPr>
        <w:sectPr w:rsidR="00473C3B" w:rsidRPr="00671E8F" w:rsidSect="00473C3B">
          <w:headerReference w:type="even" r:id="rId127"/>
          <w:headerReference w:type="default" r:id="rId128"/>
          <w:footerReference w:type="even" r:id="rId129"/>
          <w:footerReference w:type="default" r:id="rId130"/>
          <w:headerReference w:type="first" r:id="rId131"/>
          <w:type w:val="continuous"/>
          <w:pgSz w:w="12240" w:h="15840" w:code="1"/>
          <w:pgMar w:top="1440" w:right="1440" w:bottom="1440" w:left="1440" w:header="720" w:footer="720" w:gutter="0"/>
          <w:cols w:num="2" w:space="720"/>
          <w:docGrid w:linePitch="360"/>
        </w:sectPr>
      </w:pPr>
    </w:p>
    <w:p w14:paraId="42AF3D7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lastRenderedPageBreak/>
        <w:t>Пројекција прихода сектора државе овим фискалним оквиром повећана је за 166 млрд динара (4,4%) у односу на оригиналну. Све категорије прихода, осим прихода од царина и донација ревидиране су навише у односу на оригиналну пројекцију. Највећу процентуалну промену навише бележе приходи од пореза на добит, а у апсолутном износу приходи од ПДВ. Поред тога значајно су повећани и непорески приходи и приходи од акциза. Најважнији фактори који су довели до измене у висини и структури прихода сектора државе су:</w:t>
      </w:r>
    </w:p>
    <w:p w14:paraId="57D5315A"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базни ефекат (остварење на крају претходне године) и остварење у периоду јануар–август 2024. године;</w:t>
      </w:r>
    </w:p>
    <w:p w14:paraId="28D33BF6"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корпоративна профитабилност у 2023. години;</w:t>
      </w:r>
    </w:p>
    <w:p w14:paraId="4AB02648"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бржи раст личне потрошње од предвиђеног;</w:t>
      </w:r>
    </w:p>
    <w:p w14:paraId="62B970CB"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већа потрошња акцизних производа;</w:t>
      </w:r>
    </w:p>
    <w:p w14:paraId="7F291760"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снажнији раст наплате редовних непореских прихода, и уплата одређених ванредних и једнократних непореских прихода;</w:t>
      </w:r>
    </w:p>
    <w:p w14:paraId="6672B2D6" w14:textId="77777777" w:rsidR="00473C3B" w:rsidRPr="00671E8F" w:rsidRDefault="00473C3B" w:rsidP="00473C3B">
      <w:pPr>
        <w:numPr>
          <w:ilvl w:val="0"/>
          <w:numId w:val="21"/>
        </w:numPr>
        <w:contextualSpacing/>
        <w:rPr>
          <w:rFonts w:eastAsia="MS PGothic" w:cstheme="minorHAnsi"/>
          <w:szCs w:val="20"/>
          <w:lang w:eastAsia="ja-JP"/>
        </w:rPr>
      </w:pPr>
      <w:r w:rsidRPr="00671E8F">
        <w:rPr>
          <w:rFonts w:eastAsia="MS PGothic" w:cstheme="minorHAnsi"/>
          <w:szCs w:val="20"/>
          <w:lang w:eastAsia="ja-JP"/>
        </w:rPr>
        <w:t>повољнија кретања на тржишту рада.</w:t>
      </w:r>
    </w:p>
    <w:p w14:paraId="5943AA69" w14:textId="77777777" w:rsidR="00473C3B" w:rsidRPr="00671E8F" w:rsidRDefault="00473C3B" w:rsidP="00080426">
      <w:pPr>
        <w:widowControl w:val="0"/>
        <w:spacing w:before="240" w:after="120"/>
        <w:rPr>
          <w:rFonts w:eastAsia="MS PGothic" w:cstheme="minorHAnsi"/>
          <w:szCs w:val="20"/>
          <w:lang w:eastAsia="ja-JP"/>
        </w:rPr>
      </w:pPr>
      <w:r w:rsidRPr="00671E8F">
        <w:rPr>
          <w:rFonts w:eastAsia="MS PGothic" w:cstheme="minorHAnsi"/>
          <w:szCs w:val="20"/>
          <w:lang w:eastAsia="ja-JP"/>
        </w:rPr>
        <w:t>Пројекција прихода од пореза на доходак грађана повећана је за 17,7 млрд динара у односу на буџетски износ, док је пројекција прихода од социјалних доприноса увећана 30 млрд динара. Претпоставке оригиналне пројекције ових прихода, кретања просечних зарада и запослености, током протеклог дела 2024. године, су изнад очекиваних. У обзир су узете и процене ефеката смањења пореског оптерећења зарада у 2024. години. Основни разлог за повећање пројекције пореза на зараде и социјалних доприноса је базни ефекат, као и кретања на тржишту рада у протеклом делу године.</w:t>
      </w:r>
      <w:r w:rsidRPr="00671E8F">
        <w:rPr>
          <w:rFonts w:ascii="Times New Roman" w:eastAsia="Times New Roman" w:hAnsi="Times New Roman" w:cs="Times New Roman"/>
          <w:color w:val="auto"/>
          <w:sz w:val="24"/>
          <w:szCs w:val="24"/>
        </w:rPr>
        <w:t xml:space="preserve"> </w:t>
      </w:r>
      <w:r w:rsidRPr="00671E8F">
        <w:rPr>
          <w:rFonts w:eastAsia="MS PGothic" w:cstheme="minorHAnsi"/>
          <w:szCs w:val="20"/>
          <w:lang w:eastAsia="ja-JP"/>
        </w:rPr>
        <w:t>Други приходи, изузев пореза на зараде, који припадају категорији пореза на доходак (порез на дивиденде, порез на приходе од камата, годишњи порез на доходак, порез на приходе од закупа непокретности и др.)</w:t>
      </w:r>
      <w:r w:rsidRPr="00671E8F">
        <w:t xml:space="preserve"> ревидирани су навише, такође због утицаја базног ефекта и </w:t>
      </w:r>
      <w:r w:rsidRPr="00671E8F">
        <w:rPr>
          <w:rFonts w:eastAsia="MS PGothic" w:cstheme="minorHAnsi"/>
          <w:szCs w:val="20"/>
          <w:lang w:eastAsia="ja-JP"/>
        </w:rPr>
        <w:t>бољег остварења у протеклом делу године, пре свега код наплате годишњег пореза на доходак грађана.</w:t>
      </w:r>
    </w:p>
    <w:p w14:paraId="13ED62DA" w14:textId="77777777" w:rsidR="00473C3B" w:rsidRPr="00671E8F" w:rsidRDefault="00473C3B" w:rsidP="00473C3B">
      <w:pPr>
        <w:widowControl w:val="0"/>
        <w:spacing w:after="120"/>
        <w:rPr>
          <w:rFonts w:eastAsia="MS PGothic" w:cstheme="minorHAnsi"/>
          <w:szCs w:val="20"/>
          <w:lang w:eastAsia="ja-JP"/>
        </w:rPr>
      </w:pPr>
      <w:r w:rsidRPr="00671E8F">
        <w:rPr>
          <w:rFonts w:eastAsia="MS PGothic" w:cstheme="minorHAnsi"/>
          <w:szCs w:val="20"/>
          <w:lang w:eastAsia="ja-JP"/>
        </w:rPr>
        <w:t xml:space="preserve">Процена прихода од пореза на добит, за разлику </w:t>
      </w:r>
      <w:r w:rsidRPr="00671E8F">
        <w:rPr>
          <w:rFonts w:eastAsia="MS PGothic" w:cstheme="minorHAnsi"/>
          <w:szCs w:val="20"/>
          <w:lang w:eastAsia="ja-JP"/>
        </w:rPr>
        <w:t>од претходне ревизије, знатно је повећана у односу на оригиналну процену. При томе је процентуално повећање од 13,8% највише од свих пореских облика, док апсолутни износ повећања износи 35,5 млрд динара. Коначни подаци о профитабилности нису познати у тренутку планирања буџета, те се ови приходи планирају конзервативно.  Висок износ пореза на добит, који је остварен у 2022. и 2023. години, довео је до повећања учешћа овог пореза у БДП (око 3%) изнад просечних вредности забележених у претходном периоду. Водећи се принципом опрезности, приликом првобитне пројекције предвиђено је постепено смањење учешћа овог пореског облика у БДП, тј. враћање на просечан ниво претходног периода. Након уплате пореза на добит по коначном обрачуну за 2023. годину (крај јуна текуће године), ревидирана је и годишња процена овог пореза. Добит привредних друштава, која су пословала позитивно, у 2023. години, према објављеним подацима АПР, износила је 1.297 млрд динара и већа је за 3,6% у односу на 2022. годину. Остварена нето добит износила је 972,4 млрд динара што представља раст од 12,3%.</w:t>
      </w:r>
    </w:p>
    <w:p w14:paraId="14F5FD78" w14:textId="77777777" w:rsidR="00473C3B" w:rsidRPr="00671E8F" w:rsidRDefault="00473C3B" w:rsidP="00473C3B">
      <w:pPr>
        <w:widowControl w:val="0"/>
        <w:spacing w:after="120"/>
        <w:rPr>
          <w:rFonts w:eastAsia="MS PGothic" w:cstheme="minorHAnsi"/>
          <w:bCs/>
          <w:szCs w:val="20"/>
          <w:lang w:eastAsia="ja-JP"/>
        </w:rPr>
      </w:pPr>
      <w:r w:rsidRPr="00671E8F">
        <w:rPr>
          <w:rFonts w:eastAsia="MS PGothic" w:cstheme="minorHAnsi"/>
          <w:bCs/>
          <w:szCs w:val="20"/>
          <w:lang w:eastAsia="ja-JP"/>
        </w:rPr>
        <w:t>Приходи од пореза на додату вредност су ревидирани навише за 52 млрд динара, односно 5,7% у односу на буџетски план. Крајем претходне године забележена је значајно већа наплата ПДВ од планиране, која је служила као основа за планирање текуће године. Боље остварење дугује се значајнијем опоравку личне потрошње у последњем кварталу 2023. године. Овај тренд се наставља и у 2024. години. За разлику од претходне две године, у којима је услед различитих фактора („панична” потрошња, потрошња нерезидената итд.) дошло до нарушавања устаљене динамике потрошње и наплате ПДВ, сада се</w:t>
      </w:r>
      <w:r w:rsidRPr="00671E8F" w:rsidDel="00895455">
        <w:rPr>
          <w:rFonts w:eastAsia="MS PGothic" w:cstheme="minorHAnsi"/>
          <w:bCs/>
          <w:szCs w:val="20"/>
          <w:lang w:eastAsia="ja-JP"/>
        </w:rPr>
        <w:t xml:space="preserve"> </w:t>
      </w:r>
      <w:r w:rsidRPr="00671E8F">
        <w:rPr>
          <w:rFonts w:eastAsia="MS PGothic" w:cstheme="minorHAnsi"/>
          <w:bCs/>
          <w:szCs w:val="20"/>
          <w:lang w:eastAsia="ja-JP"/>
        </w:rPr>
        <w:t xml:space="preserve">креће у очекиваним обрасцима. Реалан раст дохотка становништва кључно доприноси расту личне потрошње и снажнијем расту прихода од ПДВ. </w:t>
      </w:r>
    </w:p>
    <w:p w14:paraId="3C09A7E1" w14:textId="77777777" w:rsidR="00473C3B" w:rsidRPr="00671E8F" w:rsidRDefault="00473C3B" w:rsidP="00473C3B">
      <w:pPr>
        <w:widowControl w:val="0"/>
        <w:spacing w:after="120"/>
        <w:rPr>
          <w:rFonts w:eastAsia="MS PGothic" w:cstheme="minorHAnsi"/>
          <w:bCs/>
          <w:szCs w:val="20"/>
          <w:lang w:eastAsia="ja-JP"/>
        </w:rPr>
      </w:pPr>
      <w:r w:rsidRPr="00671E8F">
        <w:rPr>
          <w:rFonts w:eastAsia="MS PGothic" w:cstheme="minorHAnsi"/>
          <w:bCs/>
          <w:szCs w:val="20"/>
          <w:lang w:eastAsia="ja-JP"/>
        </w:rPr>
        <w:t xml:space="preserve">Приходи од царина остају на нивоу планираном буџетом за 2024. годину. Реализација прихода током 2024. године у складу је са очекиваном. Ови приходи у највећој мери, иако не у потпуности, прате динамику ПДВ из увоза, међутим долази до измена у структури увозне тражње (врста робе, </w:t>
      </w:r>
      <w:r w:rsidRPr="00671E8F">
        <w:rPr>
          <w:rFonts w:eastAsia="MS PGothic" w:cstheme="minorHAnsi"/>
          <w:bCs/>
          <w:szCs w:val="20"/>
          <w:lang w:eastAsia="ja-JP"/>
        </w:rPr>
        <w:lastRenderedPageBreak/>
        <w:t>географско подручје) чиме је овај однос у одређеној мери измењен у последње две године, па приходи од царина бележе више стопе раста од увозног ПДВ.</w:t>
      </w:r>
    </w:p>
    <w:p w14:paraId="597A40EC" w14:textId="338D8395" w:rsidR="00473C3B" w:rsidRPr="00671E8F" w:rsidRDefault="00473C3B" w:rsidP="00473C3B">
      <w:pPr>
        <w:widowControl w:val="0"/>
        <w:spacing w:after="120"/>
        <w:rPr>
          <w:rFonts w:eastAsia="MS PGothic" w:cstheme="minorHAnsi"/>
          <w:bCs/>
          <w:szCs w:val="20"/>
          <w:lang w:eastAsia="ja-JP"/>
        </w:rPr>
      </w:pPr>
      <w:r w:rsidRPr="00671E8F">
        <w:rPr>
          <w:rFonts w:eastAsia="MS PGothic" w:cstheme="minorHAnsi"/>
          <w:bCs/>
          <w:szCs w:val="20"/>
          <w:lang w:eastAsia="ja-JP"/>
        </w:rPr>
        <w:t>Процена прихода од акциза повећана је за 12 млрд динара у односу на буџетски план. Акцизе на деривате нафте су повећане за 5,5 млрд динара, акцизе на дуванске производе повећане за 5 млрд динара, док је пројекција прихода од осталих акциза увећана за 1,5 млрд динара. Приходи од акциза на деривате нафте увећани су првенствено по основу знатно бољег извршења на крају претходне године. Овај тренд кретања</w:t>
      </w:r>
      <w:r w:rsidR="00517561" w:rsidRPr="00671E8F">
        <w:rPr>
          <w:rFonts w:eastAsia="MS PGothic" w:cstheme="minorHAnsi"/>
          <w:bCs/>
          <w:szCs w:val="20"/>
          <w:lang w:eastAsia="ja-JP"/>
        </w:rPr>
        <w:t xml:space="preserve"> наплате и потрошње се наставља</w:t>
      </w:r>
      <w:r w:rsidRPr="00671E8F">
        <w:rPr>
          <w:rFonts w:eastAsia="MS PGothic" w:cstheme="minorHAnsi"/>
          <w:bCs/>
          <w:szCs w:val="20"/>
          <w:lang w:eastAsia="ja-JP"/>
        </w:rPr>
        <w:t xml:space="preserve"> код већине акцизних производа и током 2024. године. За разлику од претходне две године, када су акцизном политиком смиривани инфлаторни притисци, у овој години се она враћа у редовне токове. Укинута су привремена смањења акциза на нафтне деривате, крајем прошле године номинални износи акциза су повећани за 8%, док је за почетак 2024. године било предвиђено усклађивање износа акциза са оствареном инфлацијом из 2023. године. Ова последња мера је одложена за три месеца, како би се додатно утицало на ублажавање инфлаторних притисака. Такође у 2024. години предвиђено је поновно успостављање механизма рефакција акциза на нафтне деривате који се користе у пољопривреди. Повећање прихода од акциза на дуван резултат је, у мањој мери, боље наплате од очекиване крајем претходне године, као и кретања потрошње дуванских производа током 2024. године. Приликом припреме буџета, претпостављен је пад потрошње који је присутан већ дужи низ година. Међутим, кретања на тржишту показују да до очекиваног пада потрошње дуванских производа, према подацима за првих шест месеци ове године, није дошло. Пројекција прихода од осталих акцизних производа (електрична енергија, алкохол и кафа) повећана је услед нешто бољег остварења акцизних прихода код све три категорије производа у односу на план.</w:t>
      </w:r>
    </w:p>
    <w:p w14:paraId="421983F0"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Непорески приходи ревидирани су навише за 20,5 млрд динара, у складу са досадашњим кретањем како редовних, тако и ванредних непореских прихода.</w:t>
      </w:r>
      <w:r w:rsidRPr="00671E8F">
        <w:rPr>
          <w:rFonts w:eastAsia="MS PGothic" w:cstheme="minorHAnsi"/>
          <w:szCs w:val="20"/>
          <w:lang w:eastAsia="ja-JP"/>
        </w:rPr>
        <w:t xml:space="preserve"> У редовне непореске приходе спадају различите таксе, накнаде (укључујући и путарине), </w:t>
      </w:r>
      <w:r w:rsidRPr="00671E8F">
        <w:rPr>
          <w:rFonts w:eastAsia="MS PGothic" w:cstheme="minorHAnsi"/>
          <w:szCs w:val="20"/>
          <w:lang w:eastAsia="ja-JP"/>
        </w:rPr>
        <w:t>казне, приходи органа и организација и сви остали приходи који се остварују устаљеном динамиком током године, уз одређене сезонске варијације. Повећање пројекције ових прихода, у највећој мери је  услед раста прихода од камата на орочена средства и прихода од накнада за коришћење јавних добара. Ванредне непореске приходе чине уплате добити јавних предузећа и агенција, дивиденде буџета, приходи по основу наплаћених потраживања Агенције за осигурање депозита, емисионе премије, камате итд.  Ова група непореских прихода коригована је навише због реализоване уплате прихода који нису били укључени у оригинални буџетски план (добит НБС, дивиденде буџета, емисиона премија).</w:t>
      </w:r>
    </w:p>
    <w:p w14:paraId="67E75EBC" w14:textId="1A56C534"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Као део свеобухватног </w:t>
      </w:r>
      <w:r w:rsidRPr="00671E8F">
        <w:rPr>
          <w:rFonts w:ascii="Calibri" w:eastAsia="Calibri" w:hAnsi="Calibri" w:cs="Calibri"/>
          <w:color w:val="44546A"/>
          <w:szCs w:val="20"/>
          <w:lang w:eastAsia="ja-JP"/>
        </w:rPr>
        <w:t>побољшања квалитета и транспарентности статистике државних финансија</w:t>
      </w:r>
      <w:r w:rsidRPr="00671E8F">
        <w:rPr>
          <w:rFonts w:eastAsia="MS PGothic" w:cstheme="minorHAnsi"/>
          <w:szCs w:val="20"/>
          <w:lang w:eastAsia="ja-JP"/>
        </w:rPr>
        <w:t xml:space="preserve">, и током 2024. године проширен је статистички обухват сектора државе, у складу са динамиком предвиђеном Законом о буџетском систему. Током претходне године обухват је проширен укључивањем здравствених установа са свим изворима финансирања, док је током 2024. године у систем извештавања укључен </w:t>
      </w:r>
      <w:r w:rsidRPr="00671E8F">
        <w:rPr>
          <w:lang w:eastAsia="ja-JP"/>
        </w:rPr>
        <w:t>један број ванбуџетских корисника (јавних агенција, научних института и др)</w:t>
      </w:r>
      <w:r w:rsidRPr="00671E8F">
        <w:rPr>
          <w:rFonts w:eastAsia="MS PGothic" w:cstheme="minorHAnsi"/>
          <w:szCs w:val="20"/>
          <w:lang w:eastAsia="ja-JP"/>
        </w:rPr>
        <w:t xml:space="preserve">. По том основу у овој години, статистички обухват прихода и расхода сектора државе увећан је за 20,2 млрд динара. На приходној страни то се односи искључиво на категорију непореских прихода, док се на расходној страни највећи део увећања односи на расходе за запослене, а остатак на остале категорије. Због упоредивости, за исти износ коригован је и оригинални план, имајући у виду да се овде не ради о бољем остварењу прихода од плана, односно прекорачења плана код расхода, већ само о проширеном обухвату прихода и расхода које остварују наведене установе. </w:t>
      </w:r>
      <w:r w:rsidRPr="00671E8F">
        <w:rPr>
          <w:rFonts w:eastAsia="MS PGothic" w:cstheme="minorHAnsi"/>
          <w:bCs/>
          <w:szCs w:val="20"/>
          <w:lang w:eastAsia="ja-JP"/>
        </w:rPr>
        <w:t xml:space="preserve">На овај начин, а према планираној динамици усклађивања обухвата сектора државе са међународним стандардима, поред повећања обима долази и до тачнијег приказа потрошње код крајњих корисника. </w:t>
      </w:r>
      <w:r w:rsidRPr="00671E8F">
        <w:rPr>
          <w:rFonts w:eastAsia="MS PGothic" w:cstheme="minorHAnsi"/>
          <w:szCs w:val="20"/>
          <w:lang w:eastAsia="ja-JP"/>
        </w:rPr>
        <w:t>Поједине категорије расхода сада су обухваћене на економским класификацијама на којима су и извршене.</w:t>
      </w:r>
    </w:p>
    <w:p w14:paraId="0DD82B78" w14:textId="77777777" w:rsidR="00080426" w:rsidRPr="00671E8F" w:rsidRDefault="00080426" w:rsidP="00473C3B">
      <w:pPr>
        <w:spacing w:after="120"/>
        <w:rPr>
          <w:rFonts w:eastAsia="MS PGothic" w:cstheme="minorHAnsi"/>
          <w:szCs w:val="20"/>
          <w:lang w:eastAsia="ja-JP"/>
        </w:rPr>
      </w:pPr>
    </w:p>
    <w:p w14:paraId="322A3641" w14:textId="77777777" w:rsidR="00473C3B" w:rsidRPr="00671E8F" w:rsidRDefault="00473C3B" w:rsidP="00473C3B">
      <w:pPr>
        <w:spacing w:after="120"/>
        <w:rPr>
          <w:rFonts w:eastAsia="MS PGothic" w:cstheme="minorHAnsi"/>
          <w:b/>
          <w:color w:val="002060"/>
          <w:szCs w:val="20"/>
          <w:lang w:eastAsia="ja-JP"/>
        </w:rPr>
      </w:pPr>
      <w:r w:rsidRPr="00671E8F">
        <w:rPr>
          <w:rFonts w:eastAsia="MS PGothic" w:cstheme="minorHAnsi"/>
          <w:b/>
          <w:color w:val="002060"/>
          <w:szCs w:val="20"/>
          <w:lang w:eastAsia="ja-JP"/>
        </w:rPr>
        <w:lastRenderedPageBreak/>
        <w:t>Допринос појединих фактора корекцији фиск. резултата у односу на план за 2024. год, % БДП</w:t>
      </w:r>
    </w:p>
    <w:p w14:paraId="18701AEE"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b/>
          <w:noProof/>
          <w:color w:val="002060"/>
          <w:szCs w:val="20"/>
          <w:lang w:val="en-US"/>
        </w:rPr>
        <w:drawing>
          <wp:inline distT="0" distB="0" distL="0" distR="0" wp14:anchorId="5EEC2A3B" wp14:editId="251CFF43">
            <wp:extent cx="2636520" cy="2830982"/>
            <wp:effectExtent l="0" t="0" r="0" b="7620"/>
            <wp:docPr id="332543241" name="Picture 332543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641487" cy="2836315"/>
                    </a:xfrm>
                    <a:prstGeom prst="rect">
                      <a:avLst/>
                    </a:prstGeom>
                    <a:noFill/>
                  </pic:spPr>
                </pic:pic>
              </a:graphicData>
            </a:graphic>
          </wp:inline>
        </w:drawing>
      </w:r>
    </w:p>
    <w:p w14:paraId="1FC5E299" w14:textId="77777777" w:rsidR="00473C3B" w:rsidRPr="00671E8F" w:rsidRDefault="00473C3B" w:rsidP="00473C3B">
      <w:pPr>
        <w:spacing w:after="120"/>
        <w:rPr>
          <w:rFonts w:eastAsia="MS PGothic" w:cstheme="minorHAnsi"/>
          <w:bCs/>
          <w:szCs w:val="20"/>
          <w:lang w:eastAsia="ja-JP"/>
        </w:rPr>
      </w:pPr>
      <w:r w:rsidRPr="00671E8F">
        <w:rPr>
          <w:rFonts w:eastAsia="MS PGothic" w:cstheme="minorHAnsi"/>
          <w:szCs w:val="20"/>
          <w:lang w:eastAsia="ja-JP"/>
        </w:rPr>
        <w:t xml:space="preserve">Процена расхода сектора државе ревидираним фискалним оквиром повећана је за 232,1 млрд динара у односу на буџетски план. </w:t>
      </w:r>
      <w:r w:rsidRPr="00671E8F">
        <w:rPr>
          <w:rFonts w:eastAsia="MS PGothic" w:cstheme="minorHAnsi"/>
          <w:bCs/>
          <w:szCs w:val="20"/>
          <w:lang w:eastAsia="ja-JP"/>
        </w:rPr>
        <w:t>При томе највеће је повећање капиталних расхода, док се највеће смањење односи на буџетске позајмице, где су планирана интервенцијска средства за енергетски сектор.</w:t>
      </w:r>
    </w:p>
    <w:p w14:paraId="0592BBA9"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Процена расхода за запослене у 2024. години ревидирана је навише за 20,7 млрд динара. Ово је у највећој мери резултат измена начина обрачуна зарада запослених у просвети и Министарству унутрашњих послова. У ову процену (као и у оригинални план) укључени су расходи за зараде који се финансирају из сопствених прихода јавних агенција и института, у износу од 17 млрд динара.</w:t>
      </w:r>
      <w:r w:rsidRPr="00671E8F">
        <w:rPr>
          <w:rFonts w:eastAsia="MS PGothic" w:cstheme="minorHAnsi"/>
          <w:szCs w:val="20"/>
          <w:lang w:eastAsia="ja-JP"/>
        </w:rPr>
        <w:t xml:space="preserve"> Ова промена ће у складу са Законом о буџетском систему и посебним фискалним правилима, довести и до померања горње дозвољене границе учешћа расхода за зараде у БДП.</w:t>
      </w:r>
    </w:p>
    <w:p w14:paraId="6935FF16" w14:textId="3A6915DB" w:rsidR="00473C3B" w:rsidRPr="00671E8F" w:rsidRDefault="00473C3B" w:rsidP="00473C3B">
      <w:pPr>
        <w:rPr>
          <w:rFonts w:eastAsia="MS PGothic" w:cstheme="minorHAnsi"/>
          <w:spacing w:val="2"/>
          <w:szCs w:val="20"/>
          <w:lang w:eastAsia="ja-JP"/>
        </w:rPr>
      </w:pPr>
      <w:r w:rsidRPr="00671E8F">
        <w:rPr>
          <w:rFonts w:eastAsia="MS PGothic" w:cstheme="minorHAnsi"/>
          <w:spacing w:val="2"/>
          <w:szCs w:val="20"/>
          <w:lang w:eastAsia="ja-JP"/>
        </w:rPr>
        <w:t xml:space="preserve">Расходи за робе и услуге ревидирани су навише </w:t>
      </w:r>
      <w:r w:rsidR="00671E8F">
        <w:rPr>
          <w:rFonts w:eastAsia="MS PGothic" w:cstheme="minorHAnsi"/>
          <w:spacing w:val="2"/>
          <w:szCs w:val="20"/>
          <w:lang w:val="sr-Cyrl-RS" w:eastAsia="ja-JP"/>
        </w:rPr>
        <w:t>з</w:t>
      </w:r>
      <w:r w:rsidRPr="00671E8F">
        <w:rPr>
          <w:rFonts w:eastAsia="MS PGothic" w:cstheme="minorHAnsi"/>
          <w:spacing w:val="2"/>
          <w:szCs w:val="20"/>
          <w:lang w:eastAsia="ja-JP"/>
        </w:rPr>
        <w:t xml:space="preserve">а 34,1 млрд динара. Од тога се 15 млрд односи на повећање расхода РФЗО, 15 млрд на нивоу буџета Републике, док се остатак повећања односи на друге нивое власти.  </w:t>
      </w:r>
      <w:r w:rsidRPr="00671E8F">
        <w:rPr>
          <w:rFonts w:eastAsia="MS PGothic" w:cstheme="minorHAnsi"/>
          <w:color w:val="FF0000"/>
          <w:spacing w:val="2"/>
          <w:szCs w:val="20"/>
          <w:lang w:eastAsia="ja-JP"/>
        </w:rPr>
        <w:t xml:space="preserve"> </w:t>
      </w:r>
      <w:r w:rsidRPr="00671E8F">
        <w:rPr>
          <w:rFonts w:eastAsia="MS PGothic" w:cstheme="minorHAnsi"/>
          <w:spacing w:val="2"/>
          <w:szCs w:val="20"/>
          <w:lang w:eastAsia="ja-JP"/>
        </w:rPr>
        <w:t>Извршено је и укључивање расхода настало проширењем обухвата сектора државе, у износу од око 0,3 млрд динара.</w:t>
      </w:r>
    </w:p>
    <w:p w14:paraId="5787CDC6" w14:textId="77777777" w:rsidR="00473C3B" w:rsidRPr="00671E8F" w:rsidRDefault="00473C3B" w:rsidP="00473C3B">
      <w:pPr>
        <w:spacing w:after="120"/>
        <w:rPr>
          <w:rFonts w:eastAsia="MS PGothic" w:cstheme="minorHAnsi"/>
          <w:spacing w:val="2"/>
          <w:szCs w:val="20"/>
          <w:lang w:eastAsia="ja-JP"/>
        </w:rPr>
      </w:pPr>
      <w:r w:rsidRPr="00671E8F">
        <w:rPr>
          <w:rFonts w:eastAsia="MS PGothic" w:cstheme="minorHAnsi"/>
          <w:spacing w:val="2"/>
          <w:szCs w:val="20"/>
          <w:lang w:eastAsia="ja-JP"/>
        </w:rPr>
        <w:t>Процена расхода за камате ревидирана је овим фискалним оквиром навише за 1,7 млрд у односу на оригинални план.</w:t>
      </w:r>
    </w:p>
    <w:p w14:paraId="0FEE1C85" w14:textId="64DD1621" w:rsidR="00473C3B" w:rsidRPr="00671E8F" w:rsidRDefault="00473C3B" w:rsidP="00473C3B">
      <w:pPr>
        <w:spacing w:after="120"/>
        <w:rPr>
          <w:rFonts w:eastAsia="MS PGothic" w:cstheme="minorHAnsi"/>
          <w:szCs w:val="20"/>
          <w:lang w:eastAsia="ja-JP"/>
        </w:rPr>
      </w:pPr>
      <w:r w:rsidRPr="00671E8F">
        <w:rPr>
          <w:rFonts w:eastAsia="MS PGothic" w:cstheme="minorHAnsi"/>
          <w:spacing w:val="2"/>
          <w:szCs w:val="20"/>
          <w:lang w:eastAsia="ja-JP"/>
        </w:rPr>
        <w:t>Расходи за субвенције значајно су ревидирани овим фискалним оквиром и то за 33,7 млрд динара</w:t>
      </w:r>
      <w:r w:rsidRPr="00671E8F">
        <w:rPr>
          <w:rFonts w:eastAsia="MS PGothic" w:cstheme="minorHAnsi"/>
          <w:szCs w:val="20"/>
          <w:lang w:eastAsia="ja-JP"/>
        </w:rPr>
        <w:t>. Највећи део повећања односи се на субвенције у пољопривреди које су увећане за 17,6 млрд динара. Ово повећање обухвата веће исплате у сточарству, пчеларству и другим областима. Значајан део повећања износа субвенција односи се и на област енергетике, око 12 млрд динара, и то за модернизацију система за мерење потрошње електричне енергије. Остатак повећања односи се на област туризма,заштите жи</w:t>
      </w:r>
      <w:r w:rsidR="00884012" w:rsidRPr="00671E8F">
        <w:rPr>
          <w:rFonts w:eastAsia="MS PGothic" w:cstheme="minorHAnsi"/>
          <w:szCs w:val="20"/>
          <w:lang w:eastAsia="ja-JP"/>
        </w:rPr>
        <w:t>в</w:t>
      </w:r>
      <w:r w:rsidRPr="00671E8F">
        <w:rPr>
          <w:rFonts w:eastAsia="MS PGothic" w:cstheme="minorHAnsi"/>
          <w:szCs w:val="20"/>
          <w:lang w:eastAsia="ja-JP"/>
        </w:rPr>
        <w:t>отне средине и спорта. По основу проширења обухвата сектора, у оквиру ове категорије расхода, приказано је 1,7 млрд динара.</w:t>
      </w:r>
    </w:p>
    <w:p w14:paraId="3CC8C9E5" w14:textId="0315234E"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Расходи за социјалну заштиту ревидирани су навише за 37,5 млрд динара у односу на оригинални план. Значајан део повећања односи се на исплату обештећења породиљама по основу одлуке Уставног суда о начину обрачуна накнаде плате за време породиљског одсуства</w:t>
      </w:r>
      <w:r w:rsidRPr="00671E8F">
        <w:rPr>
          <w:rFonts w:eastAsia="MS PGothic" w:cstheme="minorHAnsi"/>
          <w:szCs w:val="20"/>
          <w:lang w:eastAsia="ja-JP"/>
        </w:rPr>
        <w:t xml:space="preserve">. Ефекти ове одлуке имају и једнократни утицај за ретроактивну исплату по основу обрачуна овог права од 2018. године, али и трајни ефекат по основу повећања права за будуће породиље. Такођe усвојене су и измене регулативе </w:t>
      </w:r>
      <w:r w:rsidR="00517561" w:rsidRPr="00671E8F">
        <w:rPr>
          <w:rFonts w:eastAsia="MS PGothic" w:cstheme="minorHAnsi"/>
          <w:szCs w:val="20"/>
          <w:lang w:eastAsia="ja-JP"/>
        </w:rPr>
        <w:t>финансијске подршке</w:t>
      </w:r>
      <w:r w:rsidRPr="00671E8F">
        <w:rPr>
          <w:rFonts w:eastAsia="MS PGothic" w:cstheme="minorHAnsi"/>
          <w:szCs w:val="20"/>
          <w:lang w:eastAsia="ja-JP"/>
        </w:rPr>
        <w:t xml:space="preserve"> породици са </w:t>
      </w:r>
      <w:r w:rsidR="00517561" w:rsidRPr="00671E8F">
        <w:rPr>
          <w:rFonts w:eastAsia="MS PGothic" w:cstheme="minorHAnsi"/>
          <w:szCs w:val="20"/>
          <w:lang w:eastAsia="ja-JP"/>
        </w:rPr>
        <w:t>децом, којима</w:t>
      </w:r>
      <w:r w:rsidRPr="00671E8F">
        <w:rPr>
          <w:rFonts w:eastAsia="MS PGothic" w:cstheme="minorHAnsi"/>
          <w:szCs w:val="20"/>
          <w:lang w:eastAsia="ja-JP"/>
        </w:rPr>
        <w:t xml:space="preserve"> су значајно увећана давања по основу родитељског додатка. Део повећања је и резултат већег извршења ове категорије расхода током 2023. године.</w:t>
      </w:r>
    </w:p>
    <w:p w14:paraId="7DF63D24"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Процена осталих текућих расхода у 2024. години у односу на оригинални план, овим оквиром повећана је за 20,5  млрд динара у највећој мери због повећане процене извршења ове категорије расхода на нивоу буџета Републике.  По основу проширења обухвата сектора државе</w:t>
      </w:r>
      <w:r w:rsidRPr="00671E8F">
        <w:rPr>
          <w:rFonts w:eastAsia="MS PGothic" w:cstheme="minorHAnsi"/>
          <w:szCs w:val="20"/>
          <w:lang w:eastAsia="ja-JP"/>
        </w:rPr>
        <w:t>, у оквиру ове категорије расхода, приказано је 1,7 млрд динара.</w:t>
      </w:r>
    </w:p>
    <w:p w14:paraId="6A947DF2" w14:textId="1FA9663B" w:rsidR="00473C3B" w:rsidRPr="00671E8F" w:rsidRDefault="00473C3B" w:rsidP="00473C3B">
      <w:pPr>
        <w:spacing w:after="120"/>
        <w:rPr>
          <w:rFonts w:eastAsia="MS PGothic" w:cstheme="minorHAnsi"/>
          <w:szCs w:val="20"/>
          <w:lang w:eastAsia="ja-JP"/>
        </w:rPr>
      </w:pPr>
      <w:r w:rsidRPr="00671E8F">
        <w:rPr>
          <w:rFonts w:eastAsia="MS PGothic" w:cstheme="minorHAnsi"/>
          <w:bCs/>
          <w:szCs w:val="20"/>
          <w:lang w:eastAsia="ja-JP"/>
        </w:rPr>
        <w:t>Процењује се да ће реализација јавних инвестиција бити већа за 111,1 млрд динара од првобитног плана. Од тога се већина односи на инфраструктурне пројекте, односно изградњу путне и железничке инфраструктуре</w:t>
      </w:r>
      <w:r w:rsidR="00517561" w:rsidRPr="00671E8F">
        <w:rPr>
          <w:rFonts w:eastAsia="MS PGothic" w:cstheme="minorHAnsi"/>
          <w:bCs/>
          <w:szCs w:val="20"/>
          <w:lang w:eastAsia="ja-JP"/>
        </w:rPr>
        <w:t>,</w:t>
      </w:r>
      <w:r w:rsidRPr="00671E8F">
        <w:rPr>
          <w:rFonts w:eastAsia="MS PGothic" w:cstheme="minorHAnsi"/>
          <w:bCs/>
          <w:szCs w:val="20"/>
          <w:lang w:eastAsia="ja-JP"/>
        </w:rPr>
        <w:t xml:space="preserve"> као и за набавку опреме у сектору безбедности. Према проценама капитални расходи достижу ниво од </w:t>
      </w:r>
      <w:r w:rsidRPr="00671E8F">
        <w:rPr>
          <w:rFonts w:eastAsia="MS PGothic" w:cstheme="minorHAnsi"/>
          <w:bCs/>
          <w:szCs w:val="20"/>
          <w:lang w:eastAsia="ja-JP"/>
        </w:rPr>
        <w:lastRenderedPageBreak/>
        <w:t xml:space="preserve">7,4% БДП у 2024. години. </w:t>
      </w:r>
      <w:r w:rsidRPr="00671E8F">
        <w:rPr>
          <w:rFonts w:eastAsia="MS PGothic" w:cstheme="minorHAnsi"/>
          <w:szCs w:val="20"/>
          <w:lang w:eastAsia="ja-JP"/>
        </w:rPr>
        <w:t>Укључивање капиталних расхода јавних агенција и института довело је до повећања и оригиналног и ревидираног плана за 1,5 млрд динара.</w:t>
      </w:r>
    </w:p>
    <w:p w14:paraId="5DB08E18" w14:textId="77777777" w:rsidR="00473C3B" w:rsidRPr="00671E8F" w:rsidRDefault="00473C3B" w:rsidP="00473C3B">
      <w:pPr>
        <w:widowControl w:val="0"/>
        <w:rPr>
          <w:rFonts w:eastAsia="MS PGothic" w:cstheme="minorHAnsi"/>
          <w:bCs/>
          <w:szCs w:val="20"/>
          <w:lang w:eastAsia="ja-JP"/>
        </w:rPr>
      </w:pPr>
      <w:r w:rsidRPr="00671E8F">
        <w:rPr>
          <w:rFonts w:eastAsia="MS PGothic" w:cstheme="minorHAnsi"/>
          <w:bCs/>
          <w:szCs w:val="20"/>
          <w:lang w:eastAsia="ja-JP"/>
        </w:rPr>
        <w:t xml:space="preserve">Планирани износ буџетских позајмица, у оквиру којих су предвиђена средстава за набавку </w:t>
      </w:r>
      <w:r w:rsidRPr="00671E8F">
        <w:rPr>
          <w:rFonts w:eastAsia="MS PGothic" w:cstheme="minorHAnsi"/>
          <w:bCs/>
          <w:szCs w:val="20"/>
          <w:lang w:eastAsia="ja-JP"/>
        </w:rPr>
        <w:t>енергената, значајно је ревидиран наниже у износу од 28,2 млрд динара. Проширење обухвата сектора државе деловало је и на ову категорију расхода, у смислу рекласификације дела расхода, који се извршава преко Фонда за развој, у износу од 2 млрд динара на друге категорије</w:t>
      </w:r>
    </w:p>
    <w:p w14:paraId="59481F1C" w14:textId="77777777" w:rsidR="00473C3B" w:rsidRPr="00671E8F" w:rsidRDefault="00473C3B" w:rsidP="00473C3B">
      <w:pPr>
        <w:widowControl w:val="0"/>
        <w:rPr>
          <w:rFonts w:eastAsia="MS PGothic" w:cstheme="minorHAnsi"/>
          <w:b/>
          <w:color w:val="002060"/>
          <w:szCs w:val="20"/>
          <w:lang w:eastAsia="ja-JP"/>
        </w:rPr>
        <w:sectPr w:rsidR="00473C3B" w:rsidRPr="00671E8F" w:rsidSect="00473C3B">
          <w:type w:val="continuous"/>
          <w:pgSz w:w="12240" w:h="15840" w:code="1"/>
          <w:pgMar w:top="1440" w:right="1440" w:bottom="1440" w:left="1440" w:header="720" w:footer="720" w:gutter="0"/>
          <w:cols w:num="2" w:space="720"/>
          <w:docGrid w:linePitch="360"/>
        </w:sectPr>
      </w:pPr>
    </w:p>
    <w:p w14:paraId="3EDE60B2" w14:textId="77777777" w:rsidR="00473C3B" w:rsidRPr="00671E8F" w:rsidRDefault="00473C3B" w:rsidP="00080426">
      <w:pPr>
        <w:widowControl w:val="0"/>
        <w:spacing w:before="240"/>
        <w:rPr>
          <w:rFonts w:eastAsia="MS PGothic" w:cstheme="minorHAnsi"/>
          <w:b/>
          <w:color w:val="002060"/>
          <w:szCs w:val="20"/>
          <w:lang w:eastAsia="ja-JP"/>
        </w:rPr>
      </w:pPr>
      <w:r w:rsidRPr="00671E8F">
        <w:rPr>
          <w:rFonts w:eastAsia="MS PGothic" w:cstheme="minorHAnsi"/>
          <w:b/>
          <w:color w:val="002060"/>
          <w:szCs w:val="20"/>
          <w:lang w:eastAsia="ja-JP"/>
        </w:rPr>
        <w:t>Табела 7. Приходи, расходи и резултат сектора државе, јануар–август 2023. и 2024. године, у млрд динара</w:t>
      </w:r>
    </w:p>
    <w:tbl>
      <w:tblPr>
        <w:tblW w:w="5000" w:type="pct"/>
        <w:jc w:val="right"/>
        <w:tblLook w:val="04A0" w:firstRow="1" w:lastRow="0" w:firstColumn="1" w:lastColumn="0" w:noHBand="0" w:noVBand="1"/>
      </w:tblPr>
      <w:tblGrid>
        <w:gridCol w:w="3940"/>
        <w:gridCol w:w="1305"/>
        <w:gridCol w:w="1685"/>
        <w:gridCol w:w="2430"/>
      </w:tblGrid>
      <w:tr w:rsidR="00473C3B" w:rsidRPr="00671E8F" w14:paraId="76CA4676" w14:textId="77777777" w:rsidTr="00473C3B">
        <w:trPr>
          <w:trHeight w:val="242"/>
          <w:tblHeader/>
          <w:jc w:val="right"/>
        </w:trPr>
        <w:tc>
          <w:tcPr>
            <w:tcW w:w="2105" w:type="pct"/>
            <w:tcBorders>
              <w:top w:val="single" w:sz="4" w:space="0" w:color="002060"/>
            </w:tcBorders>
            <w:shd w:val="clear" w:color="auto" w:fill="auto"/>
            <w:noWrap/>
            <w:vAlign w:val="center"/>
            <w:hideMark/>
          </w:tcPr>
          <w:p w14:paraId="7430593D" w14:textId="77777777" w:rsidR="00473C3B" w:rsidRPr="00671E8F" w:rsidRDefault="00473C3B" w:rsidP="00473C3B">
            <w:pPr>
              <w:spacing w:after="0" w:line="240" w:lineRule="auto"/>
              <w:rPr>
                <w:rFonts w:cstheme="minorHAnsi"/>
                <w:color w:val="002060"/>
                <w:sz w:val="16"/>
                <w:szCs w:val="16"/>
              </w:rPr>
            </w:pPr>
          </w:p>
        </w:tc>
        <w:tc>
          <w:tcPr>
            <w:tcW w:w="697" w:type="pct"/>
            <w:tcBorders>
              <w:top w:val="single" w:sz="4" w:space="0" w:color="002060"/>
              <w:bottom w:val="single" w:sz="4" w:space="0" w:color="002060"/>
            </w:tcBorders>
            <w:shd w:val="clear" w:color="auto" w:fill="auto"/>
            <w:vAlign w:val="center"/>
            <w:hideMark/>
          </w:tcPr>
          <w:p w14:paraId="7DDC6B6C"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 xml:space="preserve"> I–VIII 2023</w:t>
            </w:r>
          </w:p>
        </w:tc>
        <w:tc>
          <w:tcPr>
            <w:tcW w:w="900" w:type="pct"/>
            <w:tcBorders>
              <w:top w:val="single" w:sz="4" w:space="0" w:color="002060"/>
              <w:bottom w:val="single" w:sz="4" w:space="0" w:color="002060"/>
            </w:tcBorders>
            <w:shd w:val="clear" w:color="auto" w:fill="auto"/>
            <w:vAlign w:val="center"/>
            <w:hideMark/>
          </w:tcPr>
          <w:p w14:paraId="0C120E97"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I–VIII 2024*</w:t>
            </w:r>
          </w:p>
        </w:tc>
        <w:tc>
          <w:tcPr>
            <w:tcW w:w="1298" w:type="pct"/>
            <w:tcBorders>
              <w:top w:val="single" w:sz="4" w:space="0" w:color="002060"/>
              <w:bottom w:val="single" w:sz="4" w:space="0" w:color="002060"/>
            </w:tcBorders>
            <w:shd w:val="clear" w:color="auto" w:fill="auto"/>
            <w:vAlign w:val="center"/>
            <w:hideMark/>
          </w:tcPr>
          <w:p w14:paraId="2BC6702D" w14:textId="77777777" w:rsidR="00473C3B" w:rsidRPr="00671E8F" w:rsidRDefault="00473C3B" w:rsidP="00473C3B">
            <w:pPr>
              <w:spacing w:after="0" w:line="240" w:lineRule="auto"/>
              <w:jc w:val="center"/>
              <w:rPr>
                <w:rFonts w:eastAsia="MS PGothic" w:cstheme="minorHAnsi"/>
                <w:color w:val="002060"/>
                <w:sz w:val="16"/>
                <w:szCs w:val="16"/>
                <w:lang w:eastAsia="ja-JP"/>
              </w:rPr>
            </w:pPr>
            <w:r w:rsidRPr="00671E8F">
              <w:rPr>
                <w:rFonts w:eastAsia="MS PGothic" w:cstheme="minorHAnsi"/>
                <w:color w:val="002060"/>
                <w:sz w:val="16"/>
                <w:szCs w:val="16"/>
                <w:lang w:eastAsia="ja-JP"/>
              </w:rPr>
              <w:t>2024 годишњи план/2023 стопа раста у %</w:t>
            </w:r>
          </w:p>
        </w:tc>
      </w:tr>
      <w:tr w:rsidR="00473C3B" w:rsidRPr="00671E8F" w14:paraId="266056CC" w14:textId="77777777" w:rsidTr="00473C3B">
        <w:trPr>
          <w:trHeight w:val="242"/>
          <w:tblHeader/>
          <w:jc w:val="right"/>
        </w:trPr>
        <w:tc>
          <w:tcPr>
            <w:tcW w:w="2105" w:type="pct"/>
            <w:shd w:val="clear" w:color="auto" w:fill="E7E6E6" w:themeFill="background2"/>
            <w:noWrap/>
            <w:vAlign w:val="center"/>
            <w:hideMark/>
          </w:tcPr>
          <w:p w14:paraId="48FE0E15"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ЈАВНИ ПРИХОДИ</w:t>
            </w:r>
          </w:p>
        </w:tc>
        <w:tc>
          <w:tcPr>
            <w:tcW w:w="697" w:type="pct"/>
            <w:tcBorders>
              <w:top w:val="single" w:sz="4" w:space="0" w:color="002060"/>
            </w:tcBorders>
            <w:shd w:val="clear" w:color="auto" w:fill="E7E6E6" w:themeFill="background2"/>
            <w:hideMark/>
          </w:tcPr>
          <w:p w14:paraId="556F272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2.242,3</w:t>
            </w:r>
          </w:p>
        </w:tc>
        <w:tc>
          <w:tcPr>
            <w:tcW w:w="900" w:type="pct"/>
            <w:tcBorders>
              <w:top w:val="single" w:sz="4" w:space="0" w:color="002060"/>
            </w:tcBorders>
            <w:shd w:val="clear" w:color="auto" w:fill="E7E6E6" w:themeFill="background2"/>
            <w:hideMark/>
          </w:tcPr>
          <w:p w14:paraId="243DCFB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2.565,6</w:t>
            </w:r>
          </w:p>
        </w:tc>
        <w:tc>
          <w:tcPr>
            <w:tcW w:w="1298" w:type="pct"/>
            <w:tcBorders>
              <w:top w:val="single" w:sz="4" w:space="0" w:color="002060"/>
            </w:tcBorders>
            <w:shd w:val="clear" w:color="auto" w:fill="E7E6E6" w:themeFill="background2"/>
            <w:hideMark/>
          </w:tcPr>
          <w:p w14:paraId="72579E4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14,4</w:t>
            </w:r>
          </w:p>
        </w:tc>
      </w:tr>
      <w:tr w:rsidR="00473C3B" w:rsidRPr="00671E8F" w14:paraId="57605D2E" w14:textId="77777777" w:rsidTr="00473C3B">
        <w:trPr>
          <w:trHeight w:val="242"/>
          <w:tblHeader/>
          <w:jc w:val="right"/>
        </w:trPr>
        <w:tc>
          <w:tcPr>
            <w:tcW w:w="2105" w:type="pct"/>
            <w:shd w:val="clear" w:color="auto" w:fill="auto"/>
            <w:noWrap/>
            <w:vAlign w:val="center"/>
            <w:hideMark/>
          </w:tcPr>
          <w:p w14:paraId="58EEA8C0"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Текући приходи</w:t>
            </w:r>
          </w:p>
        </w:tc>
        <w:tc>
          <w:tcPr>
            <w:tcW w:w="697" w:type="pct"/>
            <w:shd w:val="clear" w:color="auto" w:fill="auto"/>
            <w:hideMark/>
          </w:tcPr>
          <w:p w14:paraId="56CCA30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2.213,9</w:t>
            </w:r>
          </w:p>
        </w:tc>
        <w:tc>
          <w:tcPr>
            <w:tcW w:w="900" w:type="pct"/>
            <w:shd w:val="clear" w:color="auto" w:fill="auto"/>
            <w:noWrap/>
            <w:hideMark/>
          </w:tcPr>
          <w:p w14:paraId="0396C56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2.554,0</w:t>
            </w:r>
          </w:p>
        </w:tc>
        <w:tc>
          <w:tcPr>
            <w:tcW w:w="1298" w:type="pct"/>
            <w:shd w:val="clear" w:color="auto" w:fill="auto"/>
            <w:hideMark/>
          </w:tcPr>
          <w:p w14:paraId="4A20621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15,4</w:t>
            </w:r>
          </w:p>
        </w:tc>
      </w:tr>
      <w:tr w:rsidR="00473C3B" w:rsidRPr="00671E8F" w14:paraId="7083E7B9" w14:textId="77777777" w:rsidTr="00473C3B">
        <w:trPr>
          <w:trHeight w:val="242"/>
          <w:tblHeader/>
          <w:jc w:val="right"/>
        </w:trPr>
        <w:tc>
          <w:tcPr>
            <w:tcW w:w="2105" w:type="pct"/>
            <w:shd w:val="clear" w:color="auto" w:fill="auto"/>
            <w:noWrap/>
            <w:vAlign w:val="center"/>
            <w:hideMark/>
          </w:tcPr>
          <w:p w14:paraId="26E39078"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Порески приходи</w:t>
            </w:r>
          </w:p>
        </w:tc>
        <w:tc>
          <w:tcPr>
            <w:tcW w:w="697" w:type="pct"/>
            <w:shd w:val="clear" w:color="auto" w:fill="auto"/>
            <w:hideMark/>
          </w:tcPr>
          <w:p w14:paraId="032A0E8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2.003,1</w:t>
            </w:r>
          </w:p>
        </w:tc>
        <w:tc>
          <w:tcPr>
            <w:tcW w:w="900" w:type="pct"/>
            <w:shd w:val="clear" w:color="auto" w:fill="auto"/>
            <w:hideMark/>
          </w:tcPr>
          <w:p w14:paraId="7F7B4C9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2.311,9</w:t>
            </w:r>
          </w:p>
        </w:tc>
        <w:tc>
          <w:tcPr>
            <w:tcW w:w="1298" w:type="pct"/>
            <w:shd w:val="clear" w:color="auto" w:fill="auto"/>
            <w:hideMark/>
          </w:tcPr>
          <w:p w14:paraId="3835517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15,4</w:t>
            </w:r>
          </w:p>
        </w:tc>
      </w:tr>
      <w:tr w:rsidR="00473C3B" w:rsidRPr="00671E8F" w14:paraId="23508574" w14:textId="77777777" w:rsidTr="00473C3B">
        <w:trPr>
          <w:trHeight w:val="242"/>
          <w:tblHeader/>
          <w:jc w:val="right"/>
        </w:trPr>
        <w:tc>
          <w:tcPr>
            <w:tcW w:w="2105" w:type="pct"/>
            <w:shd w:val="clear" w:color="auto" w:fill="auto"/>
            <w:noWrap/>
            <w:vAlign w:val="center"/>
            <w:hideMark/>
          </w:tcPr>
          <w:p w14:paraId="0F5D90B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Порез на доходак грађана</w:t>
            </w:r>
          </w:p>
        </w:tc>
        <w:tc>
          <w:tcPr>
            <w:tcW w:w="697" w:type="pct"/>
            <w:shd w:val="clear" w:color="auto" w:fill="auto"/>
            <w:hideMark/>
          </w:tcPr>
          <w:p w14:paraId="138523D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224,9</w:t>
            </w:r>
          </w:p>
        </w:tc>
        <w:tc>
          <w:tcPr>
            <w:tcW w:w="900" w:type="pct"/>
            <w:shd w:val="clear" w:color="auto" w:fill="auto"/>
            <w:hideMark/>
          </w:tcPr>
          <w:p w14:paraId="75BC5F1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261,5</w:t>
            </w:r>
          </w:p>
        </w:tc>
        <w:tc>
          <w:tcPr>
            <w:tcW w:w="1298" w:type="pct"/>
            <w:shd w:val="clear" w:color="auto" w:fill="auto"/>
            <w:hideMark/>
          </w:tcPr>
          <w:p w14:paraId="5698145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16,3</w:t>
            </w:r>
          </w:p>
        </w:tc>
      </w:tr>
      <w:tr w:rsidR="00473C3B" w:rsidRPr="00671E8F" w14:paraId="7A5025E4" w14:textId="77777777" w:rsidTr="00473C3B">
        <w:trPr>
          <w:trHeight w:val="242"/>
          <w:tblHeader/>
          <w:jc w:val="right"/>
        </w:trPr>
        <w:tc>
          <w:tcPr>
            <w:tcW w:w="2105" w:type="pct"/>
            <w:shd w:val="clear" w:color="auto" w:fill="auto"/>
            <w:noWrap/>
            <w:vAlign w:val="center"/>
            <w:hideMark/>
          </w:tcPr>
          <w:p w14:paraId="631C69B0"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Порез на добит правних лица</w:t>
            </w:r>
          </w:p>
        </w:tc>
        <w:tc>
          <w:tcPr>
            <w:tcW w:w="697" w:type="pct"/>
            <w:shd w:val="clear" w:color="auto" w:fill="auto"/>
            <w:hideMark/>
          </w:tcPr>
          <w:p w14:paraId="540F67C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203,0</w:t>
            </w:r>
          </w:p>
        </w:tc>
        <w:tc>
          <w:tcPr>
            <w:tcW w:w="900" w:type="pct"/>
            <w:shd w:val="clear" w:color="auto" w:fill="auto"/>
            <w:hideMark/>
          </w:tcPr>
          <w:p w14:paraId="6E0CBA7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224,3</w:t>
            </w:r>
          </w:p>
        </w:tc>
        <w:tc>
          <w:tcPr>
            <w:tcW w:w="1298" w:type="pct"/>
            <w:shd w:val="clear" w:color="auto" w:fill="auto"/>
            <w:hideMark/>
          </w:tcPr>
          <w:p w14:paraId="795984F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10,5</w:t>
            </w:r>
          </w:p>
        </w:tc>
      </w:tr>
      <w:tr w:rsidR="00473C3B" w:rsidRPr="00671E8F" w14:paraId="7C01D3AE" w14:textId="77777777" w:rsidTr="00473C3B">
        <w:trPr>
          <w:trHeight w:val="242"/>
          <w:tblHeader/>
          <w:jc w:val="right"/>
        </w:trPr>
        <w:tc>
          <w:tcPr>
            <w:tcW w:w="2105" w:type="pct"/>
            <w:shd w:val="clear" w:color="auto" w:fill="auto"/>
            <w:noWrap/>
            <w:vAlign w:val="center"/>
            <w:hideMark/>
          </w:tcPr>
          <w:p w14:paraId="6FCA9463"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ПДВ</w:t>
            </w:r>
          </w:p>
        </w:tc>
        <w:tc>
          <w:tcPr>
            <w:tcW w:w="697" w:type="pct"/>
            <w:shd w:val="clear" w:color="auto" w:fill="auto"/>
            <w:hideMark/>
          </w:tcPr>
          <w:p w14:paraId="49AB7DD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532,4</w:t>
            </w:r>
          </w:p>
        </w:tc>
        <w:tc>
          <w:tcPr>
            <w:tcW w:w="900" w:type="pct"/>
            <w:shd w:val="clear" w:color="auto" w:fill="auto"/>
            <w:hideMark/>
          </w:tcPr>
          <w:p w14:paraId="5307A64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626,1</w:t>
            </w:r>
          </w:p>
        </w:tc>
        <w:tc>
          <w:tcPr>
            <w:tcW w:w="1298" w:type="pct"/>
            <w:shd w:val="clear" w:color="auto" w:fill="auto"/>
            <w:hideMark/>
          </w:tcPr>
          <w:p w14:paraId="6781DCD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17,6</w:t>
            </w:r>
          </w:p>
        </w:tc>
      </w:tr>
      <w:tr w:rsidR="00473C3B" w:rsidRPr="00671E8F" w14:paraId="21C1691C" w14:textId="77777777" w:rsidTr="00473C3B">
        <w:trPr>
          <w:trHeight w:val="242"/>
          <w:tblHeader/>
          <w:jc w:val="right"/>
        </w:trPr>
        <w:tc>
          <w:tcPr>
            <w:tcW w:w="2105" w:type="pct"/>
            <w:shd w:val="clear" w:color="auto" w:fill="auto"/>
            <w:noWrap/>
            <w:vAlign w:val="center"/>
            <w:hideMark/>
          </w:tcPr>
          <w:p w14:paraId="6D22C786"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Акцизе</w:t>
            </w:r>
          </w:p>
        </w:tc>
        <w:tc>
          <w:tcPr>
            <w:tcW w:w="697" w:type="pct"/>
            <w:shd w:val="clear" w:color="auto" w:fill="auto"/>
            <w:hideMark/>
          </w:tcPr>
          <w:p w14:paraId="6A4D4FB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240,9</w:t>
            </w:r>
          </w:p>
        </w:tc>
        <w:tc>
          <w:tcPr>
            <w:tcW w:w="900" w:type="pct"/>
            <w:shd w:val="clear" w:color="auto" w:fill="auto"/>
            <w:hideMark/>
          </w:tcPr>
          <w:p w14:paraId="32F74EC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279,5</w:t>
            </w:r>
          </w:p>
        </w:tc>
        <w:tc>
          <w:tcPr>
            <w:tcW w:w="1298" w:type="pct"/>
            <w:shd w:val="clear" w:color="auto" w:fill="auto"/>
            <w:hideMark/>
          </w:tcPr>
          <w:p w14:paraId="549636C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16,0</w:t>
            </w:r>
          </w:p>
        </w:tc>
      </w:tr>
      <w:tr w:rsidR="00473C3B" w:rsidRPr="00671E8F" w14:paraId="01DA8A27" w14:textId="77777777" w:rsidTr="00473C3B">
        <w:trPr>
          <w:trHeight w:val="242"/>
          <w:tblHeader/>
          <w:jc w:val="right"/>
        </w:trPr>
        <w:tc>
          <w:tcPr>
            <w:tcW w:w="2105" w:type="pct"/>
            <w:shd w:val="clear" w:color="auto" w:fill="auto"/>
            <w:noWrap/>
            <w:vAlign w:val="center"/>
            <w:hideMark/>
          </w:tcPr>
          <w:p w14:paraId="13EA1CB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Царине</w:t>
            </w:r>
          </w:p>
        </w:tc>
        <w:tc>
          <w:tcPr>
            <w:tcW w:w="697" w:type="pct"/>
            <w:shd w:val="clear" w:color="auto" w:fill="auto"/>
            <w:hideMark/>
          </w:tcPr>
          <w:p w14:paraId="175C14D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52,1</w:t>
            </w:r>
          </w:p>
        </w:tc>
        <w:tc>
          <w:tcPr>
            <w:tcW w:w="900" w:type="pct"/>
            <w:shd w:val="clear" w:color="auto" w:fill="auto"/>
            <w:hideMark/>
          </w:tcPr>
          <w:p w14:paraId="429726D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57,4</w:t>
            </w:r>
          </w:p>
        </w:tc>
        <w:tc>
          <w:tcPr>
            <w:tcW w:w="1298" w:type="pct"/>
            <w:shd w:val="clear" w:color="auto" w:fill="auto"/>
            <w:hideMark/>
          </w:tcPr>
          <w:p w14:paraId="3BBAA1B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12,0</w:t>
            </w:r>
          </w:p>
        </w:tc>
      </w:tr>
      <w:tr w:rsidR="00473C3B" w:rsidRPr="00671E8F" w14:paraId="45B692BD" w14:textId="77777777" w:rsidTr="00473C3B">
        <w:trPr>
          <w:trHeight w:val="242"/>
          <w:tblHeader/>
          <w:jc w:val="right"/>
        </w:trPr>
        <w:tc>
          <w:tcPr>
            <w:tcW w:w="2105" w:type="pct"/>
            <w:shd w:val="clear" w:color="auto" w:fill="auto"/>
            <w:noWrap/>
            <w:vAlign w:val="center"/>
            <w:hideMark/>
          </w:tcPr>
          <w:p w14:paraId="37F2B523"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Остали порески приходи</w:t>
            </w:r>
          </w:p>
        </w:tc>
        <w:tc>
          <w:tcPr>
            <w:tcW w:w="697" w:type="pct"/>
            <w:shd w:val="clear" w:color="auto" w:fill="auto"/>
            <w:hideMark/>
          </w:tcPr>
          <w:p w14:paraId="751BD7A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73,6</w:t>
            </w:r>
          </w:p>
        </w:tc>
        <w:tc>
          <w:tcPr>
            <w:tcW w:w="900" w:type="pct"/>
            <w:shd w:val="clear" w:color="auto" w:fill="auto"/>
            <w:hideMark/>
          </w:tcPr>
          <w:p w14:paraId="482E287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77,6</w:t>
            </w:r>
          </w:p>
        </w:tc>
        <w:tc>
          <w:tcPr>
            <w:tcW w:w="1298" w:type="pct"/>
            <w:shd w:val="clear" w:color="auto" w:fill="auto"/>
            <w:hideMark/>
          </w:tcPr>
          <w:p w14:paraId="2DD4546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5,5</w:t>
            </w:r>
          </w:p>
        </w:tc>
      </w:tr>
      <w:tr w:rsidR="00473C3B" w:rsidRPr="00671E8F" w14:paraId="0B36552E" w14:textId="77777777" w:rsidTr="00473C3B">
        <w:trPr>
          <w:trHeight w:val="242"/>
          <w:tblHeader/>
          <w:jc w:val="right"/>
        </w:trPr>
        <w:tc>
          <w:tcPr>
            <w:tcW w:w="2105" w:type="pct"/>
            <w:shd w:val="clear" w:color="auto" w:fill="auto"/>
            <w:noWrap/>
            <w:vAlign w:val="center"/>
            <w:hideMark/>
          </w:tcPr>
          <w:p w14:paraId="082833A8"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Доприноси</w:t>
            </w:r>
          </w:p>
        </w:tc>
        <w:tc>
          <w:tcPr>
            <w:tcW w:w="697" w:type="pct"/>
            <w:shd w:val="clear" w:color="auto" w:fill="auto"/>
            <w:hideMark/>
          </w:tcPr>
          <w:p w14:paraId="0952631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676,2</w:t>
            </w:r>
          </w:p>
        </w:tc>
        <w:tc>
          <w:tcPr>
            <w:tcW w:w="900" w:type="pct"/>
            <w:shd w:val="clear" w:color="auto" w:fill="auto"/>
            <w:hideMark/>
          </w:tcPr>
          <w:p w14:paraId="38B01F88"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785,4</w:t>
            </w:r>
          </w:p>
        </w:tc>
        <w:tc>
          <w:tcPr>
            <w:tcW w:w="1298" w:type="pct"/>
            <w:shd w:val="clear" w:color="auto" w:fill="auto"/>
            <w:hideMark/>
          </w:tcPr>
          <w:p w14:paraId="57B6646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16,2</w:t>
            </w:r>
          </w:p>
        </w:tc>
      </w:tr>
      <w:tr w:rsidR="00473C3B" w:rsidRPr="00671E8F" w14:paraId="6EFC971C" w14:textId="77777777" w:rsidTr="00473C3B">
        <w:trPr>
          <w:trHeight w:val="242"/>
          <w:tblHeader/>
          <w:jc w:val="right"/>
        </w:trPr>
        <w:tc>
          <w:tcPr>
            <w:tcW w:w="2105" w:type="pct"/>
            <w:shd w:val="clear" w:color="auto" w:fill="auto"/>
            <w:noWrap/>
            <w:vAlign w:val="center"/>
            <w:hideMark/>
          </w:tcPr>
          <w:p w14:paraId="3E6E7B0F"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Непорески приходи</w:t>
            </w:r>
          </w:p>
        </w:tc>
        <w:tc>
          <w:tcPr>
            <w:tcW w:w="697" w:type="pct"/>
            <w:shd w:val="clear" w:color="auto" w:fill="auto"/>
            <w:hideMark/>
          </w:tcPr>
          <w:p w14:paraId="2F73D4E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210,8</w:t>
            </w:r>
          </w:p>
        </w:tc>
        <w:tc>
          <w:tcPr>
            <w:tcW w:w="900" w:type="pct"/>
            <w:shd w:val="clear" w:color="auto" w:fill="auto"/>
            <w:hideMark/>
          </w:tcPr>
          <w:p w14:paraId="09BA7AD5"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242,1</w:t>
            </w:r>
          </w:p>
        </w:tc>
        <w:tc>
          <w:tcPr>
            <w:tcW w:w="1298" w:type="pct"/>
            <w:shd w:val="clear" w:color="auto" w:fill="auto"/>
            <w:hideMark/>
          </w:tcPr>
          <w:p w14:paraId="5206EE9B"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14,8</w:t>
            </w:r>
          </w:p>
        </w:tc>
      </w:tr>
      <w:tr w:rsidR="00473C3B" w:rsidRPr="00671E8F" w14:paraId="7D1DB317" w14:textId="77777777" w:rsidTr="00473C3B">
        <w:trPr>
          <w:trHeight w:val="242"/>
          <w:tblHeader/>
          <w:jc w:val="right"/>
        </w:trPr>
        <w:tc>
          <w:tcPr>
            <w:tcW w:w="2105" w:type="pct"/>
            <w:shd w:val="clear" w:color="auto" w:fill="auto"/>
            <w:noWrap/>
            <w:vAlign w:val="center"/>
            <w:hideMark/>
          </w:tcPr>
          <w:p w14:paraId="6B3DEF1A"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Донације</w:t>
            </w:r>
          </w:p>
        </w:tc>
        <w:tc>
          <w:tcPr>
            <w:tcW w:w="697" w:type="pct"/>
            <w:shd w:val="clear" w:color="auto" w:fill="auto"/>
            <w:hideMark/>
          </w:tcPr>
          <w:p w14:paraId="420AA1D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28,4</w:t>
            </w:r>
          </w:p>
        </w:tc>
        <w:tc>
          <w:tcPr>
            <w:tcW w:w="900" w:type="pct"/>
            <w:shd w:val="clear" w:color="auto" w:fill="auto"/>
            <w:hideMark/>
          </w:tcPr>
          <w:p w14:paraId="2CF0B15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11,6</w:t>
            </w:r>
          </w:p>
        </w:tc>
        <w:tc>
          <w:tcPr>
            <w:tcW w:w="1298" w:type="pct"/>
            <w:shd w:val="clear" w:color="auto" w:fill="auto"/>
            <w:hideMark/>
          </w:tcPr>
          <w:p w14:paraId="28D1365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-59,1</w:t>
            </w:r>
          </w:p>
        </w:tc>
      </w:tr>
      <w:tr w:rsidR="00473C3B" w:rsidRPr="00671E8F" w14:paraId="19502919" w14:textId="77777777" w:rsidTr="00473C3B">
        <w:trPr>
          <w:trHeight w:val="242"/>
          <w:tblHeader/>
          <w:jc w:val="right"/>
        </w:trPr>
        <w:tc>
          <w:tcPr>
            <w:tcW w:w="2105" w:type="pct"/>
            <w:shd w:val="clear" w:color="auto" w:fill="E7E6E6" w:themeFill="background2"/>
            <w:noWrap/>
            <w:vAlign w:val="center"/>
            <w:hideMark/>
          </w:tcPr>
          <w:p w14:paraId="776C683F"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ЈАВНИ РАСХОДИ</w:t>
            </w:r>
          </w:p>
        </w:tc>
        <w:tc>
          <w:tcPr>
            <w:tcW w:w="697" w:type="pct"/>
            <w:shd w:val="clear" w:color="auto" w:fill="E7E6E6" w:themeFill="background2"/>
            <w:hideMark/>
          </w:tcPr>
          <w:p w14:paraId="14E8328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2.181,4</w:t>
            </w:r>
          </w:p>
        </w:tc>
        <w:tc>
          <w:tcPr>
            <w:tcW w:w="900" w:type="pct"/>
            <w:shd w:val="clear" w:color="auto" w:fill="E7E6E6" w:themeFill="background2"/>
            <w:noWrap/>
            <w:hideMark/>
          </w:tcPr>
          <w:p w14:paraId="2AE6047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2.539,2</w:t>
            </w:r>
          </w:p>
        </w:tc>
        <w:tc>
          <w:tcPr>
            <w:tcW w:w="1298" w:type="pct"/>
            <w:shd w:val="clear" w:color="auto" w:fill="E7E6E6" w:themeFill="background2"/>
            <w:hideMark/>
          </w:tcPr>
          <w:p w14:paraId="5546D46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16,4</w:t>
            </w:r>
          </w:p>
        </w:tc>
      </w:tr>
      <w:tr w:rsidR="00473C3B" w:rsidRPr="00671E8F" w14:paraId="1161C29B" w14:textId="77777777" w:rsidTr="00473C3B">
        <w:trPr>
          <w:trHeight w:val="242"/>
          <w:tblHeader/>
          <w:jc w:val="right"/>
        </w:trPr>
        <w:tc>
          <w:tcPr>
            <w:tcW w:w="2105" w:type="pct"/>
            <w:shd w:val="clear" w:color="auto" w:fill="auto"/>
            <w:noWrap/>
            <w:vAlign w:val="center"/>
            <w:hideMark/>
          </w:tcPr>
          <w:p w14:paraId="3345733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Текући расходи</w:t>
            </w:r>
          </w:p>
        </w:tc>
        <w:tc>
          <w:tcPr>
            <w:tcW w:w="697" w:type="pct"/>
            <w:shd w:val="clear" w:color="auto" w:fill="auto"/>
            <w:hideMark/>
          </w:tcPr>
          <w:p w14:paraId="0A618AE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1.846,8</w:t>
            </w:r>
          </w:p>
        </w:tc>
        <w:tc>
          <w:tcPr>
            <w:tcW w:w="900" w:type="pct"/>
            <w:shd w:val="clear" w:color="auto" w:fill="auto"/>
            <w:noWrap/>
            <w:hideMark/>
          </w:tcPr>
          <w:p w14:paraId="5B1A80C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2.180,8</w:t>
            </w:r>
          </w:p>
        </w:tc>
        <w:tc>
          <w:tcPr>
            <w:tcW w:w="1298" w:type="pct"/>
            <w:shd w:val="clear" w:color="auto" w:fill="auto"/>
            <w:hideMark/>
          </w:tcPr>
          <w:p w14:paraId="22CC443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18,1</w:t>
            </w:r>
          </w:p>
        </w:tc>
      </w:tr>
      <w:tr w:rsidR="00473C3B" w:rsidRPr="00671E8F" w14:paraId="34BA8CB5" w14:textId="77777777" w:rsidTr="00473C3B">
        <w:trPr>
          <w:trHeight w:val="242"/>
          <w:tblHeader/>
          <w:jc w:val="right"/>
        </w:trPr>
        <w:tc>
          <w:tcPr>
            <w:tcW w:w="2105" w:type="pct"/>
            <w:shd w:val="clear" w:color="auto" w:fill="auto"/>
            <w:noWrap/>
            <w:vAlign w:val="center"/>
            <w:hideMark/>
          </w:tcPr>
          <w:p w14:paraId="6E7378DE"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Расходи за запослене</w:t>
            </w:r>
          </w:p>
        </w:tc>
        <w:tc>
          <w:tcPr>
            <w:tcW w:w="697" w:type="pct"/>
            <w:shd w:val="clear" w:color="auto" w:fill="auto"/>
            <w:hideMark/>
          </w:tcPr>
          <w:p w14:paraId="5EF0BE3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505,3</w:t>
            </w:r>
          </w:p>
        </w:tc>
        <w:tc>
          <w:tcPr>
            <w:tcW w:w="900" w:type="pct"/>
            <w:shd w:val="clear" w:color="auto" w:fill="auto"/>
            <w:hideMark/>
          </w:tcPr>
          <w:p w14:paraId="54BDBDE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594,3</w:t>
            </w:r>
          </w:p>
        </w:tc>
        <w:tc>
          <w:tcPr>
            <w:tcW w:w="1298" w:type="pct"/>
            <w:shd w:val="clear" w:color="auto" w:fill="auto"/>
            <w:hideMark/>
          </w:tcPr>
          <w:p w14:paraId="0E2B7880"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17,6</w:t>
            </w:r>
          </w:p>
        </w:tc>
      </w:tr>
      <w:tr w:rsidR="00473C3B" w:rsidRPr="00671E8F" w14:paraId="23A519D3" w14:textId="77777777" w:rsidTr="00473C3B">
        <w:trPr>
          <w:trHeight w:val="242"/>
          <w:tblHeader/>
          <w:jc w:val="right"/>
        </w:trPr>
        <w:tc>
          <w:tcPr>
            <w:tcW w:w="2105" w:type="pct"/>
            <w:shd w:val="clear" w:color="auto" w:fill="auto"/>
            <w:noWrap/>
            <w:vAlign w:val="center"/>
            <w:hideMark/>
          </w:tcPr>
          <w:p w14:paraId="73B4DD28"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Куповина робе и услуга</w:t>
            </w:r>
          </w:p>
        </w:tc>
        <w:tc>
          <w:tcPr>
            <w:tcW w:w="697" w:type="pct"/>
            <w:shd w:val="clear" w:color="auto" w:fill="auto"/>
            <w:hideMark/>
          </w:tcPr>
          <w:p w14:paraId="7C954CD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361,7</w:t>
            </w:r>
          </w:p>
        </w:tc>
        <w:tc>
          <w:tcPr>
            <w:tcW w:w="900" w:type="pct"/>
            <w:shd w:val="clear" w:color="auto" w:fill="auto"/>
            <w:hideMark/>
          </w:tcPr>
          <w:p w14:paraId="06B1404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411,1</w:t>
            </w:r>
          </w:p>
        </w:tc>
        <w:tc>
          <w:tcPr>
            <w:tcW w:w="1298" w:type="pct"/>
            <w:shd w:val="clear" w:color="auto" w:fill="auto"/>
            <w:hideMark/>
          </w:tcPr>
          <w:p w14:paraId="58FAABF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13,7</w:t>
            </w:r>
          </w:p>
        </w:tc>
      </w:tr>
      <w:tr w:rsidR="00473C3B" w:rsidRPr="00671E8F" w14:paraId="2FA0F8FD" w14:textId="77777777" w:rsidTr="00473C3B">
        <w:trPr>
          <w:trHeight w:val="242"/>
          <w:tblHeader/>
          <w:jc w:val="right"/>
        </w:trPr>
        <w:tc>
          <w:tcPr>
            <w:tcW w:w="2105" w:type="pct"/>
            <w:shd w:val="clear" w:color="auto" w:fill="auto"/>
            <w:noWrap/>
            <w:vAlign w:val="center"/>
            <w:hideMark/>
          </w:tcPr>
          <w:p w14:paraId="0FDC725F"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Отплата камата</w:t>
            </w:r>
          </w:p>
        </w:tc>
        <w:tc>
          <w:tcPr>
            <w:tcW w:w="697" w:type="pct"/>
            <w:shd w:val="clear" w:color="auto" w:fill="auto"/>
            <w:hideMark/>
          </w:tcPr>
          <w:p w14:paraId="171C5B44"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109,6</w:t>
            </w:r>
          </w:p>
        </w:tc>
        <w:tc>
          <w:tcPr>
            <w:tcW w:w="900" w:type="pct"/>
            <w:shd w:val="clear" w:color="auto" w:fill="auto"/>
            <w:hideMark/>
          </w:tcPr>
          <w:p w14:paraId="35E5EE6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121,6</w:t>
            </w:r>
          </w:p>
        </w:tc>
        <w:tc>
          <w:tcPr>
            <w:tcW w:w="1298" w:type="pct"/>
            <w:shd w:val="clear" w:color="auto" w:fill="auto"/>
            <w:hideMark/>
          </w:tcPr>
          <w:p w14:paraId="50F705A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10,9</w:t>
            </w:r>
          </w:p>
        </w:tc>
      </w:tr>
      <w:tr w:rsidR="00473C3B" w:rsidRPr="00671E8F" w14:paraId="6CED172C" w14:textId="77777777" w:rsidTr="00473C3B">
        <w:trPr>
          <w:trHeight w:val="242"/>
          <w:tblHeader/>
          <w:jc w:val="right"/>
        </w:trPr>
        <w:tc>
          <w:tcPr>
            <w:tcW w:w="2105" w:type="pct"/>
            <w:shd w:val="clear" w:color="auto" w:fill="auto"/>
            <w:noWrap/>
            <w:vAlign w:val="center"/>
            <w:hideMark/>
          </w:tcPr>
          <w:p w14:paraId="4D7CDE85"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Субвенције</w:t>
            </w:r>
          </w:p>
        </w:tc>
        <w:tc>
          <w:tcPr>
            <w:tcW w:w="697" w:type="pct"/>
            <w:shd w:val="clear" w:color="auto" w:fill="auto"/>
            <w:hideMark/>
          </w:tcPr>
          <w:p w14:paraId="4A7181A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105,2</w:t>
            </w:r>
          </w:p>
        </w:tc>
        <w:tc>
          <w:tcPr>
            <w:tcW w:w="900" w:type="pct"/>
            <w:shd w:val="clear" w:color="auto" w:fill="auto"/>
            <w:hideMark/>
          </w:tcPr>
          <w:p w14:paraId="7F872493"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144,0</w:t>
            </w:r>
          </w:p>
        </w:tc>
        <w:tc>
          <w:tcPr>
            <w:tcW w:w="1298" w:type="pct"/>
            <w:shd w:val="clear" w:color="auto" w:fill="auto"/>
            <w:hideMark/>
          </w:tcPr>
          <w:p w14:paraId="7E931DD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36,9</w:t>
            </w:r>
          </w:p>
        </w:tc>
      </w:tr>
      <w:tr w:rsidR="00473C3B" w:rsidRPr="00671E8F" w14:paraId="28E7997F" w14:textId="77777777" w:rsidTr="00473C3B">
        <w:trPr>
          <w:trHeight w:val="242"/>
          <w:tblHeader/>
          <w:jc w:val="right"/>
        </w:trPr>
        <w:tc>
          <w:tcPr>
            <w:tcW w:w="2105" w:type="pct"/>
            <w:shd w:val="clear" w:color="auto" w:fill="auto"/>
            <w:noWrap/>
            <w:vAlign w:val="center"/>
            <w:hideMark/>
          </w:tcPr>
          <w:p w14:paraId="5E9EF13D"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Социјална помоћ и трансфери</w:t>
            </w:r>
          </w:p>
        </w:tc>
        <w:tc>
          <w:tcPr>
            <w:tcW w:w="697" w:type="pct"/>
            <w:shd w:val="clear" w:color="auto" w:fill="auto"/>
            <w:hideMark/>
          </w:tcPr>
          <w:p w14:paraId="12998D8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694,6</w:t>
            </w:r>
          </w:p>
        </w:tc>
        <w:tc>
          <w:tcPr>
            <w:tcW w:w="900" w:type="pct"/>
            <w:shd w:val="clear" w:color="auto" w:fill="auto"/>
            <w:hideMark/>
          </w:tcPr>
          <w:p w14:paraId="27D80C4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827,9</w:t>
            </w:r>
          </w:p>
        </w:tc>
        <w:tc>
          <w:tcPr>
            <w:tcW w:w="1298" w:type="pct"/>
            <w:shd w:val="clear" w:color="auto" w:fill="auto"/>
            <w:hideMark/>
          </w:tcPr>
          <w:p w14:paraId="265BC029"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19,2</w:t>
            </w:r>
          </w:p>
        </w:tc>
      </w:tr>
      <w:tr w:rsidR="00473C3B" w:rsidRPr="00671E8F" w14:paraId="3D3C946C" w14:textId="77777777" w:rsidTr="00473C3B">
        <w:trPr>
          <w:trHeight w:val="242"/>
          <w:tblHeader/>
          <w:jc w:val="right"/>
        </w:trPr>
        <w:tc>
          <w:tcPr>
            <w:tcW w:w="2105" w:type="pct"/>
            <w:shd w:val="clear" w:color="auto" w:fill="auto"/>
            <w:noWrap/>
            <w:vAlign w:val="center"/>
            <w:hideMark/>
          </w:tcPr>
          <w:p w14:paraId="57F8643E"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од чега пензије</w:t>
            </w:r>
          </w:p>
        </w:tc>
        <w:tc>
          <w:tcPr>
            <w:tcW w:w="697" w:type="pct"/>
            <w:shd w:val="clear" w:color="auto" w:fill="auto"/>
            <w:hideMark/>
          </w:tcPr>
          <w:p w14:paraId="6F2A86D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509,4</w:t>
            </w:r>
          </w:p>
        </w:tc>
        <w:tc>
          <w:tcPr>
            <w:tcW w:w="900" w:type="pct"/>
            <w:shd w:val="clear" w:color="auto" w:fill="auto"/>
            <w:hideMark/>
          </w:tcPr>
          <w:p w14:paraId="4D83207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616,6</w:t>
            </w:r>
          </w:p>
        </w:tc>
        <w:tc>
          <w:tcPr>
            <w:tcW w:w="1298" w:type="pct"/>
            <w:shd w:val="clear" w:color="auto" w:fill="auto"/>
            <w:hideMark/>
          </w:tcPr>
          <w:p w14:paraId="3A828BD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21,0</w:t>
            </w:r>
          </w:p>
        </w:tc>
      </w:tr>
      <w:tr w:rsidR="00473C3B" w:rsidRPr="00671E8F" w14:paraId="21C4CDFF" w14:textId="77777777" w:rsidTr="00473C3B">
        <w:trPr>
          <w:trHeight w:val="242"/>
          <w:tblHeader/>
          <w:jc w:val="right"/>
        </w:trPr>
        <w:tc>
          <w:tcPr>
            <w:tcW w:w="2105" w:type="pct"/>
            <w:shd w:val="clear" w:color="auto" w:fill="auto"/>
            <w:noWrap/>
            <w:vAlign w:val="center"/>
            <w:hideMark/>
          </w:tcPr>
          <w:p w14:paraId="5816C5BB"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Остали текући расходи</w:t>
            </w:r>
          </w:p>
        </w:tc>
        <w:tc>
          <w:tcPr>
            <w:tcW w:w="697" w:type="pct"/>
            <w:shd w:val="clear" w:color="auto" w:fill="auto"/>
            <w:hideMark/>
          </w:tcPr>
          <w:p w14:paraId="7CAC703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70,4</w:t>
            </w:r>
          </w:p>
        </w:tc>
        <w:tc>
          <w:tcPr>
            <w:tcW w:w="900" w:type="pct"/>
            <w:shd w:val="clear" w:color="auto" w:fill="auto"/>
            <w:hideMark/>
          </w:tcPr>
          <w:p w14:paraId="7E5B0E81"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82,0</w:t>
            </w:r>
          </w:p>
        </w:tc>
        <w:tc>
          <w:tcPr>
            <w:tcW w:w="1298" w:type="pct"/>
            <w:shd w:val="clear" w:color="auto" w:fill="auto"/>
            <w:hideMark/>
          </w:tcPr>
          <w:p w14:paraId="0648612E"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16,4</w:t>
            </w:r>
          </w:p>
        </w:tc>
      </w:tr>
      <w:tr w:rsidR="00473C3B" w:rsidRPr="00671E8F" w14:paraId="1D6B7B80" w14:textId="77777777" w:rsidTr="00473C3B">
        <w:trPr>
          <w:trHeight w:val="242"/>
          <w:tblHeader/>
          <w:jc w:val="right"/>
        </w:trPr>
        <w:tc>
          <w:tcPr>
            <w:tcW w:w="2105" w:type="pct"/>
            <w:shd w:val="clear" w:color="auto" w:fill="auto"/>
            <w:noWrap/>
            <w:vAlign w:val="center"/>
            <w:hideMark/>
          </w:tcPr>
          <w:p w14:paraId="161F7087"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Капитални расходи</w:t>
            </w:r>
          </w:p>
        </w:tc>
        <w:tc>
          <w:tcPr>
            <w:tcW w:w="697" w:type="pct"/>
            <w:shd w:val="clear" w:color="auto" w:fill="auto"/>
            <w:hideMark/>
          </w:tcPr>
          <w:p w14:paraId="4F2CAA0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272,3</w:t>
            </w:r>
          </w:p>
        </w:tc>
        <w:tc>
          <w:tcPr>
            <w:tcW w:w="900" w:type="pct"/>
            <w:shd w:val="clear" w:color="auto" w:fill="auto"/>
            <w:hideMark/>
          </w:tcPr>
          <w:p w14:paraId="7F84D21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331,1</w:t>
            </w:r>
          </w:p>
        </w:tc>
        <w:tc>
          <w:tcPr>
            <w:tcW w:w="1298" w:type="pct"/>
            <w:shd w:val="clear" w:color="auto" w:fill="auto"/>
            <w:hideMark/>
          </w:tcPr>
          <w:p w14:paraId="257BE77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21,6</w:t>
            </w:r>
          </w:p>
        </w:tc>
      </w:tr>
      <w:tr w:rsidR="00473C3B" w:rsidRPr="00671E8F" w14:paraId="06602DD8" w14:textId="77777777" w:rsidTr="00473C3B">
        <w:trPr>
          <w:trHeight w:val="242"/>
          <w:tblHeader/>
          <w:jc w:val="right"/>
        </w:trPr>
        <w:tc>
          <w:tcPr>
            <w:tcW w:w="2105" w:type="pct"/>
            <w:shd w:val="clear" w:color="auto" w:fill="auto"/>
            <w:noWrap/>
            <w:vAlign w:val="center"/>
            <w:hideMark/>
          </w:tcPr>
          <w:p w14:paraId="3F6DAAFA"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Нето буџетске позајмице</w:t>
            </w:r>
          </w:p>
        </w:tc>
        <w:tc>
          <w:tcPr>
            <w:tcW w:w="697" w:type="pct"/>
            <w:shd w:val="clear" w:color="auto" w:fill="auto"/>
            <w:hideMark/>
          </w:tcPr>
          <w:p w14:paraId="6D450B9D"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49,4</w:t>
            </w:r>
          </w:p>
        </w:tc>
        <w:tc>
          <w:tcPr>
            <w:tcW w:w="900" w:type="pct"/>
            <w:shd w:val="clear" w:color="auto" w:fill="auto"/>
            <w:hideMark/>
          </w:tcPr>
          <w:p w14:paraId="0CDB7B3A"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9,7</w:t>
            </w:r>
          </w:p>
        </w:tc>
        <w:tc>
          <w:tcPr>
            <w:tcW w:w="1298" w:type="pct"/>
            <w:shd w:val="clear" w:color="auto" w:fill="auto"/>
            <w:hideMark/>
          </w:tcPr>
          <w:p w14:paraId="5B1316D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-80,5</w:t>
            </w:r>
          </w:p>
        </w:tc>
      </w:tr>
      <w:tr w:rsidR="00473C3B" w:rsidRPr="00671E8F" w14:paraId="6FDEB7B6" w14:textId="77777777" w:rsidTr="00473C3B">
        <w:trPr>
          <w:trHeight w:val="242"/>
          <w:tblHeader/>
          <w:jc w:val="right"/>
        </w:trPr>
        <w:tc>
          <w:tcPr>
            <w:tcW w:w="2105" w:type="pct"/>
            <w:shd w:val="clear" w:color="auto" w:fill="auto"/>
            <w:noWrap/>
            <w:vAlign w:val="center"/>
            <w:hideMark/>
          </w:tcPr>
          <w:p w14:paraId="32CB74FC" w14:textId="77777777" w:rsidR="00473C3B" w:rsidRPr="00671E8F" w:rsidRDefault="00473C3B" w:rsidP="00473C3B">
            <w:pPr>
              <w:spacing w:after="0" w:line="240" w:lineRule="auto"/>
              <w:jc w:val="left"/>
              <w:rPr>
                <w:rFonts w:eastAsia="MS PGothic" w:cstheme="minorHAnsi"/>
                <w:color w:val="002060"/>
                <w:sz w:val="16"/>
                <w:szCs w:val="16"/>
                <w:lang w:eastAsia="ja-JP"/>
              </w:rPr>
            </w:pPr>
            <w:r w:rsidRPr="00671E8F">
              <w:rPr>
                <w:rFonts w:eastAsia="MS PGothic" w:cstheme="minorHAnsi"/>
                <w:color w:val="002060"/>
                <w:sz w:val="16"/>
                <w:szCs w:val="16"/>
                <w:lang w:eastAsia="ja-JP"/>
              </w:rPr>
              <w:t>Активиране гаранције</w:t>
            </w:r>
          </w:p>
        </w:tc>
        <w:tc>
          <w:tcPr>
            <w:tcW w:w="697" w:type="pct"/>
            <w:shd w:val="clear" w:color="auto" w:fill="auto"/>
            <w:hideMark/>
          </w:tcPr>
          <w:p w14:paraId="4253C642"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12,9</w:t>
            </w:r>
          </w:p>
        </w:tc>
        <w:tc>
          <w:tcPr>
            <w:tcW w:w="900" w:type="pct"/>
            <w:shd w:val="clear" w:color="auto" w:fill="auto"/>
            <w:hideMark/>
          </w:tcPr>
          <w:p w14:paraId="22E99C3C"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17,7</w:t>
            </w:r>
          </w:p>
        </w:tc>
        <w:tc>
          <w:tcPr>
            <w:tcW w:w="1298" w:type="pct"/>
            <w:shd w:val="clear" w:color="auto" w:fill="auto"/>
            <w:hideMark/>
          </w:tcPr>
          <w:p w14:paraId="771B5D7F"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37,5</w:t>
            </w:r>
          </w:p>
        </w:tc>
      </w:tr>
      <w:tr w:rsidR="00473C3B" w:rsidRPr="00671E8F" w14:paraId="41D16C1E" w14:textId="77777777" w:rsidTr="00473C3B">
        <w:trPr>
          <w:trHeight w:val="242"/>
          <w:tblHeader/>
          <w:jc w:val="right"/>
        </w:trPr>
        <w:tc>
          <w:tcPr>
            <w:tcW w:w="2105" w:type="pct"/>
            <w:tcBorders>
              <w:bottom w:val="single" w:sz="4" w:space="0" w:color="002060"/>
            </w:tcBorders>
            <w:shd w:val="clear" w:color="auto" w:fill="E7E6E6" w:themeFill="background2"/>
            <w:noWrap/>
            <w:vAlign w:val="center"/>
            <w:hideMark/>
          </w:tcPr>
          <w:p w14:paraId="4E3AB495" w14:textId="77777777" w:rsidR="00473C3B" w:rsidRPr="00671E8F" w:rsidRDefault="00473C3B" w:rsidP="00473C3B">
            <w:pPr>
              <w:spacing w:after="0" w:line="240" w:lineRule="auto"/>
              <w:jc w:val="left"/>
              <w:rPr>
                <w:rFonts w:cstheme="minorHAnsi"/>
                <w:color w:val="002060"/>
                <w:sz w:val="16"/>
                <w:szCs w:val="16"/>
              </w:rPr>
            </w:pPr>
            <w:r w:rsidRPr="00671E8F">
              <w:rPr>
                <w:rFonts w:eastAsia="MS PGothic" w:cstheme="minorHAnsi"/>
                <w:color w:val="002060"/>
                <w:sz w:val="16"/>
                <w:szCs w:val="16"/>
                <w:lang w:eastAsia="ja-JP"/>
              </w:rPr>
              <w:t>Фискални резултат</w:t>
            </w:r>
          </w:p>
        </w:tc>
        <w:tc>
          <w:tcPr>
            <w:tcW w:w="697" w:type="pct"/>
            <w:tcBorders>
              <w:bottom w:val="single" w:sz="4" w:space="0" w:color="002060"/>
            </w:tcBorders>
            <w:shd w:val="clear" w:color="auto" w:fill="E7E6E6" w:themeFill="background2"/>
            <w:hideMark/>
          </w:tcPr>
          <w:p w14:paraId="3D2E8E86"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60,9</w:t>
            </w:r>
          </w:p>
        </w:tc>
        <w:tc>
          <w:tcPr>
            <w:tcW w:w="900" w:type="pct"/>
            <w:tcBorders>
              <w:bottom w:val="single" w:sz="4" w:space="0" w:color="002060"/>
            </w:tcBorders>
            <w:shd w:val="clear" w:color="auto" w:fill="E7E6E6" w:themeFill="background2"/>
            <w:hideMark/>
          </w:tcPr>
          <w:p w14:paraId="3E1E6EB7" w14:textId="77777777" w:rsidR="00473C3B" w:rsidRPr="00671E8F" w:rsidRDefault="00473C3B" w:rsidP="00473C3B">
            <w:pPr>
              <w:spacing w:after="0" w:line="240" w:lineRule="auto"/>
              <w:jc w:val="right"/>
              <w:rPr>
                <w:rFonts w:eastAsia="MS PGothic" w:cstheme="minorHAnsi"/>
                <w:color w:val="002060"/>
                <w:sz w:val="16"/>
                <w:szCs w:val="16"/>
                <w:lang w:eastAsia="ja-JP"/>
              </w:rPr>
            </w:pPr>
            <w:r w:rsidRPr="00671E8F">
              <w:rPr>
                <w:rFonts w:eastAsia="MS PGothic" w:cstheme="minorHAnsi"/>
                <w:color w:val="002060"/>
                <w:sz w:val="16"/>
                <w:szCs w:val="16"/>
                <w:lang w:eastAsia="ja-JP"/>
              </w:rPr>
              <w:t>26,4</w:t>
            </w:r>
          </w:p>
        </w:tc>
        <w:tc>
          <w:tcPr>
            <w:tcW w:w="1298" w:type="pct"/>
            <w:tcBorders>
              <w:bottom w:val="single" w:sz="4" w:space="0" w:color="002060"/>
            </w:tcBorders>
            <w:shd w:val="clear" w:color="auto" w:fill="E7E6E6" w:themeFill="background2"/>
            <w:hideMark/>
          </w:tcPr>
          <w:p w14:paraId="308A39A0" w14:textId="77777777" w:rsidR="00473C3B" w:rsidRPr="00671E8F" w:rsidRDefault="00473C3B" w:rsidP="00473C3B">
            <w:pPr>
              <w:spacing w:after="0" w:line="240" w:lineRule="auto"/>
              <w:jc w:val="right"/>
              <w:rPr>
                <w:rFonts w:eastAsia="MS PGothic" w:cstheme="minorHAnsi"/>
                <w:color w:val="002060"/>
                <w:sz w:val="16"/>
                <w:szCs w:val="16"/>
                <w:lang w:eastAsia="ja-JP"/>
              </w:rPr>
            </w:pPr>
          </w:p>
        </w:tc>
      </w:tr>
    </w:tbl>
    <w:p w14:paraId="1A2D8F32" w14:textId="77777777" w:rsidR="00473C3B" w:rsidRPr="00671E8F" w:rsidRDefault="00473C3B" w:rsidP="00473C3B">
      <w:pPr>
        <w:tabs>
          <w:tab w:val="left" w:pos="623"/>
        </w:tabs>
        <w:spacing w:after="0" w:line="240" w:lineRule="auto"/>
        <w:rPr>
          <w:rFonts w:cstheme="minorHAnsi"/>
          <w:sz w:val="16"/>
          <w:szCs w:val="16"/>
        </w:rPr>
      </w:pPr>
      <w:r w:rsidRPr="00671E8F">
        <w:rPr>
          <w:rFonts w:eastAsia="Calibri" w:cstheme="minorHAnsi"/>
          <w:bCs/>
          <w:sz w:val="16"/>
          <w:szCs w:val="16"/>
          <w:lang w:eastAsia="ja-JP"/>
        </w:rPr>
        <w:t xml:space="preserve">Извор: </w:t>
      </w:r>
      <w:r w:rsidRPr="00671E8F">
        <w:rPr>
          <w:rFonts w:cstheme="minorHAnsi"/>
          <w:sz w:val="16"/>
          <w:szCs w:val="16"/>
        </w:rPr>
        <w:t>Министарство финансија</w:t>
      </w:r>
    </w:p>
    <w:p w14:paraId="60DB31E7" w14:textId="77777777" w:rsidR="00473C3B" w:rsidRPr="00671E8F" w:rsidRDefault="00473C3B" w:rsidP="00473C3B">
      <w:pPr>
        <w:tabs>
          <w:tab w:val="left" w:pos="623"/>
        </w:tabs>
        <w:spacing w:after="0" w:line="240" w:lineRule="auto"/>
        <w:rPr>
          <w:rFonts w:cstheme="minorHAnsi"/>
          <w:sz w:val="16"/>
          <w:szCs w:val="16"/>
        </w:rPr>
      </w:pPr>
      <w:r w:rsidRPr="00671E8F">
        <w:rPr>
          <w:rFonts w:cstheme="minorHAnsi"/>
          <w:sz w:val="16"/>
          <w:szCs w:val="16"/>
        </w:rPr>
        <w:t>* Подаци 2024. године сада обухватају сопствене приходе ванбуџетских корисника (агенције и институти).</w:t>
      </w:r>
    </w:p>
    <w:p w14:paraId="5416425C" w14:textId="77777777" w:rsidR="00473C3B" w:rsidRPr="00671E8F" w:rsidRDefault="00473C3B" w:rsidP="00473C3B">
      <w:pPr>
        <w:tabs>
          <w:tab w:val="left" w:pos="623"/>
        </w:tabs>
        <w:spacing w:after="120" w:line="240" w:lineRule="auto"/>
        <w:rPr>
          <w:rFonts w:cstheme="minorHAnsi"/>
          <w:sz w:val="16"/>
          <w:szCs w:val="16"/>
        </w:rPr>
      </w:pPr>
    </w:p>
    <w:p w14:paraId="74FC9C49" w14:textId="77777777" w:rsidR="00473C3B" w:rsidRPr="00671E8F" w:rsidRDefault="00473C3B" w:rsidP="00473C3B">
      <w:pPr>
        <w:spacing w:after="120"/>
        <w:rPr>
          <w:rFonts w:eastAsia="MS PGothic" w:cstheme="minorHAnsi"/>
          <w:szCs w:val="20"/>
          <w:lang w:eastAsia="ja-JP"/>
        </w:rPr>
        <w:sectPr w:rsidR="00473C3B" w:rsidRPr="00671E8F" w:rsidSect="00473C3B">
          <w:type w:val="continuous"/>
          <w:pgSz w:w="12240" w:h="15840" w:code="1"/>
          <w:pgMar w:top="1440" w:right="1440" w:bottom="1440" w:left="1440" w:header="720" w:footer="720" w:gutter="0"/>
          <w:cols w:space="720"/>
          <w:docGrid w:linePitch="360"/>
        </w:sectPr>
      </w:pPr>
    </w:p>
    <w:p w14:paraId="1A0486B2" w14:textId="6FA767E8"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Стање доцњи (преко 60 дана кашњења)* буџетских корисника и ООСО последњег дана </w:t>
      </w:r>
      <w:r w:rsidRPr="00671E8F">
        <w:t xml:space="preserve">септембра </w:t>
      </w:r>
      <w:r w:rsidRPr="00671E8F">
        <w:rPr>
          <w:rFonts w:eastAsia="MS PGothic" w:cstheme="minorHAnsi"/>
          <w:szCs w:val="20"/>
          <w:lang w:eastAsia="ja-JP"/>
        </w:rPr>
        <w:t xml:space="preserve">2024. године износило је 5,7 млрд </w:t>
      </w:r>
      <w:r w:rsidRPr="00671E8F">
        <w:rPr>
          <w:rFonts w:eastAsia="MS PGothic" w:cstheme="minorHAnsi"/>
          <w:szCs w:val="20"/>
          <w:lang w:eastAsia="ja-JP"/>
        </w:rPr>
        <w:t>динара.</w:t>
      </w:r>
      <w:r w:rsidR="004967AC" w:rsidRPr="00671E8F">
        <w:rPr>
          <w:rFonts w:eastAsia="MS PGothic" w:cstheme="minorHAnsi"/>
          <w:szCs w:val="20"/>
          <w:lang w:eastAsia="ja-JP"/>
        </w:rPr>
        <w:t xml:space="preserve"> </w:t>
      </w:r>
      <w:r w:rsidRPr="00671E8F">
        <w:rPr>
          <w:rFonts w:eastAsia="MS PGothic" w:cstheme="minorHAnsi"/>
          <w:szCs w:val="20"/>
          <w:lang w:eastAsia="ja-JP"/>
        </w:rPr>
        <w:t>Корисници буџета и ЈП „Путеви Србије” креирали су доцње у плаћању од 4,5 млрд динара, док је стање доцњи ООСО</w:t>
      </w:r>
      <w:r w:rsidR="00517561" w:rsidRPr="00671E8F">
        <w:rPr>
          <w:rFonts w:eastAsia="MS PGothic" w:cstheme="minorHAnsi"/>
          <w:szCs w:val="20"/>
          <w:lang w:eastAsia="ja-JP"/>
        </w:rPr>
        <w:t xml:space="preserve"> </w:t>
      </w:r>
      <w:r w:rsidRPr="00671E8F">
        <w:rPr>
          <w:rFonts w:eastAsia="MS PGothic" w:cstheme="minorHAnsi"/>
          <w:szCs w:val="20"/>
          <w:lang w:eastAsia="ja-JP"/>
        </w:rPr>
        <w:t>1,2 млрд динара.</w:t>
      </w:r>
    </w:p>
    <w:bookmarkEnd w:id="54"/>
    <w:bookmarkEnd w:id="55"/>
    <w:bookmarkEnd w:id="56"/>
    <w:bookmarkEnd w:id="57"/>
    <w:bookmarkEnd w:id="58"/>
    <w:p w14:paraId="3AB01CFA" w14:textId="77777777" w:rsidR="00473C3B" w:rsidRPr="00671E8F" w:rsidRDefault="00473C3B" w:rsidP="00473C3B">
      <w:pPr>
        <w:jc w:val="left"/>
        <w:rPr>
          <w:rFonts w:eastAsia="MS PGothic" w:cstheme="minorHAnsi"/>
          <w:b/>
          <w:color w:val="002060"/>
          <w:szCs w:val="20"/>
          <w:lang w:eastAsia="ja-JP"/>
        </w:rPr>
        <w:sectPr w:rsidR="00473C3B" w:rsidRPr="00671E8F" w:rsidSect="00473C3B">
          <w:type w:val="continuous"/>
          <w:pgSz w:w="12240" w:h="15840" w:code="1"/>
          <w:pgMar w:top="1440" w:right="1440" w:bottom="1440" w:left="1440" w:header="720" w:footer="720" w:gutter="0"/>
          <w:cols w:num="2" w:space="720"/>
          <w:docGrid w:linePitch="360"/>
        </w:sectPr>
      </w:pPr>
    </w:p>
    <w:p w14:paraId="11547326" w14:textId="6CD67B88" w:rsidR="00473C3B" w:rsidRPr="00671E8F" w:rsidRDefault="00473C3B" w:rsidP="00473C3B">
      <w:pPr>
        <w:spacing w:after="0" w:line="240" w:lineRule="auto"/>
        <w:jc w:val="center"/>
        <w:rPr>
          <w:rFonts w:eastAsia="MS PGothic" w:cstheme="minorHAnsi"/>
          <w:b/>
          <w:color w:val="002060"/>
          <w:szCs w:val="20"/>
          <w:lang w:eastAsia="ja-JP"/>
        </w:rPr>
      </w:pPr>
      <w:r w:rsidRPr="00671E8F">
        <w:rPr>
          <w:rFonts w:eastAsia="MS PGothic" w:cstheme="minorHAnsi"/>
          <w:b/>
          <w:color w:val="002060"/>
          <w:szCs w:val="20"/>
          <w:lang w:eastAsia="ja-JP"/>
        </w:rPr>
        <w:t>Табела 8. Стање доцњи буџетских корисника и</w:t>
      </w:r>
      <w:r w:rsidR="00FC5CD7" w:rsidRPr="00671E8F">
        <w:rPr>
          <w:rFonts w:eastAsia="MS PGothic" w:cstheme="minorHAnsi"/>
          <w:b/>
          <w:color w:val="002060"/>
          <w:szCs w:val="20"/>
          <w:lang w:eastAsia="ja-JP"/>
        </w:rPr>
        <w:t xml:space="preserve"> ООСО</w:t>
      </w:r>
    </w:p>
    <w:tbl>
      <w:tblPr>
        <w:tblStyle w:val="LightShading-Accent3355"/>
        <w:tblpPr w:leftFromText="180" w:rightFromText="180" w:vertAnchor="text" w:horzAnchor="margin" w:tblpY="56"/>
        <w:tblW w:w="4879" w:type="pct"/>
        <w:tblBorders>
          <w:top w:val="none" w:sz="0" w:space="0" w:color="auto"/>
          <w:bottom w:val="none" w:sz="0" w:space="0" w:color="auto"/>
        </w:tblBorders>
        <w:tblLook w:val="04A0" w:firstRow="1" w:lastRow="0" w:firstColumn="1" w:lastColumn="0" w:noHBand="0" w:noVBand="1"/>
      </w:tblPr>
      <w:tblGrid>
        <w:gridCol w:w="5451"/>
        <w:gridCol w:w="1841"/>
        <w:gridCol w:w="1841"/>
      </w:tblGrid>
      <w:tr w:rsidR="00473C3B" w:rsidRPr="00671E8F" w14:paraId="3C50FBA0" w14:textId="77777777" w:rsidTr="00473C3B">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left w:val="none" w:sz="0" w:space="0" w:color="auto"/>
              <w:bottom w:val="single" w:sz="4" w:space="0" w:color="002060"/>
              <w:right w:val="none" w:sz="0" w:space="0" w:color="auto"/>
            </w:tcBorders>
            <w:shd w:val="clear" w:color="auto" w:fill="auto"/>
            <w:noWrap/>
            <w:hideMark/>
          </w:tcPr>
          <w:p w14:paraId="6FD2217D" w14:textId="77777777" w:rsidR="00473C3B" w:rsidRPr="00671E8F" w:rsidRDefault="00473C3B" w:rsidP="00473C3B">
            <w:pPr>
              <w:jc w:val="right"/>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 </w:t>
            </w:r>
          </w:p>
        </w:tc>
        <w:tc>
          <w:tcPr>
            <w:tcW w:w="1008" w:type="pct"/>
            <w:tcBorders>
              <w:top w:val="single" w:sz="4" w:space="0" w:color="002060"/>
              <w:left w:val="none" w:sz="0" w:space="0" w:color="auto"/>
              <w:bottom w:val="single" w:sz="4" w:space="0" w:color="002060"/>
              <w:right w:val="none" w:sz="0" w:space="0" w:color="auto"/>
            </w:tcBorders>
            <w:shd w:val="clear" w:color="auto" w:fill="auto"/>
          </w:tcPr>
          <w:p w14:paraId="6B5BAA73"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31.12.2023.</w:t>
            </w:r>
          </w:p>
        </w:tc>
        <w:tc>
          <w:tcPr>
            <w:tcW w:w="1008" w:type="pct"/>
            <w:tcBorders>
              <w:top w:val="single" w:sz="4" w:space="0" w:color="002060"/>
              <w:left w:val="none" w:sz="0" w:space="0" w:color="auto"/>
              <w:bottom w:val="single" w:sz="4" w:space="0" w:color="002060"/>
              <w:right w:val="none" w:sz="0" w:space="0" w:color="auto"/>
            </w:tcBorders>
            <w:shd w:val="clear" w:color="auto" w:fill="auto"/>
          </w:tcPr>
          <w:p w14:paraId="36A6E94D"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30.9.2024.</w:t>
            </w:r>
          </w:p>
        </w:tc>
      </w:tr>
      <w:tr w:rsidR="00473C3B" w:rsidRPr="00671E8F" w14:paraId="6C741F91" w14:textId="77777777" w:rsidTr="00473C3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left w:val="none" w:sz="0" w:space="0" w:color="auto"/>
              <w:right w:val="none" w:sz="0" w:space="0" w:color="auto"/>
            </w:tcBorders>
            <w:shd w:val="clear" w:color="auto" w:fill="auto"/>
            <w:noWrap/>
            <w:hideMark/>
          </w:tcPr>
          <w:p w14:paraId="09D1FC00" w14:textId="77777777" w:rsidR="00473C3B" w:rsidRPr="00671E8F" w:rsidRDefault="00473C3B" w:rsidP="00473C3B">
            <w:pPr>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 xml:space="preserve">Буџетски корисници и ЈП „Путеви Србије” </w:t>
            </w:r>
          </w:p>
        </w:tc>
        <w:tc>
          <w:tcPr>
            <w:tcW w:w="1008" w:type="pct"/>
            <w:tcBorders>
              <w:top w:val="single" w:sz="4" w:space="0" w:color="002060"/>
              <w:left w:val="none" w:sz="0" w:space="0" w:color="auto"/>
              <w:right w:val="none" w:sz="0" w:space="0" w:color="auto"/>
            </w:tcBorders>
            <w:shd w:val="clear" w:color="auto" w:fill="auto"/>
          </w:tcPr>
          <w:p w14:paraId="57BD3B6E" w14:textId="77777777" w:rsidR="00473C3B" w:rsidRPr="00671E8F" w:rsidRDefault="00473C3B" w:rsidP="00473C3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2,3</w:t>
            </w:r>
          </w:p>
        </w:tc>
        <w:tc>
          <w:tcPr>
            <w:tcW w:w="1008" w:type="pct"/>
            <w:tcBorders>
              <w:top w:val="single" w:sz="4" w:space="0" w:color="002060"/>
              <w:left w:val="none" w:sz="0" w:space="0" w:color="auto"/>
              <w:right w:val="none" w:sz="0" w:space="0" w:color="auto"/>
            </w:tcBorders>
            <w:shd w:val="clear" w:color="auto" w:fill="auto"/>
          </w:tcPr>
          <w:p w14:paraId="119DC3FB" w14:textId="77777777" w:rsidR="00473C3B" w:rsidRPr="00671E8F" w:rsidRDefault="00473C3B" w:rsidP="00473C3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4,5</w:t>
            </w:r>
          </w:p>
        </w:tc>
      </w:tr>
      <w:tr w:rsidR="00473C3B" w:rsidRPr="00671E8F" w14:paraId="196FA69A" w14:textId="77777777" w:rsidTr="00473C3B">
        <w:trPr>
          <w:trHeight w:val="20"/>
        </w:trPr>
        <w:tc>
          <w:tcPr>
            <w:cnfStyle w:val="001000000000" w:firstRow="0" w:lastRow="0" w:firstColumn="1" w:lastColumn="0" w:oddVBand="0" w:evenVBand="0" w:oddHBand="0" w:evenHBand="0" w:firstRowFirstColumn="0" w:firstRowLastColumn="0" w:lastRowFirstColumn="0" w:lastRowLastColumn="0"/>
            <w:tcW w:w="2984" w:type="pct"/>
            <w:shd w:val="clear" w:color="auto" w:fill="auto"/>
            <w:noWrap/>
            <w:hideMark/>
          </w:tcPr>
          <w:p w14:paraId="3DEBDE09" w14:textId="77777777" w:rsidR="00473C3B" w:rsidRPr="00671E8F" w:rsidRDefault="00473C3B" w:rsidP="00473C3B">
            <w:pPr>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ООСО</w:t>
            </w:r>
          </w:p>
        </w:tc>
        <w:tc>
          <w:tcPr>
            <w:tcW w:w="1008" w:type="pct"/>
            <w:shd w:val="clear" w:color="auto" w:fill="auto"/>
          </w:tcPr>
          <w:p w14:paraId="1CB1C987" w14:textId="77777777" w:rsidR="00473C3B" w:rsidRPr="00671E8F" w:rsidRDefault="00473C3B" w:rsidP="00473C3B">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1,2</w:t>
            </w:r>
          </w:p>
        </w:tc>
        <w:tc>
          <w:tcPr>
            <w:tcW w:w="1008" w:type="pct"/>
            <w:shd w:val="clear" w:color="auto" w:fill="auto"/>
          </w:tcPr>
          <w:p w14:paraId="6B8CF3BE" w14:textId="77777777" w:rsidR="00473C3B" w:rsidRPr="00671E8F" w:rsidRDefault="00473C3B" w:rsidP="00473C3B">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1,2</w:t>
            </w:r>
          </w:p>
        </w:tc>
      </w:tr>
      <w:tr w:rsidR="00473C3B" w:rsidRPr="00671E8F" w14:paraId="17942C0F" w14:textId="77777777" w:rsidTr="00473C3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84" w:type="pct"/>
            <w:tcBorders>
              <w:left w:val="none" w:sz="0" w:space="0" w:color="auto"/>
              <w:bottom w:val="single" w:sz="4" w:space="0" w:color="002060"/>
              <w:right w:val="none" w:sz="0" w:space="0" w:color="auto"/>
            </w:tcBorders>
            <w:shd w:val="clear" w:color="auto" w:fill="auto"/>
            <w:noWrap/>
            <w:hideMark/>
          </w:tcPr>
          <w:p w14:paraId="6B572F0B" w14:textId="77777777" w:rsidR="00473C3B" w:rsidRPr="00671E8F" w:rsidRDefault="00473C3B" w:rsidP="00473C3B">
            <w:pPr>
              <w:rPr>
                <w:rFonts w:asciiTheme="minorHAnsi" w:hAnsiTheme="minorHAnsi" w:cstheme="minorHAnsi"/>
                <w:b w:val="0"/>
                <w:color w:val="002060"/>
                <w:sz w:val="16"/>
                <w:szCs w:val="16"/>
              </w:rPr>
            </w:pPr>
            <w:r w:rsidRPr="00671E8F">
              <w:rPr>
                <w:rFonts w:asciiTheme="minorHAnsi" w:hAnsiTheme="minorHAnsi" w:cstheme="minorHAnsi"/>
                <w:b w:val="0"/>
                <w:color w:val="002060"/>
                <w:sz w:val="16"/>
                <w:szCs w:val="16"/>
              </w:rPr>
              <w:t>УКУПНО</w:t>
            </w:r>
          </w:p>
        </w:tc>
        <w:tc>
          <w:tcPr>
            <w:tcW w:w="1008" w:type="pct"/>
            <w:tcBorders>
              <w:left w:val="none" w:sz="0" w:space="0" w:color="auto"/>
              <w:bottom w:val="single" w:sz="4" w:space="0" w:color="002060"/>
              <w:right w:val="none" w:sz="0" w:space="0" w:color="auto"/>
            </w:tcBorders>
            <w:shd w:val="clear" w:color="auto" w:fill="auto"/>
          </w:tcPr>
          <w:p w14:paraId="0AB4B5AE" w14:textId="77777777" w:rsidR="00473C3B" w:rsidRPr="00671E8F" w:rsidRDefault="00473C3B" w:rsidP="00473C3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3,5</w:t>
            </w:r>
          </w:p>
        </w:tc>
        <w:tc>
          <w:tcPr>
            <w:tcW w:w="1008" w:type="pct"/>
            <w:tcBorders>
              <w:left w:val="none" w:sz="0" w:space="0" w:color="auto"/>
              <w:bottom w:val="single" w:sz="4" w:space="0" w:color="002060"/>
              <w:right w:val="none" w:sz="0" w:space="0" w:color="auto"/>
            </w:tcBorders>
            <w:shd w:val="clear" w:color="auto" w:fill="auto"/>
          </w:tcPr>
          <w:p w14:paraId="51AA9147" w14:textId="77777777" w:rsidR="00473C3B" w:rsidRPr="00671E8F" w:rsidRDefault="00473C3B" w:rsidP="00473C3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6"/>
                <w:szCs w:val="16"/>
              </w:rPr>
            </w:pPr>
            <w:r w:rsidRPr="00671E8F">
              <w:rPr>
                <w:rFonts w:asciiTheme="minorHAnsi" w:hAnsiTheme="minorHAnsi" w:cstheme="minorHAnsi"/>
                <w:color w:val="002060"/>
                <w:sz w:val="16"/>
                <w:szCs w:val="16"/>
              </w:rPr>
              <w:t>5,7</w:t>
            </w:r>
          </w:p>
        </w:tc>
      </w:tr>
    </w:tbl>
    <w:p w14:paraId="2A6AF811" w14:textId="0441D265" w:rsidR="00473C3B" w:rsidRPr="00671E8F" w:rsidRDefault="00473C3B" w:rsidP="00473C3B">
      <w:pPr>
        <w:spacing w:after="0" w:line="240" w:lineRule="auto"/>
        <w:rPr>
          <w:rFonts w:eastAsia="MS PGothic" w:cstheme="minorHAnsi"/>
          <w:sz w:val="16"/>
          <w:szCs w:val="16"/>
          <w:lang w:eastAsia="ja-JP"/>
        </w:rPr>
      </w:pPr>
      <w:r w:rsidRPr="00671E8F">
        <w:rPr>
          <w:rFonts w:eastAsia="Calibri" w:cstheme="minorHAnsi"/>
          <w:bCs/>
          <w:sz w:val="14"/>
          <w:szCs w:val="14"/>
          <w:lang w:eastAsia="ja-JP"/>
        </w:rPr>
        <w:t xml:space="preserve">Извор: </w:t>
      </w:r>
      <w:r w:rsidRPr="00671E8F">
        <w:rPr>
          <w:rFonts w:cstheme="minorHAnsi"/>
          <w:sz w:val="14"/>
          <w:szCs w:val="14"/>
        </w:rPr>
        <w:t xml:space="preserve">Министарство финансија; </w:t>
      </w:r>
      <w:r w:rsidRPr="00671E8F">
        <w:rPr>
          <w:rFonts w:eastAsia="MS PGothic" w:cstheme="minorHAnsi"/>
          <w:sz w:val="14"/>
          <w:szCs w:val="14"/>
          <w:lang w:eastAsia="ja-JP"/>
        </w:rPr>
        <w:t>* У складу са дефиницијом која се користила за потребе праћења спровођења аранжмана са ММФ</w:t>
      </w:r>
      <w:r w:rsidRPr="00671E8F">
        <w:rPr>
          <w:rFonts w:eastAsia="MS PGothic" w:cstheme="minorHAnsi"/>
          <w:sz w:val="16"/>
          <w:szCs w:val="16"/>
          <w:lang w:eastAsia="ja-JP"/>
        </w:rPr>
        <w:t>.</w:t>
      </w:r>
    </w:p>
    <w:p w14:paraId="6C311B25" w14:textId="1ED805E4" w:rsidR="00080426" w:rsidRPr="00671E8F" w:rsidRDefault="00080426" w:rsidP="00473C3B">
      <w:pPr>
        <w:spacing w:after="0" w:line="240" w:lineRule="auto"/>
        <w:rPr>
          <w:rFonts w:eastAsia="MS PGothic" w:cstheme="minorHAnsi"/>
          <w:sz w:val="16"/>
          <w:szCs w:val="16"/>
          <w:lang w:eastAsia="ja-JP"/>
        </w:rPr>
      </w:pPr>
    </w:p>
    <w:p w14:paraId="6066C88E" w14:textId="17D67852" w:rsidR="00080426" w:rsidRPr="00671E8F" w:rsidRDefault="00080426" w:rsidP="00473C3B">
      <w:pPr>
        <w:spacing w:after="0" w:line="240" w:lineRule="auto"/>
        <w:rPr>
          <w:rFonts w:eastAsia="MS PGothic" w:cstheme="minorHAnsi"/>
          <w:sz w:val="16"/>
          <w:szCs w:val="16"/>
          <w:lang w:eastAsia="ja-JP"/>
        </w:rPr>
      </w:pPr>
    </w:p>
    <w:p w14:paraId="19D2A4EE" w14:textId="328C792C" w:rsidR="00080426" w:rsidRPr="00671E8F" w:rsidRDefault="00080426" w:rsidP="00473C3B">
      <w:pPr>
        <w:spacing w:after="0" w:line="240" w:lineRule="auto"/>
        <w:rPr>
          <w:rFonts w:eastAsia="MS PGothic" w:cstheme="minorHAnsi"/>
          <w:sz w:val="16"/>
          <w:szCs w:val="16"/>
          <w:lang w:eastAsia="ja-JP"/>
        </w:rPr>
      </w:pPr>
    </w:p>
    <w:p w14:paraId="5211645A" w14:textId="75A117C5" w:rsidR="00080426" w:rsidRPr="00671E8F" w:rsidRDefault="00080426" w:rsidP="00473C3B">
      <w:pPr>
        <w:spacing w:after="0" w:line="240" w:lineRule="auto"/>
        <w:rPr>
          <w:rFonts w:eastAsia="MS PGothic" w:cstheme="minorHAnsi"/>
          <w:sz w:val="16"/>
          <w:szCs w:val="16"/>
          <w:lang w:eastAsia="ja-JP"/>
        </w:rPr>
      </w:pPr>
    </w:p>
    <w:p w14:paraId="4019E052" w14:textId="77777777" w:rsidR="00080426" w:rsidRPr="00671E8F" w:rsidRDefault="00080426" w:rsidP="00473C3B">
      <w:pPr>
        <w:spacing w:after="0" w:line="240" w:lineRule="auto"/>
        <w:rPr>
          <w:lang w:eastAsia="ja-JP"/>
        </w:rPr>
        <w:sectPr w:rsidR="00080426" w:rsidRPr="00671E8F" w:rsidSect="00473C3B">
          <w:type w:val="continuous"/>
          <w:pgSz w:w="12240" w:h="15840" w:code="1"/>
          <w:pgMar w:top="1440" w:right="1440" w:bottom="1440" w:left="1440" w:header="720" w:footer="720" w:gutter="0"/>
          <w:cols w:space="720"/>
          <w:docGrid w:linePitch="360"/>
        </w:sectPr>
      </w:pPr>
    </w:p>
    <w:bookmarkEnd w:id="45"/>
    <w:bookmarkEnd w:id="46"/>
    <w:bookmarkEnd w:id="47"/>
    <w:bookmarkEnd w:id="48"/>
    <w:bookmarkEnd w:id="49"/>
    <w:bookmarkEnd w:id="50"/>
    <w:bookmarkEnd w:id="51"/>
    <w:bookmarkEnd w:id="52"/>
    <w:p w14:paraId="64BB7BFD" w14:textId="77777777" w:rsidR="00473C3B" w:rsidRPr="00671E8F" w:rsidRDefault="00473C3B" w:rsidP="00473C3B">
      <w:pPr>
        <w:tabs>
          <w:tab w:val="left" w:pos="284"/>
        </w:tabs>
        <w:rPr>
          <w:rFonts w:ascii="Calibri" w:eastAsia="Calibri" w:hAnsi="Calibri" w:cs="Calibri"/>
          <w:bCs/>
          <w:szCs w:val="72"/>
        </w:rPr>
        <w:sectPr w:rsidR="00473C3B" w:rsidRPr="00671E8F" w:rsidSect="00473C3B">
          <w:headerReference w:type="even" r:id="rId133"/>
          <w:footerReference w:type="even" r:id="rId134"/>
          <w:footerReference w:type="default" r:id="rId135"/>
          <w:footerReference w:type="first" r:id="rId136"/>
          <w:type w:val="continuous"/>
          <w:pgSz w:w="12240" w:h="15840" w:code="1"/>
          <w:pgMar w:top="1440" w:right="1440" w:bottom="1440" w:left="1440" w:header="720" w:footer="720" w:gutter="0"/>
          <w:cols w:num="2" w:space="720"/>
          <w:titlePg/>
          <w:docGrid w:linePitch="360"/>
        </w:sectPr>
      </w:pPr>
    </w:p>
    <w:bookmarkStart w:id="59" w:name="_Toc11155993"/>
    <w:bookmarkStart w:id="60" w:name="_Toc170722308"/>
    <w:bookmarkStart w:id="61" w:name="_Toc146277919"/>
    <w:bookmarkStart w:id="62" w:name="_Toc148431272"/>
    <w:p w14:paraId="0790949F" w14:textId="77777777" w:rsidR="00473C3B" w:rsidRPr="00671E8F" w:rsidRDefault="00473C3B" w:rsidP="00473C3B">
      <w:pPr>
        <w:spacing w:after="240" w:line="240" w:lineRule="auto"/>
        <w:contextualSpacing/>
        <w:jc w:val="center"/>
        <w:rPr>
          <w:rFonts w:ascii="Calibri" w:eastAsia="Calibri" w:hAnsi="Calibri" w:cs="Calibri"/>
          <w:b/>
          <w:color w:val="2F5496" w:themeColor="accent1" w:themeShade="BF"/>
          <w:sz w:val="24"/>
          <w:szCs w:val="24"/>
        </w:rPr>
      </w:pPr>
      <w:r w:rsidRPr="00671E8F">
        <w:rPr>
          <w:rFonts w:ascii="Calibri" w:eastAsia="Calibri" w:hAnsi="Calibri" w:cs="Calibri"/>
          <w:b/>
          <w:noProof/>
          <w:color w:val="2F5496" w:themeColor="accent1" w:themeShade="BF"/>
          <w:sz w:val="24"/>
          <w:szCs w:val="24"/>
          <w:lang w:val="en-US"/>
        </w:rPr>
        <w:lastRenderedPageBreak/>
        <mc:AlternateContent>
          <mc:Choice Requires="wps">
            <w:drawing>
              <wp:anchor distT="0" distB="0" distL="114300" distR="114300" simplePos="0" relativeHeight="251697664" behindDoc="1" locked="0" layoutInCell="1" allowOverlap="1" wp14:anchorId="64798168" wp14:editId="2AA15C38">
                <wp:simplePos x="0" y="0"/>
                <wp:positionH relativeFrom="margin">
                  <wp:posOffset>-263348</wp:posOffset>
                </wp:positionH>
                <wp:positionV relativeFrom="paragraph">
                  <wp:posOffset>-95098</wp:posOffset>
                </wp:positionV>
                <wp:extent cx="6627571" cy="8176437"/>
                <wp:effectExtent l="0" t="0" r="1905" b="0"/>
                <wp:wrapNone/>
                <wp:docPr id="332543238" name="Rectangle 332543238"/>
                <wp:cNvGraphicFramePr/>
                <a:graphic xmlns:a="http://schemas.openxmlformats.org/drawingml/2006/main">
                  <a:graphicData uri="http://schemas.microsoft.com/office/word/2010/wordprocessingShape">
                    <wps:wsp>
                      <wps:cNvSpPr/>
                      <wps:spPr>
                        <a:xfrm>
                          <a:off x="0" y="0"/>
                          <a:ext cx="6627571" cy="8176437"/>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A2B739" id="Rectangle 332543238" o:spid="_x0000_s1026" style="position:absolute;margin-left:-20.75pt;margin-top:-7.5pt;width:521.85pt;height:643.8pt;z-index:-251618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" fillcolor="#d9d9d9" stroked="f" strokeweight="1pt">
                <v:fill r:id="rId137" o:title="" color2="window" type="pattern"/>
                <w10:wrap anchorx="margin"/>
              </v:rect>
            </w:pict>
          </mc:Fallback>
        </mc:AlternateContent>
      </w:r>
      <w:r w:rsidRPr="00671E8F">
        <w:rPr>
          <w:rFonts w:ascii="Calibri" w:eastAsia="Calibri" w:hAnsi="Calibri" w:cs="Calibri"/>
          <w:b/>
          <w:color w:val="2F5496" w:themeColor="accent1" w:themeShade="BF"/>
          <w:sz w:val="24"/>
          <w:szCs w:val="24"/>
        </w:rPr>
        <w:t>S0 индикатор краткорочне фискалне одрживости</w:t>
      </w:r>
    </w:p>
    <w:p w14:paraId="50A246F7" w14:textId="77777777" w:rsidR="00473C3B" w:rsidRPr="00671E8F" w:rsidRDefault="00473C3B" w:rsidP="00473C3B">
      <w:pPr>
        <w:spacing w:after="60"/>
        <w:rPr>
          <w:rFonts w:cstheme="minorHAnsi"/>
          <w:color w:val="auto"/>
          <w:szCs w:val="20"/>
        </w:rPr>
      </w:pPr>
    </w:p>
    <w:p w14:paraId="7C895C33" w14:textId="77777777" w:rsidR="00473C3B" w:rsidRPr="00671E8F" w:rsidRDefault="00473C3B" w:rsidP="00473C3B">
      <w:pPr>
        <w:spacing w:after="60"/>
        <w:rPr>
          <w:rFonts w:cstheme="minorHAnsi"/>
          <w:color w:val="auto"/>
          <w:szCs w:val="20"/>
        </w:rPr>
        <w:sectPr w:rsidR="00473C3B" w:rsidRPr="00671E8F" w:rsidSect="00C95509">
          <w:headerReference w:type="even" r:id="rId138"/>
          <w:headerReference w:type="default" r:id="rId139"/>
          <w:footerReference w:type="even" r:id="rId140"/>
          <w:footerReference w:type="default" r:id="rId141"/>
          <w:headerReference w:type="first" r:id="rId142"/>
          <w:type w:val="continuous"/>
          <w:pgSz w:w="12240" w:h="15840"/>
          <w:pgMar w:top="1440" w:right="1440" w:bottom="1440" w:left="1440" w:header="720" w:footer="720" w:gutter="0"/>
          <w:cols w:space="720"/>
          <w:docGrid w:linePitch="360"/>
        </w:sectPr>
      </w:pPr>
    </w:p>
    <w:p w14:paraId="3CA31500" w14:textId="77777777" w:rsidR="00473C3B" w:rsidRPr="00671E8F" w:rsidRDefault="00473C3B" w:rsidP="00473C3B">
      <w:pPr>
        <w:rPr>
          <w:rFonts w:cstheme="minorHAnsi"/>
          <w:szCs w:val="20"/>
        </w:rPr>
      </w:pPr>
      <w:r w:rsidRPr="00671E8F">
        <w:rPr>
          <w:rFonts w:cstheme="minorHAnsi"/>
          <w:szCs w:val="20"/>
        </w:rPr>
        <w:t>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да антиципира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макро-финансијске одрживости. Вредност ових подиндекса испод дефинисаног прага указују на одсуство краткорочног фискалног ризика.</w:t>
      </w:r>
    </w:p>
    <w:p w14:paraId="5769803C" w14:textId="77777777" w:rsidR="00473C3B" w:rsidRPr="00671E8F" w:rsidRDefault="00473C3B" w:rsidP="00473C3B">
      <w:pPr>
        <w:rPr>
          <w:rFonts w:cstheme="minorHAnsi"/>
          <w:szCs w:val="20"/>
        </w:rPr>
      </w:pPr>
      <w:r w:rsidRPr="00671E8F">
        <w:rPr>
          <w:rFonts w:cstheme="minorHAnsi"/>
          <w:szCs w:val="20"/>
        </w:rPr>
        <w:t>У 2023. години вредности фискалног (0,08) и финансијског подиндекса (0,27) су унутар за њих дефинисаног прага, као и вредност целокупног S0 индикатора за Републику Србију (0,20), што начелно указује да не постоји опасност од појаве макроекономске нестабилности у наредном средњорочном периоду. Успешно очувана макроекономска и фискална стабилност успостављена у претходном периоду обезбедила је простор за брзе и значајне мере подршке фискалне и монетарне политике.</w:t>
      </w:r>
    </w:p>
    <w:p w14:paraId="05695278" w14:textId="77777777" w:rsidR="00473C3B" w:rsidRPr="00671E8F" w:rsidRDefault="00473C3B" w:rsidP="00473C3B">
      <w:pPr>
        <w:rPr>
          <w:rFonts w:cstheme="minorHAnsi"/>
          <w:szCs w:val="20"/>
        </w:rPr>
      </w:pPr>
      <w:r w:rsidRPr="00671E8F">
        <w:rPr>
          <w:noProof/>
          <w:lang w:val="en-US"/>
        </w:rPr>
        <w:drawing>
          <wp:inline distT="0" distB="0" distL="0" distR="0" wp14:anchorId="0830CC6A" wp14:editId="531EAFE2">
            <wp:extent cx="2999740" cy="4496435"/>
            <wp:effectExtent l="0" t="0" r="10160" b="18415"/>
            <wp:docPr id="332543242" name="Chart 3325432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p w14:paraId="348D82D0" w14:textId="77777777" w:rsidR="00473C3B" w:rsidRPr="00671E8F" w:rsidRDefault="00473C3B" w:rsidP="00473C3B">
      <w:pPr>
        <w:rPr>
          <w:rFonts w:cstheme="minorHAnsi"/>
          <w:szCs w:val="20"/>
        </w:rPr>
      </w:pPr>
    </w:p>
    <w:p w14:paraId="33E02866" w14:textId="77777777" w:rsidR="00473C3B" w:rsidRPr="00671E8F" w:rsidRDefault="00473C3B" w:rsidP="00473C3B">
      <w:pPr>
        <w:rPr>
          <w:rFonts w:cstheme="minorHAnsi"/>
          <w:color w:val="auto"/>
          <w:szCs w:val="20"/>
        </w:rPr>
      </w:pPr>
    </w:p>
    <w:p w14:paraId="397AABCB" w14:textId="77777777" w:rsidR="00473C3B" w:rsidRPr="00671E8F" w:rsidRDefault="00473C3B" w:rsidP="00473C3B">
      <w:pPr>
        <w:rPr>
          <w:rFonts w:cstheme="minorHAnsi"/>
          <w:color w:val="auto"/>
          <w:szCs w:val="20"/>
        </w:rPr>
      </w:pPr>
    </w:p>
    <w:p w14:paraId="321D6350" w14:textId="77777777" w:rsidR="00473C3B" w:rsidRPr="00671E8F" w:rsidRDefault="00473C3B" w:rsidP="00473C3B">
      <w:pPr>
        <w:rPr>
          <w:rFonts w:eastAsia="Calibri" w:cstheme="minorHAnsi"/>
          <w:b/>
          <w:color w:val="auto"/>
          <w:sz w:val="24"/>
          <w:szCs w:val="26"/>
        </w:rPr>
        <w:sectPr w:rsidR="00473C3B" w:rsidRPr="00671E8F" w:rsidSect="00C95509">
          <w:type w:val="continuous"/>
          <w:pgSz w:w="12240" w:h="15840"/>
          <w:pgMar w:top="1440" w:right="1440" w:bottom="1440" w:left="1440" w:header="720" w:footer="720" w:gutter="0"/>
          <w:cols w:num="2" w:space="720"/>
          <w:docGrid w:linePitch="360"/>
        </w:sectPr>
      </w:pPr>
    </w:p>
    <w:p w14:paraId="2C77C25D" w14:textId="77777777" w:rsidR="00473C3B" w:rsidRPr="00671E8F" w:rsidRDefault="00473C3B" w:rsidP="00473C3B">
      <w:pPr>
        <w:jc w:val="center"/>
        <w:rPr>
          <w:rFonts w:cstheme="minorHAnsi"/>
          <w:color w:val="auto"/>
          <w:szCs w:val="20"/>
        </w:rPr>
      </w:pPr>
      <w:r w:rsidRPr="00671E8F">
        <w:rPr>
          <w:noProof/>
          <w:lang w:val="en-US"/>
        </w:rPr>
        <w:drawing>
          <wp:inline distT="0" distB="0" distL="0" distR="0" wp14:anchorId="5B4E65D7" wp14:editId="69A5C2CB">
            <wp:extent cx="5943600" cy="2209800"/>
            <wp:effectExtent l="0" t="0" r="0" b="0"/>
            <wp:docPr id="332543243" name="Chart 3325432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4"/>
              </a:graphicData>
            </a:graphic>
          </wp:inline>
        </w:drawing>
      </w:r>
    </w:p>
    <w:p w14:paraId="7EE60F14" w14:textId="6B6E912C" w:rsidR="00473C3B" w:rsidRPr="00671E8F" w:rsidRDefault="00C15103" w:rsidP="00473C3B">
      <w:pPr>
        <w:rPr>
          <w:rFonts w:cstheme="minorHAnsi"/>
          <w:color w:val="auto"/>
          <w:szCs w:val="20"/>
        </w:rPr>
        <w:sectPr w:rsidR="00473C3B" w:rsidRPr="00671E8F" w:rsidSect="00C95509">
          <w:type w:val="continuous"/>
          <w:pgSz w:w="12240" w:h="15840"/>
          <w:pgMar w:top="1440" w:right="1440" w:bottom="1440" w:left="1440" w:header="720" w:footer="720" w:gutter="0"/>
          <w:cols w:space="720"/>
          <w:docGrid w:linePitch="360"/>
        </w:sectPr>
      </w:pPr>
      <w:r w:rsidRPr="00671E8F">
        <w:rPr>
          <w:rFonts w:cstheme="minorHAnsi"/>
          <w:noProof/>
          <w:color w:val="auto"/>
          <w:lang w:val="en-US"/>
        </w:rPr>
        <w:lastRenderedPageBreak/>
        <mc:AlternateContent>
          <mc:Choice Requires="wps">
            <w:drawing>
              <wp:anchor distT="0" distB="0" distL="114300" distR="114300" simplePos="0" relativeHeight="251698688" behindDoc="1" locked="0" layoutInCell="1" allowOverlap="1" wp14:anchorId="659479EB" wp14:editId="4BB61C23">
                <wp:simplePos x="0" y="0"/>
                <wp:positionH relativeFrom="margin">
                  <wp:posOffset>-247650</wp:posOffset>
                </wp:positionH>
                <wp:positionV relativeFrom="paragraph">
                  <wp:posOffset>19050</wp:posOffset>
                </wp:positionV>
                <wp:extent cx="6479540" cy="4667250"/>
                <wp:effectExtent l="0" t="0" r="0" b="0"/>
                <wp:wrapNone/>
                <wp:docPr id="332543239" name="Rectangle 332543239"/>
                <wp:cNvGraphicFramePr/>
                <a:graphic xmlns:a="http://schemas.openxmlformats.org/drawingml/2006/main">
                  <a:graphicData uri="http://schemas.microsoft.com/office/word/2010/wordprocessingShape">
                    <wps:wsp>
                      <wps:cNvSpPr/>
                      <wps:spPr>
                        <a:xfrm>
                          <a:off x="0" y="0"/>
                          <a:ext cx="6479540" cy="466725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76A490" id="Rectangle 332543239" o:spid="_x0000_s1026" style="position:absolute;margin-left:-19.5pt;margin-top:1.5pt;width:510.2pt;height:367.5pt;z-index:-251617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" fillcolor="#d9d9d9" stroked="f" strokeweight="1pt">
                <v:fill r:id="rId145" o:title="" color2="window" type="pattern"/>
                <w10:wrap anchorx="margin"/>
              </v:rect>
            </w:pict>
          </mc:Fallback>
        </mc:AlternateContent>
      </w:r>
      <w:r w:rsidR="00473C3B" w:rsidRPr="00671E8F">
        <w:rPr>
          <w:noProof/>
          <w:lang w:val="en-US"/>
        </w:rPr>
        <w:drawing>
          <wp:inline distT="0" distB="0" distL="0" distR="0" wp14:anchorId="172ECFD9" wp14:editId="230BAA34">
            <wp:extent cx="5943600" cy="3371215"/>
            <wp:effectExtent l="0" t="0" r="0" b="0"/>
            <wp:docPr id="332543244" name="Chart 3325432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6"/>
              </a:graphicData>
            </a:graphic>
          </wp:inline>
        </w:drawing>
      </w:r>
    </w:p>
    <w:p w14:paraId="5ADD79E2" w14:textId="77777777" w:rsidR="00473C3B" w:rsidRPr="00671E8F" w:rsidRDefault="00473C3B" w:rsidP="00473C3B">
      <w:pPr>
        <w:rPr>
          <w:rFonts w:cstheme="minorHAnsi"/>
          <w:szCs w:val="20"/>
        </w:rPr>
      </w:pPr>
      <w:r w:rsidRPr="00671E8F">
        <w:rPr>
          <w:rFonts w:cstheme="minorHAnsi"/>
          <w:szCs w:val="20"/>
        </w:rPr>
        <w:t>Обрачун S0 индикатора за Републику Србију, урађен је од стране Министарства финансија, и базира се на методологији ЕК.</w:t>
      </w:r>
    </w:p>
    <w:p w14:paraId="7D99CA9C" w14:textId="77777777" w:rsidR="00473C3B" w:rsidRPr="00671E8F" w:rsidRDefault="00473C3B" w:rsidP="00473C3B">
      <w:pPr>
        <w:rPr>
          <w:rFonts w:cstheme="minorHAnsi"/>
          <w:szCs w:val="20"/>
        </w:rPr>
      </w:pPr>
    </w:p>
    <w:p w14:paraId="0FFEB803" w14:textId="77777777" w:rsidR="00473C3B" w:rsidRPr="00671E8F" w:rsidRDefault="00473C3B" w:rsidP="00473C3B">
      <w:pPr>
        <w:rPr>
          <w:rFonts w:cstheme="minorHAnsi"/>
          <w:szCs w:val="20"/>
        </w:rPr>
      </w:pPr>
    </w:p>
    <w:p w14:paraId="39E60FF3" w14:textId="77777777" w:rsidR="00473C3B" w:rsidRPr="00671E8F" w:rsidRDefault="00473C3B" w:rsidP="00473C3B">
      <w:pPr>
        <w:rPr>
          <w:rFonts w:cstheme="minorHAnsi"/>
          <w:szCs w:val="20"/>
        </w:rPr>
      </w:pPr>
    </w:p>
    <w:p w14:paraId="49FEB458" w14:textId="77777777" w:rsidR="00473C3B" w:rsidRPr="00671E8F" w:rsidRDefault="00473C3B" w:rsidP="00473C3B">
      <w:pPr>
        <w:rPr>
          <w:rFonts w:cstheme="minorHAnsi"/>
          <w:szCs w:val="20"/>
        </w:rPr>
      </w:pPr>
      <w:r w:rsidRPr="00671E8F">
        <w:rPr>
          <w:rFonts w:cstheme="minorHAnsi"/>
          <w:szCs w:val="20"/>
        </w:rPr>
        <w:t xml:space="preserve">На основу података ЕК за земље ЕУ за 2023. годину и обрачуна Министарства финансија за Републику Србију, закључујемо да већина посматраних земаља, као и Србија, није била изложена краткорочном ризику реализације фискалног стреса, будући да вредност S0 нигде не премашује дефинисани праг. </w:t>
      </w:r>
    </w:p>
    <w:p w14:paraId="4B59705B" w14:textId="77777777" w:rsidR="00473C3B" w:rsidRPr="00671E8F" w:rsidRDefault="00473C3B" w:rsidP="00473C3B">
      <w:pPr>
        <w:rPr>
          <w:rFonts w:cstheme="minorHAnsi"/>
          <w:color w:val="auto"/>
          <w:szCs w:val="20"/>
        </w:rPr>
        <w:sectPr w:rsidR="00473C3B" w:rsidRPr="00671E8F" w:rsidSect="00473C3B">
          <w:headerReference w:type="even" r:id="rId147"/>
          <w:headerReference w:type="default" r:id="rId148"/>
          <w:footerReference w:type="even" r:id="rId149"/>
          <w:footerReference w:type="default" r:id="rId150"/>
          <w:headerReference w:type="first" r:id="rId151"/>
          <w:type w:val="continuous"/>
          <w:pgSz w:w="12240" w:h="15840" w:code="1"/>
          <w:pgMar w:top="1440" w:right="1440" w:bottom="1440" w:left="1440" w:header="720" w:footer="720" w:gutter="0"/>
          <w:cols w:num="2" w:space="332"/>
          <w:docGrid w:linePitch="360"/>
        </w:sectPr>
      </w:pPr>
    </w:p>
    <w:p w14:paraId="41382B79" w14:textId="77777777" w:rsidR="00473C3B" w:rsidRPr="00671E8F" w:rsidRDefault="00473C3B" w:rsidP="00473C3B">
      <w:bookmarkStart w:id="63" w:name="_Toc530635107"/>
    </w:p>
    <w:p w14:paraId="22E8A7B0" w14:textId="77777777" w:rsidR="00473C3B" w:rsidRPr="00671E8F" w:rsidRDefault="00473C3B" w:rsidP="00473C3B">
      <w:pPr>
        <w:rPr>
          <w:rFonts w:ascii="Calibri" w:eastAsia="Calibri" w:hAnsi="Calibri" w:cs="Calibri"/>
          <w:color w:val="auto"/>
          <w:szCs w:val="20"/>
        </w:rPr>
        <w:sectPr w:rsidR="00473C3B" w:rsidRPr="00671E8F" w:rsidSect="00473C3B">
          <w:headerReference w:type="even" r:id="rId152"/>
          <w:footerReference w:type="even" r:id="rId153"/>
          <w:footerReference w:type="default" r:id="rId154"/>
          <w:headerReference w:type="first" r:id="rId155"/>
          <w:type w:val="continuous"/>
          <w:pgSz w:w="12240" w:h="15840"/>
          <w:pgMar w:top="1440" w:right="1440" w:bottom="1440" w:left="1440" w:header="720" w:footer="720" w:gutter="0"/>
          <w:cols w:space="720"/>
          <w:docGrid w:linePitch="360"/>
        </w:sectPr>
      </w:pPr>
    </w:p>
    <w:bookmarkEnd w:id="59"/>
    <w:bookmarkEnd w:id="63"/>
    <w:p w14:paraId="5275BF89" w14:textId="77777777" w:rsidR="00473C3B" w:rsidRPr="00671E8F" w:rsidRDefault="00473C3B" w:rsidP="00473C3B"/>
    <w:p w14:paraId="0A41D83E" w14:textId="77777777" w:rsidR="00473C3B" w:rsidRPr="00671E8F" w:rsidRDefault="00473C3B" w:rsidP="00473C3B">
      <w:pPr>
        <w:jc w:val="left"/>
        <w:rPr>
          <w:rFonts w:eastAsia="Calibri" w:cstheme="minorHAnsi"/>
          <w:b/>
          <w:sz w:val="24"/>
        </w:rPr>
      </w:pPr>
      <w:r w:rsidRPr="00671E8F">
        <w:rPr>
          <w:rFonts w:eastAsia="Calibri" w:cstheme="minorHAnsi"/>
          <w:b/>
          <w:sz w:val="24"/>
        </w:rPr>
        <w:br w:type="page"/>
      </w:r>
    </w:p>
    <w:p w14:paraId="1B118477" w14:textId="77777777" w:rsidR="00473C3B" w:rsidRPr="00671E8F" w:rsidRDefault="00473C3B" w:rsidP="000B4ACD">
      <w:pPr>
        <w:pStyle w:val="Heading2"/>
        <w:jc w:val="center"/>
        <w:rPr>
          <w:rFonts w:asciiTheme="minorHAnsi" w:hAnsiTheme="minorHAnsi" w:cstheme="minorHAnsi"/>
          <w:b/>
          <w:sz w:val="24"/>
        </w:rPr>
      </w:pPr>
      <w:bookmarkStart w:id="64" w:name="_Toc181190969"/>
      <w:r w:rsidRPr="00671E8F">
        <w:rPr>
          <w:rFonts w:asciiTheme="minorHAnsi" w:hAnsiTheme="minorHAnsi" w:cstheme="minorHAnsi"/>
          <w:b/>
          <w:sz w:val="24"/>
        </w:rPr>
        <w:lastRenderedPageBreak/>
        <w:t>3. Фискалне пројекције у периоду 2025–2027. године</w:t>
      </w:r>
      <w:bookmarkEnd w:id="64"/>
    </w:p>
    <w:p w14:paraId="0A1376B7" w14:textId="637BC832" w:rsidR="00473C3B" w:rsidRPr="00671E8F" w:rsidRDefault="00473C3B" w:rsidP="00473C3B">
      <w:pPr>
        <w:rPr>
          <w:lang w:eastAsia="ja-JP"/>
        </w:rPr>
      </w:pPr>
    </w:p>
    <w:p w14:paraId="1EBC1C7A" w14:textId="77777777" w:rsidR="000B4ACD" w:rsidRPr="00671E8F" w:rsidRDefault="000B4ACD" w:rsidP="00473C3B">
      <w:pPr>
        <w:rPr>
          <w:lang w:eastAsia="ja-JP"/>
        </w:rPr>
        <w:sectPr w:rsidR="000B4ACD" w:rsidRPr="00671E8F" w:rsidSect="00473C3B">
          <w:footerReference w:type="even" r:id="rId156"/>
          <w:footerReference w:type="default" r:id="rId157"/>
          <w:headerReference w:type="first" r:id="rId158"/>
          <w:type w:val="continuous"/>
          <w:pgSz w:w="12240" w:h="15840" w:code="1"/>
          <w:pgMar w:top="1440" w:right="1440" w:bottom="1440" w:left="1440" w:header="720" w:footer="720" w:gutter="0"/>
          <w:cols w:space="720"/>
          <w:titlePg/>
          <w:docGrid w:linePitch="360"/>
        </w:sectPr>
      </w:pPr>
    </w:p>
    <w:p w14:paraId="27BE07C6" w14:textId="77777777" w:rsidR="00473C3B" w:rsidRPr="00671E8F" w:rsidRDefault="00473C3B" w:rsidP="00473C3B">
      <w:pPr>
        <w:spacing w:after="120"/>
        <w:rPr>
          <w:lang w:eastAsia="ja-JP"/>
        </w:rPr>
      </w:pPr>
      <w:r w:rsidRPr="00671E8F">
        <w:rPr>
          <w:lang w:eastAsia="ja-JP"/>
        </w:rPr>
        <w:t>Основни циљеви фискалне политике су усмерени на одржање фискалне стабилности и смањивање учешћа јавног дуга у БДП. Пројекције фискалних агрегата у периоду од 2025. до 2027.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унапређење пословања великих јавних предузећа.</w:t>
      </w:r>
    </w:p>
    <w:p w14:paraId="403D00BC" w14:textId="77777777" w:rsidR="00473C3B" w:rsidRPr="00671E8F" w:rsidRDefault="00473C3B" w:rsidP="00473C3B">
      <w:pPr>
        <w:spacing w:after="600"/>
        <w:rPr>
          <w:lang w:eastAsia="ja-JP"/>
        </w:rPr>
      </w:pPr>
      <w:r w:rsidRPr="00671E8F">
        <w:rPr>
          <w:lang w:eastAsia="ja-JP"/>
        </w:rPr>
        <w:t xml:space="preserve">Захваљујући мерама фискалне консолидације у претходном периоду створен је фискални простор </w:t>
      </w:r>
      <w:r w:rsidRPr="00671E8F">
        <w:rPr>
          <w:lang w:eastAsia="ja-JP"/>
        </w:rPr>
        <w:t>који је омогућио богате пакете мера у склопу борбе против ефеката кризе изазване пандемијом током 2020. и 2021. године, а у 2022. години су обезбеђена средства за ублажавање ефеката енергетске кризе, изазване сукобом у Украјини. Реакција фискалне политике у наредном периоду, креиране мере и њихове фискалне импликације биће одређени тако да не угрозе стабилност јавних финансија и темпо смањења јавног дуга, да одрже животни стандард становништва и помогну привредни развој, али и да осигурају флексибилност у случају снажнијег удара кризе.</w:t>
      </w:r>
    </w:p>
    <w:p w14:paraId="7F5202E9" w14:textId="77777777" w:rsidR="00473C3B" w:rsidRPr="00671E8F" w:rsidRDefault="00473C3B" w:rsidP="00473C3B">
      <w:pPr>
        <w:rPr>
          <w:rFonts w:eastAsia="MS PGothic" w:cstheme="minorHAnsi"/>
          <w:b/>
          <w:color w:val="002060"/>
          <w:szCs w:val="20"/>
          <w:lang w:eastAsia="ja-JP"/>
        </w:rPr>
        <w:sectPr w:rsidR="00473C3B" w:rsidRPr="00671E8F" w:rsidSect="00F45C01">
          <w:type w:val="continuous"/>
          <w:pgSz w:w="12240" w:h="15840" w:code="1"/>
          <w:pgMar w:top="1440" w:right="1440" w:bottom="1440" w:left="1440" w:header="720" w:footer="720" w:gutter="0"/>
          <w:cols w:num="2" w:space="720"/>
          <w:docGrid w:linePitch="360"/>
        </w:sectPr>
      </w:pPr>
    </w:p>
    <w:p w14:paraId="0846A3F4" w14:textId="77777777" w:rsidR="00473C3B" w:rsidRPr="00671E8F" w:rsidRDefault="00473C3B" w:rsidP="00473C3B">
      <w:pPr>
        <w:jc w:val="center"/>
        <w:rPr>
          <w:rFonts w:eastAsia="MS PGothic" w:cstheme="minorHAnsi"/>
          <w:b/>
          <w:color w:val="002060"/>
          <w:szCs w:val="20"/>
          <w:lang w:eastAsia="ja-JP"/>
        </w:rPr>
      </w:pPr>
      <w:r w:rsidRPr="00671E8F">
        <w:rPr>
          <w:rFonts w:eastAsia="MS PGothic" w:cstheme="minorHAnsi"/>
          <w:b/>
          <w:color w:val="002060"/>
          <w:szCs w:val="20"/>
          <w:lang w:eastAsia="ja-JP"/>
        </w:rPr>
        <w:t>Табела 9. Фискални агрегати у периоду 2023–2027. године, % БДП</w:t>
      </w:r>
    </w:p>
    <w:tbl>
      <w:tblPr>
        <w:tblStyle w:val="LightShading-Accent12214"/>
        <w:tblW w:w="5000" w:type="pct"/>
        <w:tblBorders>
          <w:top w:val="none" w:sz="0" w:space="0" w:color="auto"/>
          <w:bottom w:val="none" w:sz="0" w:space="0" w:color="auto"/>
        </w:tblBorders>
        <w:tblLook w:val="0420" w:firstRow="1" w:lastRow="0" w:firstColumn="0" w:lastColumn="0" w:noHBand="0" w:noVBand="1"/>
      </w:tblPr>
      <w:tblGrid>
        <w:gridCol w:w="3971"/>
        <w:gridCol w:w="1133"/>
        <w:gridCol w:w="1133"/>
        <w:gridCol w:w="1041"/>
        <w:gridCol w:w="1041"/>
        <w:gridCol w:w="1041"/>
      </w:tblGrid>
      <w:tr w:rsidR="00473C3B" w:rsidRPr="00671E8F" w14:paraId="2E25A265" w14:textId="77777777" w:rsidTr="00473C3B">
        <w:trPr>
          <w:cnfStyle w:val="100000000000" w:firstRow="1" w:lastRow="0" w:firstColumn="0" w:lastColumn="0" w:oddVBand="0" w:evenVBand="0" w:oddHBand="0" w:evenHBand="0" w:firstRowFirstColumn="0" w:firstRowLastColumn="0" w:lastRowFirstColumn="0" w:lastRowLastColumn="0"/>
          <w:trHeight w:val="253"/>
        </w:trPr>
        <w:tc>
          <w:tcPr>
            <w:tcW w:w="2122" w:type="pct"/>
            <w:tcBorders>
              <w:top w:val="single" w:sz="4" w:space="0" w:color="002060"/>
              <w:bottom w:val="single" w:sz="4" w:space="0" w:color="002060"/>
            </w:tcBorders>
            <w:shd w:val="clear" w:color="auto" w:fill="auto"/>
            <w:noWrap/>
            <w:vAlign w:val="center"/>
          </w:tcPr>
          <w:p w14:paraId="190C6C22" w14:textId="77777777" w:rsidR="00473C3B" w:rsidRPr="00671E8F" w:rsidRDefault="00473C3B" w:rsidP="00473C3B">
            <w:pPr>
              <w:rPr>
                <w:rFonts w:asciiTheme="minorHAnsi" w:hAnsiTheme="minorHAnsi" w:cstheme="minorHAnsi"/>
                <w:b w:val="0"/>
                <w:color w:val="002060"/>
                <w:sz w:val="18"/>
              </w:rPr>
            </w:pPr>
            <w:r w:rsidRPr="00671E8F">
              <w:rPr>
                <w:rFonts w:asciiTheme="minorHAnsi" w:hAnsiTheme="minorHAnsi" w:cstheme="minorHAnsi"/>
                <w:b w:val="0"/>
                <w:color w:val="002060"/>
                <w:sz w:val="18"/>
              </w:rPr>
              <w:t>Опис</w:t>
            </w:r>
          </w:p>
        </w:tc>
        <w:tc>
          <w:tcPr>
            <w:tcW w:w="605" w:type="pct"/>
            <w:tcBorders>
              <w:top w:val="single" w:sz="4" w:space="0" w:color="002060"/>
              <w:bottom w:val="single" w:sz="4" w:space="0" w:color="002060"/>
            </w:tcBorders>
            <w:shd w:val="clear" w:color="auto" w:fill="auto"/>
            <w:vAlign w:val="center"/>
          </w:tcPr>
          <w:p w14:paraId="0C9D1970" w14:textId="77777777" w:rsidR="00473C3B" w:rsidRPr="00671E8F" w:rsidRDefault="00473C3B" w:rsidP="00130B95">
            <w:pPr>
              <w:jc w:val="center"/>
              <w:rPr>
                <w:rFonts w:asciiTheme="minorHAnsi" w:hAnsiTheme="minorHAnsi" w:cstheme="minorHAnsi"/>
                <w:b w:val="0"/>
                <w:color w:val="002060"/>
                <w:sz w:val="18"/>
              </w:rPr>
            </w:pPr>
            <w:r w:rsidRPr="00671E8F">
              <w:rPr>
                <w:rFonts w:asciiTheme="minorHAnsi" w:hAnsiTheme="minorHAnsi" w:cstheme="minorHAnsi"/>
                <w:b w:val="0"/>
                <w:color w:val="002060"/>
                <w:sz w:val="18"/>
              </w:rPr>
              <w:t>Извршење</w:t>
            </w:r>
          </w:p>
        </w:tc>
        <w:tc>
          <w:tcPr>
            <w:tcW w:w="605" w:type="pct"/>
            <w:tcBorders>
              <w:top w:val="single" w:sz="4" w:space="0" w:color="002060"/>
              <w:bottom w:val="single" w:sz="4" w:space="0" w:color="002060"/>
            </w:tcBorders>
            <w:shd w:val="clear" w:color="auto" w:fill="auto"/>
            <w:vAlign w:val="center"/>
          </w:tcPr>
          <w:p w14:paraId="01E5A34D" w14:textId="77777777" w:rsidR="00473C3B" w:rsidRPr="00671E8F" w:rsidRDefault="00473C3B" w:rsidP="00130B95">
            <w:pPr>
              <w:jc w:val="center"/>
              <w:rPr>
                <w:rFonts w:asciiTheme="minorHAnsi" w:hAnsiTheme="minorHAnsi" w:cstheme="minorHAnsi"/>
                <w:b w:val="0"/>
                <w:color w:val="002060"/>
                <w:sz w:val="18"/>
              </w:rPr>
            </w:pPr>
            <w:r w:rsidRPr="00671E8F">
              <w:rPr>
                <w:rFonts w:asciiTheme="minorHAnsi" w:hAnsiTheme="minorHAnsi" w:cstheme="minorHAnsi"/>
                <w:b w:val="0"/>
                <w:color w:val="002060"/>
                <w:sz w:val="18"/>
              </w:rPr>
              <w:t>Процена</w:t>
            </w:r>
          </w:p>
        </w:tc>
        <w:tc>
          <w:tcPr>
            <w:tcW w:w="1669" w:type="pct"/>
            <w:gridSpan w:val="3"/>
            <w:tcBorders>
              <w:top w:val="single" w:sz="4" w:space="0" w:color="002060"/>
              <w:bottom w:val="single" w:sz="4" w:space="0" w:color="002060"/>
            </w:tcBorders>
            <w:shd w:val="clear" w:color="auto" w:fill="auto"/>
            <w:vAlign w:val="center"/>
          </w:tcPr>
          <w:p w14:paraId="61B66AA2" w14:textId="77777777" w:rsidR="00473C3B" w:rsidRPr="00671E8F" w:rsidRDefault="00473C3B" w:rsidP="00130B95">
            <w:pPr>
              <w:jc w:val="center"/>
              <w:rPr>
                <w:rFonts w:asciiTheme="minorHAnsi" w:hAnsiTheme="minorHAnsi" w:cstheme="minorHAnsi"/>
                <w:b w:val="0"/>
                <w:color w:val="002060"/>
                <w:sz w:val="18"/>
              </w:rPr>
            </w:pPr>
            <w:r w:rsidRPr="00671E8F">
              <w:rPr>
                <w:rFonts w:asciiTheme="minorHAnsi" w:hAnsiTheme="minorHAnsi" w:cstheme="minorHAnsi"/>
                <w:b w:val="0"/>
                <w:color w:val="002060"/>
                <w:sz w:val="18"/>
              </w:rPr>
              <w:t>Пројекција</w:t>
            </w:r>
          </w:p>
        </w:tc>
      </w:tr>
      <w:tr w:rsidR="00473C3B" w:rsidRPr="00671E8F" w14:paraId="62AB30DA"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tcBorders>
              <w:top w:val="single" w:sz="4" w:space="0" w:color="002060"/>
            </w:tcBorders>
            <w:shd w:val="clear" w:color="auto" w:fill="auto"/>
            <w:noWrap/>
            <w:vAlign w:val="center"/>
          </w:tcPr>
          <w:p w14:paraId="74D3C97D"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 </w:t>
            </w:r>
          </w:p>
        </w:tc>
        <w:tc>
          <w:tcPr>
            <w:tcW w:w="605" w:type="pct"/>
            <w:tcBorders>
              <w:top w:val="single" w:sz="4" w:space="0" w:color="002060"/>
              <w:bottom w:val="single" w:sz="4" w:space="0" w:color="002060"/>
            </w:tcBorders>
            <w:shd w:val="clear" w:color="auto" w:fill="auto"/>
            <w:vAlign w:val="center"/>
          </w:tcPr>
          <w:p w14:paraId="7BE5C794"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2023</w:t>
            </w:r>
          </w:p>
        </w:tc>
        <w:tc>
          <w:tcPr>
            <w:tcW w:w="605" w:type="pct"/>
            <w:tcBorders>
              <w:top w:val="single" w:sz="4" w:space="0" w:color="002060"/>
              <w:bottom w:val="single" w:sz="4" w:space="0" w:color="002060"/>
            </w:tcBorders>
            <w:shd w:val="clear" w:color="auto" w:fill="auto"/>
            <w:vAlign w:val="center"/>
          </w:tcPr>
          <w:p w14:paraId="39266CAE"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2024</w:t>
            </w:r>
          </w:p>
        </w:tc>
        <w:tc>
          <w:tcPr>
            <w:tcW w:w="556" w:type="pct"/>
            <w:tcBorders>
              <w:top w:val="single" w:sz="4" w:space="0" w:color="002060"/>
              <w:bottom w:val="single" w:sz="4" w:space="0" w:color="002060"/>
            </w:tcBorders>
            <w:shd w:val="clear" w:color="auto" w:fill="auto"/>
            <w:vAlign w:val="center"/>
          </w:tcPr>
          <w:p w14:paraId="1224290E"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2025</w:t>
            </w:r>
          </w:p>
        </w:tc>
        <w:tc>
          <w:tcPr>
            <w:tcW w:w="556" w:type="pct"/>
            <w:tcBorders>
              <w:top w:val="single" w:sz="4" w:space="0" w:color="002060"/>
              <w:bottom w:val="single" w:sz="4" w:space="0" w:color="002060"/>
            </w:tcBorders>
            <w:shd w:val="clear" w:color="auto" w:fill="auto"/>
            <w:vAlign w:val="center"/>
          </w:tcPr>
          <w:p w14:paraId="1047A966"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2026</w:t>
            </w:r>
          </w:p>
        </w:tc>
        <w:tc>
          <w:tcPr>
            <w:tcW w:w="556" w:type="pct"/>
            <w:tcBorders>
              <w:top w:val="single" w:sz="4" w:space="0" w:color="002060"/>
              <w:bottom w:val="single" w:sz="4" w:space="0" w:color="002060"/>
            </w:tcBorders>
            <w:shd w:val="clear" w:color="auto" w:fill="auto"/>
            <w:vAlign w:val="center"/>
          </w:tcPr>
          <w:p w14:paraId="283A6115"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2027</w:t>
            </w:r>
          </w:p>
        </w:tc>
      </w:tr>
      <w:tr w:rsidR="00473C3B" w:rsidRPr="00671E8F" w14:paraId="51E640AB" w14:textId="77777777" w:rsidTr="00473C3B">
        <w:trPr>
          <w:trHeight w:val="253"/>
        </w:trPr>
        <w:tc>
          <w:tcPr>
            <w:tcW w:w="2122" w:type="pct"/>
            <w:shd w:val="clear" w:color="auto" w:fill="auto"/>
            <w:vAlign w:val="center"/>
          </w:tcPr>
          <w:p w14:paraId="5C7E0D4F"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Јавни приходи</w:t>
            </w:r>
          </w:p>
        </w:tc>
        <w:tc>
          <w:tcPr>
            <w:tcW w:w="605" w:type="pct"/>
            <w:tcBorders>
              <w:top w:val="single" w:sz="4" w:space="0" w:color="002060"/>
            </w:tcBorders>
            <w:shd w:val="clear" w:color="auto" w:fill="auto"/>
            <w:vAlign w:val="center"/>
          </w:tcPr>
          <w:p w14:paraId="6AD1820A"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39,4</w:t>
            </w:r>
          </w:p>
        </w:tc>
        <w:tc>
          <w:tcPr>
            <w:tcW w:w="605" w:type="pct"/>
            <w:tcBorders>
              <w:top w:val="single" w:sz="4" w:space="0" w:color="002060"/>
            </w:tcBorders>
            <w:shd w:val="clear" w:color="auto" w:fill="auto"/>
            <w:vAlign w:val="center"/>
          </w:tcPr>
          <w:p w14:paraId="02769A85"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40,8</w:t>
            </w:r>
          </w:p>
        </w:tc>
        <w:tc>
          <w:tcPr>
            <w:tcW w:w="556" w:type="pct"/>
            <w:tcBorders>
              <w:top w:val="single" w:sz="4" w:space="0" w:color="002060"/>
            </w:tcBorders>
            <w:shd w:val="clear" w:color="auto" w:fill="auto"/>
            <w:vAlign w:val="center"/>
          </w:tcPr>
          <w:p w14:paraId="1B128E8D"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41,3</w:t>
            </w:r>
          </w:p>
        </w:tc>
        <w:tc>
          <w:tcPr>
            <w:tcW w:w="556" w:type="pct"/>
            <w:tcBorders>
              <w:top w:val="single" w:sz="4" w:space="0" w:color="002060"/>
            </w:tcBorders>
            <w:shd w:val="clear" w:color="auto" w:fill="auto"/>
            <w:vAlign w:val="center"/>
          </w:tcPr>
          <w:p w14:paraId="31F36D79"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40,9</w:t>
            </w:r>
          </w:p>
        </w:tc>
        <w:tc>
          <w:tcPr>
            <w:tcW w:w="556" w:type="pct"/>
            <w:tcBorders>
              <w:top w:val="single" w:sz="4" w:space="0" w:color="002060"/>
            </w:tcBorders>
            <w:shd w:val="clear" w:color="auto" w:fill="auto"/>
            <w:vAlign w:val="center"/>
          </w:tcPr>
          <w:p w14:paraId="62BB98EA"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40,5</w:t>
            </w:r>
          </w:p>
        </w:tc>
      </w:tr>
      <w:tr w:rsidR="00473C3B" w:rsidRPr="00671E8F" w14:paraId="7670EE98"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094BBD09"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Јавни расходи</w:t>
            </w:r>
          </w:p>
        </w:tc>
        <w:tc>
          <w:tcPr>
            <w:tcW w:w="605" w:type="pct"/>
            <w:shd w:val="clear" w:color="auto" w:fill="auto"/>
            <w:vAlign w:val="center"/>
          </w:tcPr>
          <w:p w14:paraId="399FBEBD"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41,4</w:t>
            </w:r>
          </w:p>
        </w:tc>
        <w:tc>
          <w:tcPr>
            <w:tcW w:w="605" w:type="pct"/>
            <w:shd w:val="clear" w:color="auto" w:fill="auto"/>
            <w:vAlign w:val="center"/>
          </w:tcPr>
          <w:p w14:paraId="4065228A"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43,6</w:t>
            </w:r>
          </w:p>
        </w:tc>
        <w:tc>
          <w:tcPr>
            <w:tcW w:w="556" w:type="pct"/>
            <w:shd w:val="clear" w:color="auto" w:fill="auto"/>
            <w:vAlign w:val="center"/>
          </w:tcPr>
          <w:p w14:paraId="02EAE5B9"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44,3</w:t>
            </w:r>
          </w:p>
        </w:tc>
        <w:tc>
          <w:tcPr>
            <w:tcW w:w="556" w:type="pct"/>
            <w:shd w:val="clear" w:color="auto" w:fill="auto"/>
            <w:vAlign w:val="center"/>
          </w:tcPr>
          <w:p w14:paraId="087B98AB"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43,9</w:t>
            </w:r>
          </w:p>
        </w:tc>
        <w:tc>
          <w:tcPr>
            <w:tcW w:w="556" w:type="pct"/>
            <w:shd w:val="clear" w:color="auto" w:fill="auto"/>
            <w:vAlign w:val="center"/>
          </w:tcPr>
          <w:p w14:paraId="089C7CEB"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43,5</w:t>
            </w:r>
          </w:p>
        </w:tc>
      </w:tr>
      <w:tr w:rsidR="00473C3B" w:rsidRPr="00671E8F" w14:paraId="52362C52" w14:textId="77777777" w:rsidTr="00473C3B">
        <w:trPr>
          <w:trHeight w:val="253"/>
        </w:trPr>
        <w:tc>
          <w:tcPr>
            <w:tcW w:w="2122" w:type="pct"/>
            <w:shd w:val="clear" w:color="auto" w:fill="auto"/>
            <w:vAlign w:val="center"/>
          </w:tcPr>
          <w:p w14:paraId="657E26BE" w14:textId="77777777" w:rsidR="00473C3B" w:rsidRPr="00671E8F" w:rsidRDefault="00473C3B" w:rsidP="00473C3B">
            <w:pPr>
              <w:rPr>
                <w:rFonts w:asciiTheme="minorHAnsi" w:hAnsiTheme="minorHAnsi" w:cstheme="minorHAnsi"/>
                <w:color w:val="002060"/>
                <w:sz w:val="18"/>
                <w:szCs w:val="18"/>
              </w:rPr>
            </w:pPr>
          </w:p>
        </w:tc>
        <w:tc>
          <w:tcPr>
            <w:tcW w:w="605" w:type="pct"/>
            <w:shd w:val="clear" w:color="auto" w:fill="auto"/>
            <w:vAlign w:val="center"/>
          </w:tcPr>
          <w:p w14:paraId="33A14521" w14:textId="77777777" w:rsidR="00473C3B" w:rsidRPr="00671E8F" w:rsidRDefault="00473C3B" w:rsidP="00130B95">
            <w:pPr>
              <w:jc w:val="center"/>
              <w:rPr>
                <w:rFonts w:asciiTheme="minorHAnsi" w:hAnsiTheme="minorHAnsi" w:cstheme="minorHAnsi"/>
                <w:color w:val="002060"/>
                <w:sz w:val="18"/>
                <w:szCs w:val="18"/>
              </w:rPr>
            </w:pPr>
          </w:p>
        </w:tc>
        <w:tc>
          <w:tcPr>
            <w:tcW w:w="605" w:type="pct"/>
            <w:shd w:val="clear" w:color="auto" w:fill="auto"/>
            <w:vAlign w:val="center"/>
          </w:tcPr>
          <w:p w14:paraId="4CE5D15D" w14:textId="77777777" w:rsidR="00473C3B" w:rsidRPr="00671E8F" w:rsidRDefault="00473C3B" w:rsidP="00130B95">
            <w:pPr>
              <w:jc w:val="center"/>
              <w:rPr>
                <w:rFonts w:asciiTheme="minorHAnsi" w:hAnsiTheme="minorHAnsi" w:cstheme="minorHAnsi"/>
                <w:sz w:val="18"/>
                <w:szCs w:val="18"/>
              </w:rPr>
            </w:pPr>
          </w:p>
        </w:tc>
        <w:tc>
          <w:tcPr>
            <w:tcW w:w="556" w:type="pct"/>
            <w:shd w:val="clear" w:color="auto" w:fill="auto"/>
            <w:vAlign w:val="center"/>
          </w:tcPr>
          <w:p w14:paraId="279DB67A" w14:textId="77777777" w:rsidR="00473C3B" w:rsidRPr="00671E8F" w:rsidRDefault="00473C3B" w:rsidP="00130B95">
            <w:pPr>
              <w:jc w:val="center"/>
              <w:rPr>
                <w:rFonts w:asciiTheme="minorHAnsi" w:hAnsiTheme="minorHAnsi" w:cstheme="minorHAnsi"/>
                <w:color w:val="1F3864" w:themeColor="accent1" w:themeShade="80"/>
                <w:sz w:val="18"/>
                <w:szCs w:val="18"/>
              </w:rPr>
            </w:pPr>
          </w:p>
        </w:tc>
        <w:tc>
          <w:tcPr>
            <w:tcW w:w="556" w:type="pct"/>
            <w:shd w:val="clear" w:color="auto" w:fill="auto"/>
            <w:vAlign w:val="center"/>
          </w:tcPr>
          <w:p w14:paraId="686E2A0E" w14:textId="77777777" w:rsidR="00473C3B" w:rsidRPr="00671E8F" w:rsidRDefault="00473C3B" w:rsidP="00130B95">
            <w:pPr>
              <w:jc w:val="center"/>
              <w:rPr>
                <w:rFonts w:asciiTheme="minorHAnsi" w:hAnsiTheme="minorHAnsi" w:cstheme="minorHAnsi"/>
                <w:color w:val="1F3864" w:themeColor="accent1" w:themeShade="80"/>
                <w:sz w:val="18"/>
                <w:szCs w:val="18"/>
              </w:rPr>
            </w:pPr>
          </w:p>
        </w:tc>
        <w:tc>
          <w:tcPr>
            <w:tcW w:w="556" w:type="pct"/>
            <w:shd w:val="clear" w:color="auto" w:fill="auto"/>
            <w:vAlign w:val="center"/>
          </w:tcPr>
          <w:p w14:paraId="65503CB7" w14:textId="77777777" w:rsidR="00473C3B" w:rsidRPr="00671E8F" w:rsidRDefault="00473C3B" w:rsidP="00130B95">
            <w:pPr>
              <w:jc w:val="center"/>
              <w:rPr>
                <w:rFonts w:asciiTheme="minorHAnsi" w:hAnsiTheme="minorHAnsi" w:cstheme="minorHAnsi"/>
                <w:color w:val="1F3864" w:themeColor="accent1" w:themeShade="80"/>
                <w:sz w:val="18"/>
                <w:szCs w:val="18"/>
              </w:rPr>
            </w:pPr>
          </w:p>
        </w:tc>
      </w:tr>
      <w:tr w:rsidR="00473C3B" w:rsidRPr="00671E8F" w14:paraId="0329D1EA"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034F1897"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Консолидовани фискални резултат</w:t>
            </w:r>
          </w:p>
        </w:tc>
        <w:tc>
          <w:tcPr>
            <w:tcW w:w="605" w:type="pct"/>
            <w:shd w:val="clear" w:color="auto" w:fill="auto"/>
            <w:vAlign w:val="center"/>
          </w:tcPr>
          <w:p w14:paraId="0C6F0152"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-2,1</w:t>
            </w:r>
          </w:p>
        </w:tc>
        <w:tc>
          <w:tcPr>
            <w:tcW w:w="605" w:type="pct"/>
            <w:shd w:val="clear" w:color="auto" w:fill="auto"/>
            <w:vAlign w:val="center"/>
          </w:tcPr>
          <w:p w14:paraId="19925D91"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-2,7</w:t>
            </w:r>
          </w:p>
        </w:tc>
        <w:tc>
          <w:tcPr>
            <w:tcW w:w="556" w:type="pct"/>
            <w:shd w:val="clear" w:color="auto" w:fill="auto"/>
            <w:vAlign w:val="center"/>
          </w:tcPr>
          <w:p w14:paraId="1F1C45AE"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-3,0</w:t>
            </w:r>
          </w:p>
        </w:tc>
        <w:tc>
          <w:tcPr>
            <w:tcW w:w="556" w:type="pct"/>
            <w:shd w:val="clear" w:color="auto" w:fill="auto"/>
            <w:vAlign w:val="center"/>
          </w:tcPr>
          <w:p w14:paraId="1AA9EFC7"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-3,0</w:t>
            </w:r>
          </w:p>
        </w:tc>
        <w:tc>
          <w:tcPr>
            <w:tcW w:w="556" w:type="pct"/>
            <w:shd w:val="clear" w:color="auto" w:fill="auto"/>
            <w:vAlign w:val="center"/>
          </w:tcPr>
          <w:p w14:paraId="04607309"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-3,0</w:t>
            </w:r>
          </w:p>
        </w:tc>
      </w:tr>
      <w:tr w:rsidR="00473C3B" w:rsidRPr="00671E8F" w14:paraId="02692294" w14:textId="77777777" w:rsidTr="00473C3B">
        <w:trPr>
          <w:trHeight w:val="253"/>
        </w:trPr>
        <w:tc>
          <w:tcPr>
            <w:tcW w:w="2122" w:type="pct"/>
            <w:shd w:val="clear" w:color="auto" w:fill="auto"/>
            <w:vAlign w:val="center"/>
          </w:tcPr>
          <w:p w14:paraId="7666AB39"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Примарни консолидовани резултат</w:t>
            </w:r>
          </w:p>
        </w:tc>
        <w:tc>
          <w:tcPr>
            <w:tcW w:w="605" w:type="pct"/>
            <w:shd w:val="clear" w:color="auto" w:fill="auto"/>
            <w:vAlign w:val="center"/>
          </w:tcPr>
          <w:p w14:paraId="5BC3AE85"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-0,5</w:t>
            </w:r>
          </w:p>
        </w:tc>
        <w:tc>
          <w:tcPr>
            <w:tcW w:w="605" w:type="pct"/>
            <w:shd w:val="clear" w:color="auto" w:fill="auto"/>
            <w:vAlign w:val="center"/>
          </w:tcPr>
          <w:p w14:paraId="7D0B0066"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-0,9</w:t>
            </w:r>
          </w:p>
        </w:tc>
        <w:tc>
          <w:tcPr>
            <w:tcW w:w="556" w:type="pct"/>
            <w:shd w:val="clear" w:color="auto" w:fill="auto"/>
            <w:vAlign w:val="center"/>
          </w:tcPr>
          <w:p w14:paraId="2A1B5253"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-1,0</w:t>
            </w:r>
          </w:p>
        </w:tc>
        <w:tc>
          <w:tcPr>
            <w:tcW w:w="556" w:type="pct"/>
            <w:shd w:val="clear" w:color="auto" w:fill="auto"/>
            <w:vAlign w:val="center"/>
          </w:tcPr>
          <w:p w14:paraId="75320AFF"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-1,0</w:t>
            </w:r>
          </w:p>
        </w:tc>
        <w:tc>
          <w:tcPr>
            <w:tcW w:w="556" w:type="pct"/>
            <w:shd w:val="clear" w:color="auto" w:fill="auto"/>
            <w:vAlign w:val="center"/>
          </w:tcPr>
          <w:p w14:paraId="1BDCD878"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-1,1</w:t>
            </w:r>
          </w:p>
        </w:tc>
      </w:tr>
      <w:tr w:rsidR="00473C3B" w:rsidRPr="00671E8F" w14:paraId="45D78EA6"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166036F9" w14:textId="77777777" w:rsidR="00473C3B" w:rsidRPr="00671E8F" w:rsidRDefault="00473C3B" w:rsidP="00473C3B">
            <w:pPr>
              <w:rPr>
                <w:rFonts w:asciiTheme="minorHAnsi" w:hAnsiTheme="minorHAnsi" w:cstheme="minorHAnsi"/>
                <w:color w:val="002060"/>
                <w:sz w:val="18"/>
                <w:szCs w:val="18"/>
              </w:rPr>
            </w:pPr>
          </w:p>
        </w:tc>
        <w:tc>
          <w:tcPr>
            <w:tcW w:w="605" w:type="pct"/>
            <w:shd w:val="clear" w:color="auto" w:fill="auto"/>
            <w:vAlign w:val="center"/>
          </w:tcPr>
          <w:p w14:paraId="0429B293" w14:textId="77777777" w:rsidR="00473C3B" w:rsidRPr="00671E8F" w:rsidRDefault="00473C3B" w:rsidP="00130B95">
            <w:pPr>
              <w:jc w:val="center"/>
              <w:rPr>
                <w:rFonts w:asciiTheme="minorHAnsi" w:hAnsiTheme="minorHAnsi" w:cstheme="minorHAnsi"/>
                <w:color w:val="002060"/>
                <w:sz w:val="18"/>
                <w:szCs w:val="18"/>
              </w:rPr>
            </w:pPr>
          </w:p>
        </w:tc>
        <w:tc>
          <w:tcPr>
            <w:tcW w:w="605" w:type="pct"/>
            <w:shd w:val="clear" w:color="auto" w:fill="auto"/>
            <w:vAlign w:val="center"/>
          </w:tcPr>
          <w:p w14:paraId="4EB459CA" w14:textId="77777777" w:rsidR="00473C3B" w:rsidRPr="00671E8F" w:rsidRDefault="00473C3B" w:rsidP="00130B95">
            <w:pPr>
              <w:jc w:val="center"/>
              <w:rPr>
                <w:rFonts w:asciiTheme="minorHAnsi" w:hAnsiTheme="minorHAnsi" w:cstheme="minorHAnsi"/>
                <w:color w:val="002060"/>
                <w:sz w:val="18"/>
                <w:szCs w:val="18"/>
              </w:rPr>
            </w:pPr>
          </w:p>
        </w:tc>
        <w:tc>
          <w:tcPr>
            <w:tcW w:w="556" w:type="pct"/>
            <w:shd w:val="clear" w:color="auto" w:fill="auto"/>
            <w:vAlign w:val="center"/>
          </w:tcPr>
          <w:p w14:paraId="77E5708C" w14:textId="77777777" w:rsidR="00473C3B" w:rsidRPr="00671E8F" w:rsidRDefault="00473C3B" w:rsidP="00130B95">
            <w:pPr>
              <w:jc w:val="center"/>
              <w:rPr>
                <w:rFonts w:asciiTheme="minorHAnsi" w:hAnsiTheme="minorHAnsi" w:cstheme="minorHAnsi"/>
                <w:color w:val="002060"/>
                <w:sz w:val="18"/>
                <w:szCs w:val="18"/>
              </w:rPr>
            </w:pPr>
          </w:p>
        </w:tc>
        <w:tc>
          <w:tcPr>
            <w:tcW w:w="556" w:type="pct"/>
            <w:shd w:val="clear" w:color="auto" w:fill="auto"/>
            <w:vAlign w:val="center"/>
          </w:tcPr>
          <w:p w14:paraId="381BA6B7" w14:textId="77777777" w:rsidR="00473C3B" w:rsidRPr="00671E8F" w:rsidRDefault="00473C3B" w:rsidP="00130B95">
            <w:pPr>
              <w:jc w:val="center"/>
              <w:rPr>
                <w:rFonts w:asciiTheme="minorHAnsi" w:hAnsiTheme="minorHAnsi" w:cstheme="minorHAnsi"/>
                <w:color w:val="002060"/>
                <w:sz w:val="18"/>
                <w:szCs w:val="18"/>
              </w:rPr>
            </w:pPr>
          </w:p>
        </w:tc>
        <w:tc>
          <w:tcPr>
            <w:tcW w:w="556" w:type="pct"/>
            <w:shd w:val="clear" w:color="auto" w:fill="auto"/>
            <w:vAlign w:val="center"/>
          </w:tcPr>
          <w:p w14:paraId="17D79E10" w14:textId="77777777" w:rsidR="00473C3B" w:rsidRPr="00671E8F" w:rsidRDefault="00473C3B" w:rsidP="00130B95">
            <w:pPr>
              <w:jc w:val="center"/>
              <w:rPr>
                <w:rFonts w:asciiTheme="minorHAnsi" w:hAnsiTheme="minorHAnsi" w:cstheme="minorHAnsi"/>
                <w:color w:val="002060"/>
                <w:sz w:val="18"/>
                <w:szCs w:val="18"/>
              </w:rPr>
            </w:pPr>
          </w:p>
        </w:tc>
      </w:tr>
      <w:tr w:rsidR="00473C3B" w:rsidRPr="00671E8F" w14:paraId="4000ECBA" w14:textId="77777777" w:rsidTr="00473C3B">
        <w:trPr>
          <w:trHeight w:val="253"/>
        </w:trPr>
        <w:tc>
          <w:tcPr>
            <w:tcW w:w="2122" w:type="pct"/>
            <w:shd w:val="clear" w:color="auto" w:fill="auto"/>
            <w:vAlign w:val="center"/>
          </w:tcPr>
          <w:p w14:paraId="7988510A"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Дуг сектора државе</w:t>
            </w:r>
          </w:p>
        </w:tc>
        <w:tc>
          <w:tcPr>
            <w:tcW w:w="605" w:type="pct"/>
            <w:shd w:val="clear" w:color="auto" w:fill="auto"/>
            <w:vAlign w:val="center"/>
          </w:tcPr>
          <w:p w14:paraId="7D99EB8F"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48,4</w:t>
            </w:r>
          </w:p>
        </w:tc>
        <w:tc>
          <w:tcPr>
            <w:tcW w:w="605" w:type="pct"/>
            <w:shd w:val="clear" w:color="auto" w:fill="auto"/>
            <w:vAlign w:val="center"/>
          </w:tcPr>
          <w:p w14:paraId="14EEC1C4"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47,9</w:t>
            </w:r>
          </w:p>
        </w:tc>
        <w:tc>
          <w:tcPr>
            <w:tcW w:w="556" w:type="pct"/>
            <w:shd w:val="clear" w:color="auto" w:fill="auto"/>
            <w:vAlign w:val="center"/>
          </w:tcPr>
          <w:p w14:paraId="268C3693"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47,5</w:t>
            </w:r>
          </w:p>
        </w:tc>
        <w:tc>
          <w:tcPr>
            <w:tcW w:w="556" w:type="pct"/>
            <w:shd w:val="clear" w:color="auto" w:fill="auto"/>
            <w:vAlign w:val="center"/>
          </w:tcPr>
          <w:p w14:paraId="6C166BFC"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47,0</w:t>
            </w:r>
          </w:p>
        </w:tc>
        <w:tc>
          <w:tcPr>
            <w:tcW w:w="556" w:type="pct"/>
            <w:shd w:val="clear" w:color="auto" w:fill="auto"/>
            <w:vAlign w:val="center"/>
          </w:tcPr>
          <w:p w14:paraId="3339806F" w14:textId="77777777" w:rsidR="00473C3B" w:rsidRPr="00671E8F" w:rsidRDefault="00473C3B" w:rsidP="00130B95">
            <w:pPr>
              <w:jc w:val="center"/>
              <w:rPr>
                <w:rFonts w:asciiTheme="minorHAnsi" w:hAnsiTheme="minorHAnsi" w:cstheme="minorHAnsi"/>
                <w:color w:val="1F3864" w:themeColor="accent1" w:themeShade="80"/>
                <w:sz w:val="18"/>
                <w:szCs w:val="18"/>
              </w:rPr>
            </w:pPr>
            <w:r w:rsidRPr="00671E8F">
              <w:rPr>
                <w:rFonts w:asciiTheme="minorHAnsi" w:hAnsiTheme="minorHAnsi" w:cstheme="minorHAnsi"/>
                <w:color w:val="1F3864" w:themeColor="accent1" w:themeShade="80"/>
                <w:sz w:val="18"/>
                <w:szCs w:val="18"/>
              </w:rPr>
              <w:t>46,5</w:t>
            </w:r>
          </w:p>
        </w:tc>
      </w:tr>
      <w:tr w:rsidR="00473C3B" w:rsidRPr="00671E8F" w14:paraId="5A4BFC5B"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122" w:type="pct"/>
            <w:tcBorders>
              <w:bottom w:val="single" w:sz="4" w:space="0" w:color="002060"/>
            </w:tcBorders>
            <w:shd w:val="clear" w:color="auto" w:fill="auto"/>
            <w:vAlign w:val="center"/>
          </w:tcPr>
          <w:p w14:paraId="7E868391" w14:textId="77777777" w:rsidR="00473C3B" w:rsidRPr="00671E8F" w:rsidRDefault="00473C3B" w:rsidP="00473C3B">
            <w:pPr>
              <w:rPr>
                <w:rFonts w:asciiTheme="minorHAnsi" w:hAnsiTheme="minorHAnsi" w:cstheme="minorHAnsi"/>
                <w:color w:val="002060"/>
                <w:sz w:val="18"/>
                <w:szCs w:val="18"/>
              </w:rPr>
            </w:pPr>
            <w:r w:rsidRPr="00671E8F">
              <w:rPr>
                <w:rFonts w:asciiTheme="minorHAnsi" w:hAnsiTheme="minorHAnsi" w:cstheme="minorHAnsi"/>
                <w:color w:val="002060"/>
                <w:sz w:val="18"/>
                <w:szCs w:val="18"/>
              </w:rPr>
              <w:t>Реална стопа раста БДП</w:t>
            </w:r>
          </w:p>
        </w:tc>
        <w:tc>
          <w:tcPr>
            <w:tcW w:w="605" w:type="pct"/>
            <w:tcBorders>
              <w:bottom w:val="single" w:sz="4" w:space="0" w:color="002060"/>
            </w:tcBorders>
            <w:shd w:val="clear" w:color="auto" w:fill="auto"/>
            <w:vAlign w:val="center"/>
          </w:tcPr>
          <w:p w14:paraId="09725661"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3,8%</w:t>
            </w:r>
          </w:p>
        </w:tc>
        <w:tc>
          <w:tcPr>
            <w:tcW w:w="605" w:type="pct"/>
            <w:tcBorders>
              <w:bottom w:val="single" w:sz="4" w:space="0" w:color="002060"/>
            </w:tcBorders>
            <w:shd w:val="clear" w:color="auto" w:fill="auto"/>
            <w:vAlign w:val="center"/>
          </w:tcPr>
          <w:p w14:paraId="02686EBB"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3,8%</w:t>
            </w:r>
          </w:p>
        </w:tc>
        <w:tc>
          <w:tcPr>
            <w:tcW w:w="556" w:type="pct"/>
            <w:tcBorders>
              <w:bottom w:val="single" w:sz="4" w:space="0" w:color="002060"/>
            </w:tcBorders>
            <w:shd w:val="clear" w:color="auto" w:fill="auto"/>
            <w:vAlign w:val="center"/>
          </w:tcPr>
          <w:p w14:paraId="7B6CA4D7"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556" w:type="pct"/>
            <w:tcBorders>
              <w:bottom w:val="single" w:sz="4" w:space="0" w:color="002060"/>
            </w:tcBorders>
            <w:shd w:val="clear" w:color="auto" w:fill="auto"/>
            <w:vAlign w:val="center"/>
          </w:tcPr>
          <w:p w14:paraId="11FCD30F"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4,0%</w:t>
            </w:r>
          </w:p>
        </w:tc>
        <w:tc>
          <w:tcPr>
            <w:tcW w:w="556" w:type="pct"/>
            <w:tcBorders>
              <w:bottom w:val="single" w:sz="4" w:space="0" w:color="002060"/>
            </w:tcBorders>
            <w:shd w:val="clear" w:color="auto" w:fill="auto"/>
            <w:vAlign w:val="center"/>
          </w:tcPr>
          <w:p w14:paraId="2B398FBC" w14:textId="77777777" w:rsidR="00473C3B" w:rsidRPr="00671E8F" w:rsidRDefault="00473C3B" w:rsidP="00130B95">
            <w:pPr>
              <w:jc w:val="center"/>
              <w:rPr>
                <w:rFonts w:asciiTheme="minorHAnsi" w:hAnsiTheme="minorHAnsi" w:cstheme="minorHAnsi"/>
                <w:color w:val="002060"/>
                <w:sz w:val="18"/>
                <w:szCs w:val="18"/>
              </w:rPr>
            </w:pPr>
            <w:r w:rsidRPr="00671E8F">
              <w:rPr>
                <w:rFonts w:asciiTheme="minorHAnsi" w:hAnsiTheme="minorHAnsi" w:cstheme="minorHAnsi"/>
                <w:color w:val="002060"/>
                <w:sz w:val="18"/>
                <w:szCs w:val="18"/>
              </w:rPr>
              <w:t>5,0%</w:t>
            </w:r>
          </w:p>
        </w:tc>
      </w:tr>
    </w:tbl>
    <w:p w14:paraId="301D1FD4" w14:textId="77777777" w:rsidR="00473C3B" w:rsidRPr="00671E8F" w:rsidRDefault="00473C3B" w:rsidP="00473C3B">
      <w:pPr>
        <w:spacing w:before="40" w:after="240" w:line="276" w:lineRule="auto"/>
        <w:rPr>
          <w:rFonts w:cstheme="minorHAnsi"/>
          <w:sz w:val="16"/>
          <w:szCs w:val="20"/>
        </w:rPr>
      </w:pPr>
      <w:r w:rsidRPr="00671E8F">
        <w:rPr>
          <w:rFonts w:eastAsia="Calibri" w:cstheme="minorHAnsi"/>
          <w:bCs/>
          <w:sz w:val="16"/>
          <w:szCs w:val="20"/>
          <w:lang w:eastAsia="ja-JP"/>
        </w:rPr>
        <w:t xml:space="preserve">Извор: </w:t>
      </w:r>
      <w:r w:rsidRPr="00671E8F">
        <w:rPr>
          <w:rFonts w:cstheme="minorHAnsi"/>
          <w:sz w:val="16"/>
          <w:szCs w:val="20"/>
        </w:rPr>
        <w:t>Министарство финансија</w:t>
      </w:r>
    </w:p>
    <w:p w14:paraId="685AC9A7" w14:textId="77777777" w:rsidR="00473C3B" w:rsidRPr="00671E8F" w:rsidRDefault="00473C3B" w:rsidP="00473C3B">
      <w:pPr>
        <w:spacing w:before="40" w:after="240" w:line="276" w:lineRule="auto"/>
        <w:rPr>
          <w:rFonts w:eastAsia="MS PGothic" w:cstheme="minorHAnsi"/>
          <w:szCs w:val="20"/>
          <w:lang w:eastAsia="ja-JP"/>
        </w:rPr>
        <w:sectPr w:rsidR="00473C3B" w:rsidRPr="00671E8F" w:rsidSect="00F45C01">
          <w:type w:val="continuous"/>
          <w:pgSz w:w="12240" w:h="15840" w:code="1"/>
          <w:pgMar w:top="1440" w:right="1440" w:bottom="1440" w:left="1440" w:header="720" w:footer="720" w:gutter="0"/>
          <w:cols w:space="720"/>
          <w:docGrid w:linePitch="360"/>
        </w:sectPr>
      </w:pPr>
    </w:p>
    <w:p w14:paraId="047BF625" w14:textId="7CC8B6CC" w:rsidR="00473C3B" w:rsidRPr="00671E8F" w:rsidRDefault="00473C3B" w:rsidP="00B8419B">
      <w:pPr>
        <w:spacing w:after="120"/>
        <w:rPr>
          <w:rFonts w:cstheme="minorHAnsi"/>
          <w:b/>
          <w:color w:val="002060"/>
        </w:rPr>
      </w:pPr>
      <w:r w:rsidRPr="00671E8F">
        <w:rPr>
          <w:rFonts w:eastAsia="MS PGothic" w:cstheme="minorHAnsi"/>
          <w:szCs w:val="20"/>
          <w:lang w:eastAsia="ja-JP"/>
        </w:rPr>
        <w:t>Циљеви фискалне политике у наредном средњорочном периоду биће обезбеђење стабилне позиције јавних финансија и опадајућа путања јавног дуга. Смањење</w:t>
      </w:r>
      <w:r w:rsidRPr="00671E8F">
        <w:rPr>
          <w:rFonts w:cstheme="minorHAnsi"/>
        </w:rPr>
        <w:t xml:space="preserve"> учешћа дуга је уско везано за динамику планираног дефицита као главног фактора задуживања. Растући трошкови задуживања на међународном финансијском тржишту такође захтевају опрез при вођењу фискалне политике.</w:t>
      </w:r>
    </w:p>
    <w:p w14:paraId="3493B443" w14:textId="77777777" w:rsidR="00B8419B" w:rsidRPr="00671E8F" w:rsidRDefault="00B8419B" w:rsidP="00473C3B">
      <w:pPr>
        <w:spacing w:after="0"/>
        <w:jc w:val="center"/>
        <w:rPr>
          <w:rFonts w:cstheme="minorHAnsi"/>
          <w:b/>
          <w:color w:val="002060"/>
        </w:rPr>
      </w:pPr>
    </w:p>
    <w:p w14:paraId="32197FCA" w14:textId="77777777" w:rsidR="00B8419B" w:rsidRPr="00671E8F" w:rsidRDefault="00B8419B" w:rsidP="00473C3B">
      <w:pPr>
        <w:spacing w:after="0"/>
        <w:jc w:val="center"/>
        <w:rPr>
          <w:rFonts w:cstheme="minorHAnsi"/>
          <w:b/>
          <w:color w:val="002060"/>
        </w:rPr>
      </w:pPr>
    </w:p>
    <w:p w14:paraId="782A46D3" w14:textId="77777777" w:rsidR="00B8419B" w:rsidRPr="00671E8F" w:rsidRDefault="00B8419B" w:rsidP="00473C3B">
      <w:pPr>
        <w:spacing w:after="0"/>
        <w:jc w:val="center"/>
        <w:rPr>
          <w:rFonts w:cstheme="minorHAnsi"/>
          <w:b/>
          <w:color w:val="002060"/>
        </w:rPr>
      </w:pPr>
    </w:p>
    <w:p w14:paraId="2995DE11" w14:textId="77777777" w:rsidR="00B8419B" w:rsidRPr="00671E8F" w:rsidRDefault="00B8419B" w:rsidP="00473C3B">
      <w:pPr>
        <w:spacing w:after="0"/>
        <w:jc w:val="center"/>
        <w:rPr>
          <w:rFonts w:cstheme="minorHAnsi"/>
          <w:b/>
          <w:color w:val="002060"/>
        </w:rPr>
      </w:pPr>
    </w:p>
    <w:p w14:paraId="435216CB" w14:textId="77777777" w:rsidR="00B8419B" w:rsidRPr="00671E8F" w:rsidRDefault="00B8419B" w:rsidP="00473C3B">
      <w:pPr>
        <w:spacing w:after="0"/>
        <w:jc w:val="center"/>
        <w:rPr>
          <w:rFonts w:cstheme="minorHAnsi"/>
          <w:b/>
          <w:color w:val="002060"/>
        </w:rPr>
      </w:pPr>
    </w:p>
    <w:p w14:paraId="3DEA38EA" w14:textId="77777777" w:rsidR="00B8419B" w:rsidRPr="00671E8F" w:rsidRDefault="00B8419B" w:rsidP="00473C3B">
      <w:pPr>
        <w:spacing w:after="0"/>
        <w:jc w:val="center"/>
        <w:rPr>
          <w:rFonts w:cstheme="minorHAnsi"/>
          <w:b/>
          <w:color w:val="002060"/>
        </w:rPr>
      </w:pPr>
    </w:p>
    <w:p w14:paraId="67EC836F" w14:textId="77777777" w:rsidR="00B8419B" w:rsidRPr="00671E8F" w:rsidRDefault="00B8419B" w:rsidP="00473C3B">
      <w:pPr>
        <w:spacing w:after="0"/>
        <w:jc w:val="center"/>
        <w:rPr>
          <w:rFonts w:cstheme="minorHAnsi"/>
          <w:b/>
          <w:color w:val="002060"/>
        </w:rPr>
      </w:pPr>
    </w:p>
    <w:p w14:paraId="1B15EB88" w14:textId="77777777" w:rsidR="00B8419B" w:rsidRPr="00671E8F" w:rsidRDefault="00B8419B" w:rsidP="00473C3B">
      <w:pPr>
        <w:spacing w:after="0"/>
        <w:jc w:val="center"/>
        <w:rPr>
          <w:rFonts w:cstheme="minorHAnsi"/>
          <w:b/>
          <w:color w:val="002060"/>
        </w:rPr>
      </w:pPr>
    </w:p>
    <w:p w14:paraId="0BFFFC7D" w14:textId="77777777" w:rsidR="00B8419B" w:rsidRPr="00671E8F" w:rsidRDefault="00B8419B" w:rsidP="00473C3B">
      <w:pPr>
        <w:spacing w:after="0"/>
        <w:jc w:val="center"/>
        <w:rPr>
          <w:rFonts w:cstheme="minorHAnsi"/>
          <w:b/>
          <w:color w:val="002060"/>
        </w:rPr>
      </w:pPr>
    </w:p>
    <w:p w14:paraId="229E8B89" w14:textId="3A19D4A8" w:rsidR="00473C3B" w:rsidRPr="00671E8F" w:rsidRDefault="00473C3B" w:rsidP="00473C3B">
      <w:pPr>
        <w:spacing w:after="0"/>
        <w:jc w:val="center"/>
        <w:rPr>
          <w:rFonts w:cstheme="minorHAnsi"/>
          <w:b/>
          <w:color w:val="002060"/>
        </w:rPr>
      </w:pPr>
      <w:r w:rsidRPr="00671E8F">
        <w:rPr>
          <w:rFonts w:cstheme="minorHAnsi"/>
          <w:b/>
          <w:color w:val="002060"/>
        </w:rPr>
        <w:t>Фискални резултат и дуг сектора државе, % БДП</w:t>
      </w:r>
    </w:p>
    <w:p w14:paraId="375BD30C" w14:textId="77777777" w:rsidR="00473C3B" w:rsidRPr="00671E8F" w:rsidRDefault="00473C3B" w:rsidP="00473C3B">
      <w:pPr>
        <w:spacing w:after="120"/>
        <w:jc w:val="right"/>
      </w:pPr>
      <w:r w:rsidRPr="00671E8F">
        <w:rPr>
          <w:noProof/>
          <w:lang w:val="en-US"/>
        </w:rPr>
        <w:drawing>
          <wp:inline distT="0" distB="0" distL="0" distR="0" wp14:anchorId="48B060F9" wp14:editId="7A4275BE">
            <wp:extent cx="2592125" cy="1693628"/>
            <wp:effectExtent l="0" t="0" r="0" b="1905"/>
            <wp:docPr id="332543245" name="Chart 3325432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p w14:paraId="44CD451B" w14:textId="77777777" w:rsidR="00B8419B" w:rsidRPr="00671E8F" w:rsidRDefault="00B8419B" w:rsidP="00473C3B">
      <w:pPr>
        <w:rPr>
          <w:rFonts w:eastAsia="MS PGothic" w:cstheme="minorHAnsi"/>
          <w:spacing w:val="-2"/>
          <w:szCs w:val="20"/>
          <w:lang w:eastAsia="ja-JP"/>
        </w:rPr>
      </w:pPr>
    </w:p>
    <w:p w14:paraId="00F4FED4" w14:textId="77777777" w:rsidR="00B8419B" w:rsidRPr="00671E8F" w:rsidRDefault="00B8419B" w:rsidP="00473C3B">
      <w:pPr>
        <w:rPr>
          <w:rFonts w:eastAsia="MS PGothic" w:cstheme="minorHAnsi"/>
          <w:spacing w:val="-2"/>
          <w:szCs w:val="20"/>
          <w:lang w:eastAsia="ja-JP"/>
        </w:rPr>
      </w:pPr>
    </w:p>
    <w:p w14:paraId="56BEBE32" w14:textId="77777777" w:rsidR="00B8419B" w:rsidRPr="00671E8F" w:rsidRDefault="00B8419B" w:rsidP="00473C3B">
      <w:pPr>
        <w:rPr>
          <w:rFonts w:eastAsia="MS PGothic" w:cstheme="minorHAnsi"/>
          <w:spacing w:val="-2"/>
          <w:szCs w:val="20"/>
          <w:lang w:eastAsia="ja-JP"/>
        </w:rPr>
      </w:pPr>
    </w:p>
    <w:p w14:paraId="0486DDD7" w14:textId="77777777" w:rsidR="00B8419B" w:rsidRPr="00671E8F" w:rsidRDefault="00B8419B" w:rsidP="00473C3B">
      <w:pPr>
        <w:rPr>
          <w:rFonts w:eastAsia="MS PGothic" w:cstheme="minorHAnsi"/>
          <w:spacing w:val="-2"/>
          <w:szCs w:val="20"/>
          <w:lang w:eastAsia="ja-JP"/>
        </w:rPr>
      </w:pPr>
    </w:p>
    <w:p w14:paraId="58BC49C0" w14:textId="1374D7C8" w:rsidR="00473C3B" w:rsidRPr="00671E8F" w:rsidRDefault="00473C3B" w:rsidP="00473C3B">
      <w:pPr>
        <w:rPr>
          <w:rFonts w:eastAsia="MS PGothic" w:cstheme="minorHAnsi"/>
          <w:spacing w:val="-2"/>
          <w:szCs w:val="20"/>
          <w:lang w:eastAsia="ja-JP"/>
        </w:rPr>
      </w:pPr>
      <w:r w:rsidRPr="00671E8F">
        <w:rPr>
          <w:rFonts w:eastAsia="MS PGothic" w:cstheme="minorHAnsi"/>
          <w:spacing w:val="-2"/>
          <w:szCs w:val="20"/>
          <w:lang w:eastAsia="ja-JP"/>
        </w:rPr>
        <w:lastRenderedPageBreak/>
        <w:t>Експанзивна фискална политика током 2020. и 2021. године умањила је негативне економске последице пандемије. У 2022. години фокус је пребачен на заштиту привреде и становништва од енергетске кризе, док је у 2023. години фискална политика враћена у релативно стабилне оквире. Као подршка бржем привредном расту, почетком 2024. године започете су активности на реализацији развојног плана „Скок у будућност”. У наредном периоду, фискални импулс ће бити усмерен на повећање јавних инвестиција са фокусом на оне приоритетне и продуктивне, а реформом управљања јавним инвестицијама ће се додатно подржати висок квалитет инвестиционих улагања.</w:t>
      </w:r>
    </w:p>
    <w:p w14:paraId="4A663526" w14:textId="77777777" w:rsidR="00473C3B" w:rsidRPr="00671E8F" w:rsidRDefault="00473C3B" w:rsidP="00473C3B">
      <w:pPr>
        <w:rPr>
          <w:rFonts w:eastAsia="Times New Roman" w:cstheme="minorHAnsi"/>
          <w:b/>
          <w:bCs/>
          <w:spacing w:val="-2"/>
          <w:szCs w:val="20"/>
          <w:lang w:eastAsia="ja-JP"/>
        </w:rPr>
      </w:pPr>
      <w:r w:rsidRPr="00671E8F">
        <w:rPr>
          <w:rFonts w:eastAsia="Calibri" w:cstheme="minorHAnsi"/>
          <w:spacing w:val="-2"/>
          <w:szCs w:val="20"/>
          <w:lang w:eastAsia="ja-JP"/>
        </w:rPr>
        <w:t>На приходној страни приоритет ће остати даље смањење пореског оптерећења зарада и наставак борбе против пореске евазије и сиве економије.</w:t>
      </w:r>
    </w:p>
    <w:p w14:paraId="4E11C9F2" w14:textId="77777777" w:rsidR="00473C3B" w:rsidRPr="00671E8F" w:rsidRDefault="00473C3B" w:rsidP="00473C3B">
      <w:pPr>
        <w:keepNext/>
        <w:spacing w:after="120"/>
        <w:rPr>
          <w:rFonts w:eastAsia="MS PGothic" w:cstheme="minorHAnsi"/>
          <w:szCs w:val="20"/>
          <w:lang w:eastAsia="ja-JP"/>
        </w:rPr>
      </w:pPr>
      <w:r w:rsidRPr="00671E8F">
        <w:rPr>
          <w:rFonts w:eastAsia="MS PGothic" w:cstheme="minorHAnsi"/>
          <w:szCs w:val="20"/>
          <w:lang w:eastAsia="ja-JP"/>
        </w:rPr>
        <w:t>Пројекција прихода у периоду од 2025. до 2027. године израђена је на основу:</w:t>
      </w:r>
    </w:p>
    <w:p w14:paraId="1B7D2C46" w14:textId="77777777" w:rsidR="00473C3B" w:rsidRPr="00671E8F" w:rsidRDefault="00473C3B" w:rsidP="00473C3B">
      <w:pPr>
        <w:numPr>
          <w:ilvl w:val="0"/>
          <w:numId w:val="1"/>
        </w:numPr>
        <w:spacing w:after="120"/>
        <w:ind w:left="181" w:hanging="181"/>
        <w:contextualSpacing/>
        <w:rPr>
          <w:rFonts w:eastAsia="Calibri" w:cstheme="minorHAnsi"/>
        </w:rPr>
      </w:pPr>
      <w:r w:rsidRPr="00671E8F">
        <w:rPr>
          <w:rFonts w:eastAsia="Calibri" w:cstheme="minorHAnsi"/>
        </w:rPr>
        <w:t>пројекције кретања најважнијих макроекономских показатеља: БДП и његових компоненти, инфлације, девизног курса, спољнотрговинске размене, запослености и зарада;</w:t>
      </w:r>
    </w:p>
    <w:p w14:paraId="2C18275D" w14:textId="77777777" w:rsidR="00473C3B" w:rsidRPr="00671E8F" w:rsidRDefault="00473C3B" w:rsidP="00473C3B">
      <w:pPr>
        <w:numPr>
          <w:ilvl w:val="0"/>
          <w:numId w:val="1"/>
        </w:numPr>
        <w:spacing w:after="120"/>
        <w:ind w:left="181" w:hanging="181"/>
        <w:contextualSpacing/>
        <w:rPr>
          <w:rFonts w:eastAsia="Calibri" w:cstheme="minorHAnsi"/>
        </w:rPr>
      </w:pPr>
      <w:r w:rsidRPr="00671E8F">
        <w:rPr>
          <w:rFonts w:eastAsia="Calibri" w:cstheme="minorHAnsi"/>
        </w:rPr>
        <w:t>важеће и планиране измене пореске политике;</w:t>
      </w:r>
    </w:p>
    <w:p w14:paraId="35AADB86" w14:textId="77777777" w:rsidR="00473C3B" w:rsidRPr="00671E8F" w:rsidRDefault="00473C3B" w:rsidP="00473C3B">
      <w:pPr>
        <w:numPr>
          <w:ilvl w:val="0"/>
          <w:numId w:val="1"/>
        </w:numPr>
        <w:spacing w:after="120"/>
        <w:ind w:left="181" w:hanging="181"/>
        <w:rPr>
          <w:rFonts w:eastAsia="Calibri" w:cstheme="minorHAnsi"/>
        </w:rPr>
      </w:pPr>
      <w:r w:rsidRPr="00671E8F">
        <w:rPr>
          <w:rFonts w:eastAsia="Calibri" w:cstheme="minorHAnsi"/>
        </w:rPr>
        <w:t>процењених ефеката фискалних и структурних мера у наредном периоду.</w:t>
      </w:r>
    </w:p>
    <w:p w14:paraId="76B47B1E" w14:textId="77777777" w:rsidR="00473C3B" w:rsidRPr="00671E8F" w:rsidRDefault="00473C3B" w:rsidP="00473C3B">
      <w:pPr>
        <w:spacing w:before="240" w:after="120" w:line="276" w:lineRule="auto"/>
        <w:jc w:val="center"/>
        <w:rPr>
          <w:rFonts w:eastAsia="MS PGothic" w:cstheme="minorHAnsi"/>
          <w:b/>
          <w:color w:val="002060"/>
          <w:szCs w:val="20"/>
          <w:lang w:eastAsia="ja-JP"/>
        </w:rPr>
        <w:sectPr w:rsidR="00473C3B" w:rsidRPr="00671E8F" w:rsidSect="00F45C01">
          <w:type w:val="continuous"/>
          <w:pgSz w:w="12240" w:h="15840" w:code="1"/>
          <w:pgMar w:top="1440" w:right="1440" w:bottom="1440" w:left="1440" w:header="720" w:footer="720" w:gutter="0"/>
          <w:cols w:num="2" w:space="720"/>
          <w:docGrid w:linePitch="360"/>
        </w:sectPr>
      </w:pPr>
    </w:p>
    <w:p w14:paraId="04E42D21" w14:textId="77777777" w:rsidR="00473C3B" w:rsidRPr="00671E8F" w:rsidRDefault="00473C3B" w:rsidP="00473C3B">
      <w:pPr>
        <w:spacing w:before="120" w:after="120" w:line="276" w:lineRule="auto"/>
        <w:jc w:val="center"/>
        <w:rPr>
          <w:rFonts w:eastAsia="MS PGothic" w:cstheme="minorHAnsi"/>
          <w:b/>
          <w:color w:val="002060"/>
          <w:szCs w:val="20"/>
          <w:lang w:eastAsia="ja-JP"/>
        </w:rPr>
      </w:pPr>
      <w:r w:rsidRPr="00671E8F">
        <w:rPr>
          <w:rFonts w:eastAsia="MS PGothic" w:cstheme="minorHAnsi"/>
          <w:b/>
          <w:color w:val="002060"/>
          <w:szCs w:val="20"/>
          <w:lang w:eastAsia="ja-JP"/>
        </w:rPr>
        <w:t>Табела 10. Укупни приходи и донације у периоду 2023–2027. године, % БДП</w:t>
      </w:r>
    </w:p>
    <w:tbl>
      <w:tblPr>
        <w:tblStyle w:val="LightShading-Accent12114"/>
        <w:tblW w:w="5000" w:type="pct"/>
        <w:tblBorders>
          <w:top w:val="none" w:sz="0" w:space="0" w:color="auto"/>
          <w:bottom w:val="none" w:sz="0" w:space="0" w:color="auto"/>
        </w:tblBorders>
        <w:tblLook w:val="0420" w:firstRow="1" w:lastRow="0" w:firstColumn="0" w:lastColumn="0" w:noHBand="0" w:noVBand="1"/>
      </w:tblPr>
      <w:tblGrid>
        <w:gridCol w:w="3824"/>
        <w:gridCol w:w="1133"/>
        <w:gridCol w:w="1134"/>
        <w:gridCol w:w="1088"/>
        <w:gridCol w:w="1090"/>
        <w:gridCol w:w="1091"/>
      </w:tblGrid>
      <w:tr w:rsidR="00473C3B" w:rsidRPr="00671E8F" w14:paraId="4634E3E6" w14:textId="77777777" w:rsidTr="00473C3B">
        <w:trPr>
          <w:cnfStyle w:val="100000000000" w:firstRow="1" w:lastRow="0" w:firstColumn="0" w:lastColumn="0" w:oddVBand="0" w:evenVBand="0" w:oddHBand="0" w:evenHBand="0" w:firstRowFirstColumn="0" w:firstRowLastColumn="0" w:lastRowFirstColumn="0" w:lastRowLastColumn="0"/>
          <w:trHeight w:val="253"/>
        </w:trPr>
        <w:tc>
          <w:tcPr>
            <w:tcW w:w="2043" w:type="pct"/>
            <w:tcBorders>
              <w:top w:val="single" w:sz="4" w:space="0" w:color="002060"/>
              <w:bottom w:val="single" w:sz="4" w:space="0" w:color="002060"/>
            </w:tcBorders>
            <w:noWrap/>
            <w:vAlign w:val="center"/>
          </w:tcPr>
          <w:p w14:paraId="40A40EF3"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Опис</w:t>
            </w:r>
          </w:p>
        </w:tc>
        <w:tc>
          <w:tcPr>
            <w:tcW w:w="605" w:type="pct"/>
            <w:tcBorders>
              <w:top w:val="single" w:sz="4" w:space="0" w:color="002060"/>
              <w:bottom w:val="single" w:sz="4" w:space="0" w:color="002060"/>
            </w:tcBorders>
            <w:vAlign w:val="center"/>
          </w:tcPr>
          <w:p w14:paraId="70DE5073"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Извршење</w:t>
            </w:r>
          </w:p>
        </w:tc>
        <w:tc>
          <w:tcPr>
            <w:tcW w:w="606" w:type="pct"/>
            <w:tcBorders>
              <w:top w:val="single" w:sz="4" w:space="0" w:color="002060"/>
              <w:bottom w:val="single" w:sz="4" w:space="0" w:color="002060"/>
            </w:tcBorders>
            <w:vAlign w:val="center"/>
          </w:tcPr>
          <w:p w14:paraId="1BC13341"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Процена</w:t>
            </w:r>
          </w:p>
        </w:tc>
        <w:tc>
          <w:tcPr>
            <w:tcW w:w="1746" w:type="pct"/>
            <w:gridSpan w:val="3"/>
            <w:tcBorders>
              <w:top w:val="single" w:sz="4" w:space="0" w:color="002060"/>
              <w:bottom w:val="single" w:sz="4" w:space="0" w:color="002060"/>
            </w:tcBorders>
            <w:vAlign w:val="center"/>
          </w:tcPr>
          <w:p w14:paraId="5DD8189B" w14:textId="77777777" w:rsidR="00473C3B" w:rsidRPr="00671E8F" w:rsidRDefault="00473C3B" w:rsidP="00473C3B">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Пројекција</w:t>
            </w:r>
          </w:p>
        </w:tc>
      </w:tr>
      <w:tr w:rsidR="00473C3B" w:rsidRPr="00671E8F" w14:paraId="0FEF75E3"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tcBorders>
              <w:top w:val="single" w:sz="4" w:space="0" w:color="002060"/>
            </w:tcBorders>
            <w:shd w:val="clear" w:color="auto" w:fill="FFFFFF" w:themeFill="background1"/>
            <w:noWrap/>
          </w:tcPr>
          <w:p w14:paraId="7617D67A"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p>
        </w:tc>
        <w:tc>
          <w:tcPr>
            <w:tcW w:w="605" w:type="pct"/>
            <w:tcBorders>
              <w:top w:val="single" w:sz="4" w:space="0" w:color="002060"/>
              <w:bottom w:val="single" w:sz="4" w:space="0" w:color="002060"/>
            </w:tcBorders>
            <w:shd w:val="clear" w:color="auto" w:fill="FFFFFF" w:themeFill="background1"/>
          </w:tcPr>
          <w:p w14:paraId="0B8C040E"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2023</w:t>
            </w:r>
          </w:p>
        </w:tc>
        <w:tc>
          <w:tcPr>
            <w:tcW w:w="606" w:type="pct"/>
            <w:tcBorders>
              <w:top w:val="single" w:sz="4" w:space="0" w:color="002060"/>
              <w:bottom w:val="single" w:sz="4" w:space="0" w:color="002060"/>
            </w:tcBorders>
            <w:shd w:val="clear" w:color="auto" w:fill="FFFFFF" w:themeFill="background1"/>
          </w:tcPr>
          <w:p w14:paraId="158438C6"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2024</w:t>
            </w:r>
          </w:p>
        </w:tc>
        <w:tc>
          <w:tcPr>
            <w:tcW w:w="581" w:type="pct"/>
            <w:tcBorders>
              <w:top w:val="single" w:sz="4" w:space="0" w:color="002060"/>
              <w:bottom w:val="single" w:sz="4" w:space="0" w:color="002060"/>
            </w:tcBorders>
            <w:shd w:val="clear" w:color="auto" w:fill="FFFFFF" w:themeFill="background1"/>
          </w:tcPr>
          <w:p w14:paraId="0C82B370"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2025</w:t>
            </w:r>
          </w:p>
        </w:tc>
        <w:tc>
          <w:tcPr>
            <w:tcW w:w="582" w:type="pct"/>
            <w:tcBorders>
              <w:top w:val="single" w:sz="4" w:space="0" w:color="002060"/>
              <w:bottom w:val="single" w:sz="4" w:space="0" w:color="002060"/>
            </w:tcBorders>
            <w:shd w:val="clear" w:color="auto" w:fill="FFFFFF" w:themeFill="background1"/>
          </w:tcPr>
          <w:p w14:paraId="0D2A8950"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2026</w:t>
            </w:r>
          </w:p>
        </w:tc>
        <w:tc>
          <w:tcPr>
            <w:tcW w:w="583" w:type="pct"/>
            <w:tcBorders>
              <w:top w:val="single" w:sz="4" w:space="0" w:color="002060"/>
              <w:bottom w:val="single" w:sz="4" w:space="0" w:color="002060"/>
            </w:tcBorders>
            <w:shd w:val="clear" w:color="auto" w:fill="FFFFFF" w:themeFill="background1"/>
          </w:tcPr>
          <w:p w14:paraId="33E26953"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2027</w:t>
            </w:r>
          </w:p>
        </w:tc>
      </w:tr>
      <w:tr w:rsidR="00473C3B" w:rsidRPr="00671E8F" w14:paraId="3917A689" w14:textId="77777777" w:rsidTr="00473C3B">
        <w:trPr>
          <w:trHeight w:val="253"/>
        </w:trPr>
        <w:tc>
          <w:tcPr>
            <w:tcW w:w="2043" w:type="pct"/>
            <w:shd w:val="clear" w:color="auto" w:fill="FFFFFF" w:themeFill="background1"/>
          </w:tcPr>
          <w:p w14:paraId="708A4C0B"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ЈАВНИ ПРИХОДИ</w:t>
            </w:r>
          </w:p>
        </w:tc>
        <w:tc>
          <w:tcPr>
            <w:tcW w:w="605" w:type="pct"/>
            <w:tcBorders>
              <w:top w:val="single" w:sz="4" w:space="0" w:color="002060"/>
            </w:tcBorders>
            <w:shd w:val="clear" w:color="auto" w:fill="auto"/>
            <w:vAlign w:val="center"/>
          </w:tcPr>
          <w:p w14:paraId="0494464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39,4</w:t>
            </w:r>
          </w:p>
        </w:tc>
        <w:tc>
          <w:tcPr>
            <w:tcW w:w="606" w:type="pct"/>
            <w:tcBorders>
              <w:top w:val="single" w:sz="4" w:space="0" w:color="002060"/>
            </w:tcBorders>
            <w:shd w:val="clear" w:color="auto" w:fill="auto"/>
            <w:noWrap/>
            <w:vAlign w:val="center"/>
          </w:tcPr>
          <w:p w14:paraId="4757A94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40,8</w:t>
            </w:r>
          </w:p>
        </w:tc>
        <w:tc>
          <w:tcPr>
            <w:tcW w:w="581" w:type="pct"/>
            <w:tcBorders>
              <w:top w:val="single" w:sz="4" w:space="0" w:color="002060"/>
            </w:tcBorders>
            <w:shd w:val="clear" w:color="auto" w:fill="auto"/>
            <w:noWrap/>
            <w:vAlign w:val="center"/>
          </w:tcPr>
          <w:p w14:paraId="090663E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41,3</w:t>
            </w:r>
          </w:p>
        </w:tc>
        <w:tc>
          <w:tcPr>
            <w:tcW w:w="582" w:type="pct"/>
            <w:tcBorders>
              <w:top w:val="single" w:sz="4" w:space="0" w:color="002060"/>
            </w:tcBorders>
            <w:shd w:val="clear" w:color="auto" w:fill="auto"/>
            <w:noWrap/>
            <w:vAlign w:val="center"/>
          </w:tcPr>
          <w:p w14:paraId="5532B36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40,9</w:t>
            </w:r>
          </w:p>
        </w:tc>
        <w:tc>
          <w:tcPr>
            <w:tcW w:w="583" w:type="pct"/>
            <w:tcBorders>
              <w:top w:val="single" w:sz="4" w:space="0" w:color="002060"/>
            </w:tcBorders>
            <w:shd w:val="clear" w:color="auto" w:fill="auto"/>
            <w:noWrap/>
            <w:vAlign w:val="center"/>
          </w:tcPr>
          <w:p w14:paraId="151A9D7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40,5</w:t>
            </w:r>
          </w:p>
        </w:tc>
      </w:tr>
      <w:tr w:rsidR="00473C3B" w:rsidRPr="00671E8F" w14:paraId="295BC4E1"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B5CBA79"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Текући приходи</w:t>
            </w:r>
          </w:p>
        </w:tc>
        <w:tc>
          <w:tcPr>
            <w:tcW w:w="605" w:type="pct"/>
            <w:shd w:val="clear" w:color="auto" w:fill="FFFFFF" w:themeFill="background1"/>
          </w:tcPr>
          <w:p w14:paraId="0F6A9298"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38,9</w:t>
            </w:r>
          </w:p>
        </w:tc>
        <w:tc>
          <w:tcPr>
            <w:tcW w:w="606" w:type="pct"/>
            <w:shd w:val="clear" w:color="auto" w:fill="FFFFFF" w:themeFill="background1"/>
            <w:noWrap/>
          </w:tcPr>
          <w:p w14:paraId="0686948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40,5</w:t>
            </w:r>
          </w:p>
        </w:tc>
        <w:tc>
          <w:tcPr>
            <w:tcW w:w="581" w:type="pct"/>
            <w:shd w:val="clear" w:color="auto" w:fill="FFFFFF" w:themeFill="background1"/>
            <w:noWrap/>
          </w:tcPr>
          <w:p w14:paraId="73FBF70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40,9</w:t>
            </w:r>
          </w:p>
        </w:tc>
        <w:tc>
          <w:tcPr>
            <w:tcW w:w="582" w:type="pct"/>
            <w:shd w:val="clear" w:color="auto" w:fill="FFFFFF" w:themeFill="background1"/>
            <w:noWrap/>
          </w:tcPr>
          <w:p w14:paraId="24416D9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40,5</w:t>
            </w:r>
          </w:p>
        </w:tc>
        <w:tc>
          <w:tcPr>
            <w:tcW w:w="583" w:type="pct"/>
            <w:shd w:val="clear" w:color="auto" w:fill="FFFFFF" w:themeFill="background1"/>
            <w:noWrap/>
          </w:tcPr>
          <w:p w14:paraId="7D14FDD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40,1</w:t>
            </w:r>
          </w:p>
        </w:tc>
      </w:tr>
      <w:tr w:rsidR="00473C3B" w:rsidRPr="00671E8F" w14:paraId="35065D55" w14:textId="77777777" w:rsidTr="00473C3B">
        <w:trPr>
          <w:trHeight w:val="253"/>
        </w:trPr>
        <w:tc>
          <w:tcPr>
            <w:tcW w:w="2043" w:type="pct"/>
            <w:shd w:val="clear" w:color="auto" w:fill="FFFFFF" w:themeFill="background1"/>
          </w:tcPr>
          <w:p w14:paraId="409CAB34"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Порески приходи</w:t>
            </w:r>
          </w:p>
        </w:tc>
        <w:tc>
          <w:tcPr>
            <w:tcW w:w="605" w:type="pct"/>
            <w:shd w:val="clear" w:color="auto" w:fill="FFFFFF" w:themeFill="background1"/>
          </w:tcPr>
          <w:p w14:paraId="5560BDF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34,9</w:t>
            </w:r>
          </w:p>
        </w:tc>
        <w:tc>
          <w:tcPr>
            <w:tcW w:w="606" w:type="pct"/>
            <w:shd w:val="clear" w:color="auto" w:fill="FFFFFF" w:themeFill="background1"/>
            <w:noWrap/>
          </w:tcPr>
          <w:p w14:paraId="7B64588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36,2</w:t>
            </w:r>
          </w:p>
        </w:tc>
        <w:tc>
          <w:tcPr>
            <w:tcW w:w="581" w:type="pct"/>
            <w:shd w:val="clear" w:color="auto" w:fill="FFFFFF" w:themeFill="background1"/>
            <w:noWrap/>
          </w:tcPr>
          <w:p w14:paraId="53A6701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36,3</w:t>
            </w:r>
          </w:p>
        </w:tc>
        <w:tc>
          <w:tcPr>
            <w:tcW w:w="582" w:type="pct"/>
            <w:shd w:val="clear" w:color="auto" w:fill="FFFFFF" w:themeFill="background1"/>
            <w:noWrap/>
          </w:tcPr>
          <w:p w14:paraId="332806A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36,4</w:t>
            </w:r>
          </w:p>
        </w:tc>
        <w:tc>
          <w:tcPr>
            <w:tcW w:w="583" w:type="pct"/>
            <w:shd w:val="clear" w:color="auto" w:fill="FFFFFF" w:themeFill="background1"/>
            <w:noWrap/>
          </w:tcPr>
          <w:p w14:paraId="21938FF5"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36,3</w:t>
            </w:r>
          </w:p>
        </w:tc>
      </w:tr>
      <w:tr w:rsidR="00473C3B" w:rsidRPr="00671E8F" w14:paraId="0B48140F"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037499D"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Порез на доходак грађана</w:t>
            </w:r>
          </w:p>
        </w:tc>
        <w:tc>
          <w:tcPr>
            <w:tcW w:w="605" w:type="pct"/>
            <w:shd w:val="clear" w:color="auto" w:fill="FFFFFF" w:themeFill="background1"/>
          </w:tcPr>
          <w:p w14:paraId="740FEDA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3,9</w:t>
            </w:r>
          </w:p>
        </w:tc>
        <w:tc>
          <w:tcPr>
            <w:tcW w:w="606" w:type="pct"/>
            <w:shd w:val="clear" w:color="auto" w:fill="FFFFFF" w:themeFill="background1"/>
            <w:noWrap/>
          </w:tcPr>
          <w:p w14:paraId="221D8699"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w:t>
            </w:r>
          </w:p>
        </w:tc>
        <w:tc>
          <w:tcPr>
            <w:tcW w:w="581" w:type="pct"/>
            <w:shd w:val="clear" w:color="auto" w:fill="FFFFFF" w:themeFill="background1"/>
            <w:noWrap/>
          </w:tcPr>
          <w:p w14:paraId="61C16E8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w:t>
            </w:r>
          </w:p>
        </w:tc>
        <w:tc>
          <w:tcPr>
            <w:tcW w:w="582" w:type="pct"/>
            <w:shd w:val="clear" w:color="auto" w:fill="FFFFFF" w:themeFill="background1"/>
            <w:noWrap/>
          </w:tcPr>
          <w:p w14:paraId="54BA0DC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583" w:type="pct"/>
            <w:shd w:val="clear" w:color="auto" w:fill="FFFFFF" w:themeFill="background1"/>
            <w:noWrap/>
          </w:tcPr>
          <w:p w14:paraId="00B06CB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r>
      <w:tr w:rsidR="00473C3B" w:rsidRPr="00671E8F" w14:paraId="531EAE06" w14:textId="77777777" w:rsidTr="00473C3B">
        <w:trPr>
          <w:trHeight w:val="253"/>
        </w:trPr>
        <w:tc>
          <w:tcPr>
            <w:tcW w:w="2043" w:type="pct"/>
            <w:shd w:val="clear" w:color="auto" w:fill="FFFFFF" w:themeFill="background1"/>
          </w:tcPr>
          <w:p w14:paraId="673639EC"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Порез на добит правних лица</w:t>
            </w:r>
          </w:p>
        </w:tc>
        <w:tc>
          <w:tcPr>
            <w:tcW w:w="605" w:type="pct"/>
            <w:shd w:val="clear" w:color="auto" w:fill="FFFFFF" w:themeFill="background1"/>
          </w:tcPr>
          <w:p w14:paraId="2658FA1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3,1</w:t>
            </w:r>
          </w:p>
        </w:tc>
        <w:tc>
          <w:tcPr>
            <w:tcW w:w="606" w:type="pct"/>
            <w:shd w:val="clear" w:color="auto" w:fill="FFFFFF" w:themeFill="background1"/>
            <w:noWrap/>
          </w:tcPr>
          <w:p w14:paraId="3E7F6DB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3,0</w:t>
            </w:r>
          </w:p>
        </w:tc>
        <w:tc>
          <w:tcPr>
            <w:tcW w:w="581" w:type="pct"/>
            <w:shd w:val="clear" w:color="auto" w:fill="FFFFFF" w:themeFill="background1"/>
            <w:noWrap/>
          </w:tcPr>
          <w:p w14:paraId="39A00C9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2,8</w:t>
            </w:r>
          </w:p>
        </w:tc>
        <w:tc>
          <w:tcPr>
            <w:tcW w:w="582" w:type="pct"/>
            <w:shd w:val="clear" w:color="auto" w:fill="FFFFFF" w:themeFill="background1"/>
            <w:noWrap/>
          </w:tcPr>
          <w:p w14:paraId="4C110A2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2,7</w:t>
            </w:r>
          </w:p>
        </w:tc>
        <w:tc>
          <w:tcPr>
            <w:tcW w:w="583" w:type="pct"/>
            <w:shd w:val="clear" w:color="auto" w:fill="FFFFFF" w:themeFill="background1"/>
            <w:noWrap/>
          </w:tcPr>
          <w:p w14:paraId="44BE49B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2,7</w:t>
            </w:r>
          </w:p>
        </w:tc>
      </w:tr>
      <w:tr w:rsidR="00473C3B" w:rsidRPr="00671E8F" w14:paraId="52440C33"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B06ED07"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ПДВ</w:t>
            </w:r>
          </w:p>
        </w:tc>
        <w:tc>
          <w:tcPr>
            <w:tcW w:w="605" w:type="pct"/>
            <w:shd w:val="clear" w:color="auto" w:fill="FFFFFF" w:themeFill="background1"/>
          </w:tcPr>
          <w:p w14:paraId="33BFFF0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9,6</w:t>
            </w:r>
          </w:p>
        </w:tc>
        <w:tc>
          <w:tcPr>
            <w:tcW w:w="606" w:type="pct"/>
            <w:shd w:val="clear" w:color="auto" w:fill="FFFFFF" w:themeFill="background1"/>
            <w:noWrap/>
          </w:tcPr>
          <w:p w14:paraId="67A6C4E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10,0</w:t>
            </w:r>
          </w:p>
        </w:tc>
        <w:tc>
          <w:tcPr>
            <w:tcW w:w="581" w:type="pct"/>
            <w:shd w:val="clear" w:color="auto" w:fill="FFFFFF" w:themeFill="background1"/>
            <w:noWrap/>
          </w:tcPr>
          <w:p w14:paraId="03DD595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10,2</w:t>
            </w:r>
          </w:p>
        </w:tc>
        <w:tc>
          <w:tcPr>
            <w:tcW w:w="582" w:type="pct"/>
            <w:shd w:val="clear" w:color="auto" w:fill="FFFFFF" w:themeFill="background1"/>
            <w:noWrap/>
          </w:tcPr>
          <w:p w14:paraId="5DBA378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10,3</w:t>
            </w:r>
          </w:p>
        </w:tc>
        <w:tc>
          <w:tcPr>
            <w:tcW w:w="583" w:type="pct"/>
            <w:shd w:val="clear" w:color="auto" w:fill="FFFFFF" w:themeFill="background1"/>
            <w:noWrap/>
          </w:tcPr>
          <w:p w14:paraId="4BF006D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10,4</w:t>
            </w:r>
          </w:p>
        </w:tc>
      </w:tr>
      <w:tr w:rsidR="00473C3B" w:rsidRPr="00671E8F" w14:paraId="5E1B76A3" w14:textId="77777777" w:rsidTr="00473C3B">
        <w:trPr>
          <w:trHeight w:val="253"/>
        </w:trPr>
        <w:tc>
          <w:tcPr>
            <w:tcW w:w="2043" w:type="pct"/>
            <w:shd w:val="clear" w:color="auto" w:fill="FFFFFF" w:themeFill="background1"/>
          </w:tcPr>
          <w:p w14:paraId="1794D80C"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Акцизе</w:t>
            </w:r>
          </w:p>
        </w:tc>
        <w:tc>
          <w:tcPr>
            <w:tcW w:w="605" w:type="pct"/>
            <w:shd w:val="clear" w:color="auto" w:fill="FFFFFF" w:themeFill="background1"/>
          </w:tcPr>
          <w:p w14:paraId="4430FDD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606" w:type="pct"/>
            <w:shd w:val="clear" w:color="auto" w:fill="FFFFFF" w:themeFill="background1"/>
            <w:noWrap/>
          </w:tcPr>
          <w:p w14:paraId="2686941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581" w:type="pct"/>
            <w:shd w:val="clear" w:color="auto" w:fill="FFFFFF" w:themeFill="background1"/>
            <w:noWrap/>
          </w:tcPr>
          <w:p w14:paraId="13EB392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w:t>
            </w:r>
          </w:p>
        </w:tc>
        <w:tc>
          <w:tcPr>
            <w:tcW w:w="582" w:type="pct"/>
            <w:shd w:val="clear" w:color="auto" w:fill="FFFFFF" w:themeFill="background1"/>
            <w:noWrap/>
          </w:tcPr>
          <w:p w14:paraId="41FC530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3,9</w:t>
            </w:r>
          </w:p>
        </w:tc>
        <w:tc>
          <w:tcPr>
            <w:tcW w:w="583" w:type="pct"/>
            <w:shd w:val="clear" w:color="auto" w:fill="FFFFFF" w:themeFill="background1"/>
            <w:noWrap/>
          </w:tcPr>
          <w:p w14:paraId="08090BE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3,7</w:t>
            </w:r>
          </w:p>
        </w:tc>
      </w:tr>
      <w:tr w:rsidR="00473C3B" w:rsidRPr="00671E8F" w14:paraId="7DE06D96"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EA32880"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Царине</w:t>
            </w:r>
          </w:p>
        </w:tc>
        <w:tc>
          <w:tcPr>
            <w:tcW w:w="605" w:type="pct"/>
            <w:shd w:val="clear" w:color="auto" w:fill="FFFFFF" w:themeFill="background1"/>
          </w:tcPr>
          <w:p w14:paraId="345595C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c>
          <w:tcPr>
            <w:tcW w:w="606" w:type="pct"/>
            <w:shd w:val="clear" w:color="auto" w:fill="FFFFFF" w:themeFill="background1"/>
            <w:noWrap/>
          </w:tcPr>
          <w:p w14:paraId="526101D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c>
          <w:tcPr>
            <w:tcW w:w="581" w:type="pct"/>
            <w:shd w:val="clear" w:color="auto" w:fill="FFFFFF" w:themeFill="background1"/>
            <w:noWrap/>
          </w:tcPr>
          <w:p w14:paraId="6E904E3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c>
          <w:tcPr>
            <w:tcW w:w="582" w:type="pct"/>
            <w:shd w:val="clear" w:color="auto" w:fill="FFFFFF" w:themeFill="background1"/>
            <w:noWrap/>
          </w:tcPr>
          <w:p w14:paraId="3114E41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c>
          <w:tcPr>
            <w:tcW w:w="583" w:type="pct"/>
            <w:shd w:val="clear" w:color="auto" w:fill="FFFFFF" w:themeFill="background1"/>
            <w:noWrap/>
          </w:tcPr>
          <w:p w14:paraId="097F90B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0,9</w:t>
            </w:r>
          </w:p>
        </w:tc>
      </w:tr>
      <w:tr w:rsidR="00473C3B" w:rsidRPr="00671E8F" w14:paraId="22FCBB1E" w14:textId="77777777" w:rsidTr="00473C3B">
        <w:trPr>
          <w:trHeight w:val="253"/>
        </w:trPr>
        <w:tc>
          <w:tcPr>
            <w:tcW w:w="2043" w:type="pct"/>
            <w:shd w:val="clear" w:color="auto" w:fill="FFFFFF" w:themeFill="background1"/>
          </w:tcPr>
          <w:p w14:paraId="25D905E9"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Остали порески приходи</w:t>
            </w:r>
          </w:p>
        </w:tc>
        <w:tc>
          <w:tcPr>
            <w:tcW w:w="605" w:type="pct"/>
            <w:shd w:val="clear" w:color="auto" w:fill="FFFFFF" w:themeFill="background1"/>
          </w:tcPr>
          <w:p w14:paraId="11C47D3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w:t>
            </w:r>
          </w:p>
        </w:tc>
        <w:tc>
          <w:tcPr>
            <w:tcW w:w="606" w:type="pct"/>
            <w:shd w:val="clear" w:color="auto" w:fill="FFFFFF" w:themeFill="background1"/>
            <w:noWrap/>
          </w:tcPr>
          <w:p w14:paraId="3A04319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w:t>
            </w:r>
          </w:p>
        </w:tc>
        <w:tc>
          <w:tcPr>
            <w:tcW w:w="581" w:type="pct"/>
            <w:shd w:val="clear" w:color="auto" w:fill="FFFFFF" w:themeFill="background1"/>
            <w:noWrap/>
          </w:tcPr>
          <w:p w14:paraId="4DF072A8"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w:t>
            </w:r>
          </w:p>
        </w:tc>
        <w:tc>
          <w:tcPr>
            <w:tcW w:w="582" w:type="pct"/>
            <w:shd w:val="clear" w:color="auto" w:fill="FFFFFF" w:themeFill="background1"/>
            <w:noWrap/>
          </w:tcPr>
          <w:p w14:paraId="1C6B855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1,1</w:t>
            </w:r>
          </w:p>
        </w:tc>
        <w:tc>
          <w:tcPr>
            <w:tcW w:w="583" w:type="pct"/>
            <w:shd w:val="clear" w:color="auto" w:fill="FFFFFF" w:themeFill="background1"/>
            <w:noWrap/>
          </w:tcPr>
          <w:p w14:paraId="63E6A96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1,1</w:t>
            </w:r>
          </w:p>
        </w:tc>
      </w:tr>
      <w:tr w:rsidR="00473C3B" w:rsidRPr="00671E8F" w14:paraId="3ED2E75A"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4A32F4F" w14:textId="77777777" w:rsidR="00473C3B" w:rsidRPr="00671E8F" w:rsidRDefault="00473C3B" w:rsidP="00473C3B">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Доприноси</w:t>
            </w:r>
          </w:p>
        </w:tc>
        <w:tc>
          <w:tcPr>
            <w:tcW w:w="605" w:type="pct"/>
            <w:shd w:val="clear" w:color="auto" w:fill="FFFFFF" w:themeFill="background1"/>
          </w:tcPr>
          <w:p w14:paraId="135AD97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12,0</w:t>
            </w:r>
          </w:p>
        </w:tc>
        <w:tc>
          <w:tcPr>
            <w:tcW w:w="606" w:type="pct"/>
            <w:shd w:val="clear" w:color="auto" w:fill="FFFFFF" w:themeFill="background1"/>
            <w:noWrap/>
          </w:tcPr>
          <w:p w14:paraId="1F5690E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12,7</w:t>
            </w:r>
          </w:p>
        </w:tc>
        <w:tc>
          <w:tcPr>
            <w:tcW w:w="581" w:type="pct"/>
            <w:shd w:val="clear" w:color="auto" w:fill="FFFFFF" w:themeFill="background1"/>
            <w:noWrap/>
          </w:tcPr>
          <w:p w14:paraId="5702283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13,0</w:t>
            </w:r>
          </w:p>
        </w:tc>
        <w:tc>
          <w:tcPr>
            <w:tcW w:w="582" w:type="pct"/>
            <w:shd w:val="clear" w:color="auto" w:fill="FFFFFF" w:themeFill="background1"/>
            <w:noWrap/>
          </w:tcPr>
          <w:p w14:paraId="08CCA8B6"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13,2</w:t>
            </w:r>
          </w:p>
        </w:tc>
        <w:tc>
          <w:tcPr>
            <w:tcW w:w="583" w:type="pct"/>
            <w:shd w:val="clear" w:color="auto" w:fill="FFFFFF" w:themeFill="background1"/>
            <w:noWrap/>
          </w:tcPr>
          <w:p w14:paraId="2E70F77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13,4</w:t>
            </w:r>
          </w:p>
        </w:tc>
      </w:tr>
      <w:tr w:rsidR="00473C3B" w:rsidRPr="00671E8F" w14:paraId="194FD650" w14:textId="77777777" w:rsidTr="00473C3B">
        <w:trPr>
          <w:trHeight w:val="253"/>
        </w:trPr>
        <w:tc>
          <w:tcPr>
            <w:tcW w:w="2043" w:type="pct"/>
            <w:shd w:val="clear" w:color="auto" w:fill="FFFFFF" w:themeFill="background1"/>
          </w:tcPr>
          <w:p w14:paraId="3C022DFB"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Непорески приходи</w:t>
            </w:r>
          </w:p>
        </w:tc>
        <w:tc>
          <w:tcPr>
            <w:tcW w:w="605" w:type="pct"/>
            <w:shd w:val="clear" w:color="auto" w:fill="FFFFFF" w:themeFill="background1"/>
          </w:tcPr>
          <w:p w14:paraId="3AAAB83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4,0</w:t>
            </w:r>
          </w:p>
        </w:tc>
        <w:tc>
          <w:tcPr>
            <w:tcW w:w="606" w:type="pct"/>
            <w:shd w:val="clear" w:color="auto" w:fill="FFFFFF" w:themeFill="background1"/>
            <w:noWrap/>
          </w:tcPr>
          <w:p w14:paraId="426930F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4,2</w:t>
            </w:r>
          </w:p>
        </w:tc>
        <w:tc>
          <w:tcPr>
            <w:tcW w:w="581" w:type="pct"/>
            <w:shd w:val="clear" w:color="auto" w:fill="FFFFFF" w:themeFill="background1"/>
            <w:noWrap/>
          </w:tcPr>
          <w:p w14:paraId="5888C65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4,6</w:t>
            </w:r>
          </w:p>
        </w:tc>
        <w:tc>
          <w:tcPr>
            <w:tcW w:w="582" w:type="pct"/>
            <w:shd w:val="clear" w:color="auto" w:fill="FFFFFF" w:themeFill="background1"/>
            <w:noWrap/>
          </w:tcPr>
          <w:p w14:paraId="122E5B3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w:t>
            </w:r>
          </w:p>
        </w:tc>
        <w:tc>
          <w:tcPr>
            <w:tcW w:w="583" w:type="pct"/>
            <w:shd w:val="clear" w:color="auto" w:fill="FFFFFF" w:themeFill="background1"/>
            <w:noWrap/>
          </w:tcPr>
          <w:p w14:paraId="176F064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3,8</w:t>
            </w:r>
          </w:p>
        </w:tc>
      </w:tr>
      <w:tr w:rsidR="00473C3B" w:rsidRPr="00671E8F" w14:paraId="5234077D" w14:textId="77777777" w:rsidTr="00473C3B">
        <w:trPr>
          <w:cnfStyle w:val="000000100000" w:firstRow="0" w:lastRow="0" w:firstColumn="0" w:lastColumn="0" w:oddVBand="0" w:evenVBand="0" w:oddHBand="1" w:evenHBand="0" w:firstRowFirstColumn="0" w:firstRowLastColumn="0" w:lastRowFirstColumn="0" w:lastRowLastColumn="0"/>
          <w:trHeight w:val="253"/>
        </w:trPr>
        <w:tc>
          <w:tcPr>
            <w:tcW w:w="2043" w:type="pct"/>
            <w:tcBorders>
              <w:bottom w:val="single" w:sz="4" w:space="0" w:color="002060"/>
            </w:tcBorders>
            <w:shd w:val="clear" w:color="auto" w:fill="FFFFFF" w:themeFill="background1"/>
          </w:tcPr>
          <w:p w14:paraId="26DD87B7" w14:textId="77777777" w:rsidR="00473C3B" w:rsidRPr="00671E8F" w:rsidRDefault="00473C3B" w:rsidP="00473C3B">
            <w:pPr>
              <w:keepLines/>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Донације</w:t>
            </w:r>
          </w:p>
        </w:tc>
        <w:tc>
          <w:tcPr>
            <w:tcW w:w="605" w:type="pct"/>
            <w:tcBorders>
              <w:bottom w:val="single" w:sz="4" w:space="0" w:color="002060"/>
            </w:tcBorders>
            <w:shd w:val="clear" w:color="auto" w:fill="FFFFFF" w:themeFill="background1"/>
          </w:tcPr>
          <w:p w14:paraId="1BAC4A5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0,5</w:t>
            </w:r>
          </w:p>
        </w:tc>
        <w:tc>
          <w:tcPr>
            <w:tcW w:w="606" w:type="pct"/>
            <w:tcBorders>
              <w:bottom w:val="single" w:sz="4" w:space="0" w:color="002060"/>
            </w:tcBorders>
            <w:shd w:val="clear" w:color="auto" w:fill="FFFFFF" w:themeFill="background1"/>
            <w:noWrap/>
          </w:tcPr>
          <w:p w14:paraId="3BAD347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0,4</w:t>
            </w:r>
          </w:p>
        </w:tc>
        <w:tc>
          <w:tcPr>
            <w:tcW w:w="581" w:type="pct"/>
            <w:tcBorders>
              <w:bottom w:val="single" w:sz="4" w:space="0" w:color="002060"/>
            </w:tcBorders>
            <w:shd w:val="clear" w:color="auto" w:fill="FFFFFF" w:themeFill="background1"/>
            <w:noWrap/>
          </w:tcPr>
          <w:p w14:paraId="7EC3786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0,4</w:t>
            </w:r>
          </w:p>
        </w:tc>
        <w:tc>
          <w:tcPr>
            <w:tcW w:w="582" w:type="pct"/>
            <w:tcBorders>
              <w:bottom w:val="single" w:sz="4" w:space="0" w:color="002060"/>
            </w:tcBorders>
            <w:shd w:val="clear" w:color="auto" w:fill="FFFFFF" w:themeFill="background1"/>
            <w:noWrap/>
          </w:tcPr>
          <w:p w14:paraId="2BEFBF59"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0,4</w:t>
            </w:r>
          </w:p>
        </w:tc>
        <w:tc>
          <w:tcPr>
            <w:tcW w:w="583" w:type="pct"/>
            <w:tcBorders>
              <w:bottom w:val="single" w:sz="4" w:space="0" w:color="002060"/>
            </w:tcBorders>
            <w:shd w:val="clear" w:color="auto" w:fill="FFFFFF" w:themeFill="background1"/>
            <w:noWrap/>
          </w:tcPr>
          <w:p w14:paraId="278C736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0,3</w:t>
            </w:r>
          </w:p>
        </w:tc>
      </w:tr>
    </w:tbl>
    <w:p w14:paraId="311034C8" w14:textId="77777777" w:rsidR="00473C3B" w:rsidRPr="00671E8F" w:rsidRDefault="00473C3B" w:rsidP="00473C3B">
      <w:pPr>
        <w:spacing w:before="40" w:after="120" w:line="276" w:lineRule="auto"/>
        <w:jc w:val="left"/>
        <w:rPr>
          <w:rFonts w:cstheme="minorHAnsi"/>
          <w:sz w:val="16"/>
          <w:szCs w:val="20"/>
        </w:rPr>
        <w:sectPr w:rsidR="00473C3B" w:rsidRPr="00671E8F" w:rsidSect="00F45C01">
          <w:type w:val="continuous"/>
          <w:pgSz w:w="12240" w:h="15840" w:code="1"/>
          <w:pgMar w:top="1440" w:right="1440" w:bottom="1440" w:left="1440" w:header="720" w:footer="720" w:gutter="0"/>
          <w:cols w:space="720"/>
          <w:docGrid w:linePitch="360"/>
        </w:sectPr>
      </w:pPr>
      <w:r w:rsidRPr="00671E8F">
        <w:rPr>
          <w:rFonts w:eastAsia="Calibri" w:cstheme="minorHAnsi"/>
          <w:bCs/>
          <w:sz w:val="16"/>
          <w:szCs w:val="20"/>
          <w:lang w:eastAsia="ja-JP"/>
        </w:rPr>
        <w:t xml:space="preserve">Извор: </w:t>
      </w:r>
      <w:r w:rsidRPr="00671E8F">
        <w:rPr>
          <w:rFonts w:cstheme="minorHAnsi"/>
          <w:sz w:val="16"/>
          <w:szCs w:val="20"/>
        </w:rPr>
        <w:t>Министарство финансија</w:t>
      </w:r>
    </w:p>
    <w:p w14:paraId="55C5A57C"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Благо опадајући тренд укупних јавних прихода у посматраном периоду, у смислу учешћа у БДП, је очекиван с обзиром на пројектовану структуру средњорочног раста српске привреде. Пројекција пореских прихода подразумева одржавање постојећег степена наплате.</w:t>
      </w:r>
    </w:p>
    <w:p w14:paraId="1A6A752B"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С обзиром да се очекује бржи раст ове две компоненте од номиналног раста БДП очекује се благи пораст учешћа пореза на доходак у БДП. </w:t>
      </w:r>
    </w:p>
    <w:p w14:paraId="011DB46A"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На кретање пореза на зараде две мере ће утицати на два различита начина. Повећање минималне зараде од 13,7% ће повећати ниво зарада, те приход од пореза на зараде. Са друге стране </w:t>
      </w:r>
      <w:r w:rsidRPr="00671E8F">
        <w:rPr>
          <w:rFonts w:eastAsia="MS PGothic" w:cstheme="minorHAnsi"/>
          <w:szCs w:val="20"/>
          <w:lang w:eastAsia="ja-JP"/>
        </w:rPr>
        <w:t>повећање неопорезивог цензуса, такође за 13,7%, ће имати негативан ефекат у износу од 10,1 млрд динара на приходе од пореза на зараде. Укупан ефекат на наплату прихода се процењује на 14,5 млрд динара, при чему је 4,4 млрд динара губитак наплате доприноса.</w:t>
      </w:r>
    </w:p>
    <w:p w14:paraId="6B9EE60D"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Остали облици пореза на доходак (порез на дивиденде, порез на приходе од камата, годишњи порез на доходак, итд.) ће расти спорије, то јест у складу са кретањем опште економске активности.</w:t>
      </w:r>
    </w:p>
    <w:p w14:paraId="49EC6C9F"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Кретање учешћа доприноса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С обзиром на очекивано брже кретање масе зарада, и последично пореза и доприноса на зараде, у односу на номинални БДП, </w:t>
      </w:r>
      <w:r w:rsidRPr="00671E8F">
        <w:rPr>
          <w:rFonts w:eastAsia="MS PGothic" w:cstheme="minorHAnsi"/>
          <w:szCs w:val="20"/>
          <w:lang w:eastAsia="ja-JP"/>
        </w:rPr>
        <w:lastRenderedPageBreak/>
        <w:t>предвиђа се раст нивоа доприноса у односу на БДП. У пројекције је узет у обзир и губитак због повећања неопорезивог цензуса.</w:t>
      </w:r>
    </w:p>
    <w:p w14:paraId="0E0FE45C"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Приходи од пореза на добит правних лица у периоду 2025–2027. године зависиће од путање привредног раста, релативне стабилности курса динара и опште профитабилности привреде. Процена прихода по овом основу је неизвесна како због економских фактора, тако и због могућности коришћења пореског кредита или повраћаја, као и разлика између рачуноводствених и пореских биланса. Очекује се да се у периоду до 2027. године наплата пореза на добит стабилизује у складу са кретањем БДП.</w:t>
      </w:r>
    </w:p>
    <w:p w14:paraId="12B853AC"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Главна детерминанта кретања ПДВ је домаћа тражња вођена расположивим дохотком становништва. Расположиви доходак као највећа детерминанта потрошње зависи од кретања зарада, пензија, социјалне помоћи и осталих облика доходака, укључујући и дознаке, као и од динамике кредитне активности банака према становништву.</w:t>
      </w:r>
    </w:p>
    <w:p w14:paraId="446EB471"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Као и код пореза на доходак грађана, ризици за остварење пројекције ПДВ у наредном периоду, поред опште неизвесности међународног економског окружења, односе се и на кретање зарада у приватном сектору, раст привредне активности, као и на степен сиве економије, односно ефикасност у њеном смањењу.</w:t>
      </w:r>
    </w:p>
    <w:p w14:paraId="660D2D6A"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Подизање ефикасности наплате и контроле пореских обвезника ће бити настављено у наредном периоду, с тим што ефекти борбе против сиве економије нису експлицитно укључени у средњорочну пројекцију јавних прихода. У овом сегменту простор за даља побољшања створиће се јачањем и модернизацијом пореске администрације.</w:t>
      </w:r>
    </w:p>
    <w:p w14:paraId="22941799"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Пројекција прихода од акциза сачињена је на основу важеће акцизне политике и пројектоване потрошње акцизних производа. У октобру 2023. године је било ванредно повећање акциза од 8%, док је редовно усклађивање са растом потрошачких цена примењено током маја 2024. године. У наредним годинама, услед опрезности, није претпостављен раст потрошње нафтних деривата.</w:t>
      </w:r>
    </w:p>
    <w:p w14:paraId="265A0520"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У оквиру акцизне политике код дуванских производа , услед опрезности, предвиђен даљи очекивани пад тржишта дуванских производа.</w:t>
      </w:r>
    </w:p>
    <w:p w14:paraId="66836D78"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Приходи од акциза на алкохолна пића, кафу и електричну енергију су пројектовани у складу са постојећом структуром потрошње и актуелном акцизном политиком, а од 2026. године предвиђено је увођење акцизе на природни гас који се користи за грејање и погон моторних возила.</w:t>
      </w:r>
    </w:p>
    <w:p w14:paraId="5B0B946C"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Приходи од царина ће се стабилизовати на нивоу од 0,9% БДП у наредном периоду, а пројектовани су у складу са очекиваним кретањем увоза, девизног курса и потрошње.</w:t>
      </w:r>
    </w:p>
    <w:p w14:paraId="6649C86D"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Пројектује се стабилизација учешћа у БДП осталих пореских прихода. Најзначајнији порески приход у овој категорији је порез на имовину чије учешће износи око 70%. Номинално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у складу са кретањем инфлације, будући да је инфлаторна компонента уграђена у значајан део ових пореских облика.</w:t>
      </w:r>
    </w:p>
    <w:p w14:paraId="379AEB98"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Скок непореских прихода у 2025. години резултат је очекиваних прихода по основу аукције лиценци за 5G технологију. Аукција би требало да се одржи током 2025. године, а након тога  се очекује  смањење учешћа непореских прихода у БДП на 3,8% колико ће износити  и у 2027. години. Разлог за смањење пројектованог учешћа непореских прихода у БДП је и искључивање из базне године свих оних прихода који се не сматрају структурним тј. трајним, првенствено ванредних непореских прихода. Сопствени приходи индиректних корисника који се први пут укључују у обухват сектора државе у 2025. години надоместиће  искључивања једног дела ванредних (не-структурних) непореских прихода. </w:t>
      </w:r>
    </w:p>
    <w:p w14:paraId="4D4CF292"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lastRenderedPageBreak/>
        <w:t>Ванредни непорески приходи су углавном једнократни, у одређеној мери неизвесни, како по питању износа, тако и по питању тренутка уплате. Највећи део ових прихода представљају ванредне уплате добити јавних предузећа и агенција, дивиденде буџета, приходи по основу наплаћених потраживања АОД, емисионе премије, итд. Редовни непорески приходи обухватају различите таксе, накнаде, казне, приходе органа и организација и све остале приходе који се остварују устаљеном динамиком током године. Овај тип непореских прихода индексира се са оствареном инфлацијом у претходној години, или пак прати промену у вредности основице на коју се примењују, и услед тога се коригује пројектованом инфлацијом.</w:t>
      </w:r>
    </w:p>
    <w:p w14:paraId="1C02A867"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w:t>
      </w:r>
      <w:r w:rsidRPr="00671E8F">
        <w:rPr>
          <w:rFonts w:eastAsia="MS PGothic" w:cstheme="minorHAnsi"/>
          <w:szCs w:val="20"/>
          <w:lang w:eastAsia="ja-JP"/>
        </w:rPr>
        <w:t>основу донација укључена су и средства по основу секторске буџетске подршке ЕУ. Приходи по основу донација су неутрални у односу на резултат, с обзиром да су једнаки расходима по овом основу.</w:t>
      </w:r>
    </w:p>
    <w:p w14:paraId="2D033755"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 xml:space="preserve">Одговорном фискалном политиком у комбинацији са добрим макроекономским перформансама у протеклом периоду обезбеђено је релаксирање политике плата и пензија и значајно повећање капиталних инвестиција као битне компоненте развоја привреде. Посебна пажња је посвећена унапређењу ефикасности реализације капиталних инвестиција државе. Социјална компонента буџета је побољшана бољим таргетирањем програма социјалне помоћи и већим издвајањем за функције здравства и образовања. Плате и пензије заједно чине преко </w:t>
      </w:r>
      <w:r w:rsidRPr="00671E8F">
        <w:rPr>
          <w:rFonts w:eastAsia="MS PGothic" w:cstheme="minorHAnsi"/>
          <w:szCs w:val="20"/>
          <w:shd w:val="clear" w:color="auto" w:fill="FFFFFF" w:themeFill="background1"/>
          <w:lang w:eastAsia="ja-JP"/>
        </w:rPr>
        <w:t>40%</w:t>
      </w:r>
      <w:r w:rsidRPr="00671E8F">
        <w:rPr>
          <w:rFonts w:eastAsia="MS PGothic" w:cstheme="minorHAnsi"/>
          <w:szCs w:val="20"/>
          <w:lang w:eastAsia="ja-JP"/>
        </w:rPr>
        <w:t xml:space="preserve"> расхода на нивоу сектора државе и њихова стабилизација је од пресудног значаја за одрживост јавних финансија.</w:t>
      </w:r>
    </w:p>
    <w:p w14:paraId="6F6E8F65" w14:textId="77777777" w:rsidR="00473C3B" w:rsidRPr="00671E8F" w:rsidRDefault="00473C3B" w:rsidP="00473C3B">
      <w:pPr>
        <w:spacing w:after="120"/>
        <w:rPr>
          <w:rFonts w:eastAsia="MS PGothic" w:cstheme="minorHAnsi"/>
          <w:szCs w:val="20"/>
          <w:lang w:eastAsia="ja-JP"/>
        </w:rPr>
        <w:sectPr w:rsidR="00473C3B" w:rsidRPr="00671E8F" w:rsidSect="00F45C01">
          <w:type w:val="continuous"/>
          <w:pgSz w:w="12240" w:h="15840" w:code="1"/>
          <w:pgMar w:top="1440" w:right="1440" w:bottom="1440" w:left="1440" w:header="720" w:footer="720" w:gutter="0"/>
          <w:cols w:num="2" w:space="720"/>
          <w:docGrid w:linePitch="360"/>
        </w:sectPr>
      </w:pPr>
    </w:p>
    <w:p w14:paraId="7F7FF585" w14:textId="77777777" w:rsidR="00473C3B" w:rsidRPr="00671E8F" w:rsidRDefault="00473C3B" w:rsidP="00473C3B">
      <w:pPr>
        <w:jc w:val="center"/>
        <w:rPr>
          <w:lang w:eastAsia="ja-JP"/>
        </w:rPr>
      </w:pPr>
      <w:r w:rsidRPr="00671E8F">
        <w:rPr>
          <w:rFonts w:eastAsia="MS PGothic" w:cstheme="minorHAnsi"/>
          <w:b/>
          <w:color w:val="002060"/>
          <w:szCs w:val="20"/>
          <w:lang w:eastAsia="ja-JP"/>
        </w:rPr>
        <w:t>Табела 11. Укупни расходи у периоду 2023–2027. године, % БДП</w:t>
      </w:r>
    </w:p>
    <w:tbl>
      <w:tblPr>
        <w:tblStyle w:val="LightShading-Accent12214"/>
        <w:tblW w:w="4952" w:type="pct"/>
        <w:tblLook w:val="0420" w:firstRow="1" w:lastRow="0" w:firstColumn="0" w:lastColumn="0" w:noHBand="0" w:noVBand="1"/>
      </w:tblPr>
      <w:tblGrid>
        <w:gridCol w:w="3647"/>
        <w:gridCol w:w="1194"/>
        <w:gridCol w:w="1194"/>
        <w:gridCol w:w="1077"/>
        <w:gridCol w:w="1077"/>
        <w:gridCol w:w="1081"/>
      </w:tblGrid>
      <w:tr w:rsidR="00473C3B" w:rsidRPr="00671E8F" w14:paraId="494D0FE3" w14:textId="77777777" w:rsidTr="00473C3B">
        <w:trPr>
          <w:cnfStyle w:val="100000000000" w:firstRow="1" w:lastRow="0" w:firstColumn="0" w:lastColumn="0" w:oddVBand="0" w:evenVBand="0" w:oddHBand="0" w:evenHBand="0" w:firstRowFirstColumn="0" w:firstRowLastColumn="0" w:lastRowFirstColumn="0" w:lastRowLastColumn="0"/>
          <w:trHeight w:val="49"/>
        </w:trPr>
        <w:tc>
          <w:tcPr>
            <w:tcW w:w="1967" w:type="pct"/>
            <w:tcBorders>
              <w:top w:val="single" w:sz="4" w:space="0" w:color="002060"/>
              <w:bottom w:val="single" w:sz="4" w:space="0" w:color="002060"/>
            </w:tcBorders>
            <w:noWrap/>
            <w:vAlign w:val="center"/>
          </w:tcPr>
          <w:p w14:paraId="6AFAFBCE"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Опис</w:t>
            </w:r>
          </w:p>
        </w:tc>
        <w:tc>
          <w:tcPr>
            <w:tcW w:w="644" w:type="pct"/>
            <w:tcBorders>
              <w:top w:val="single" w:sz="4" w:space="0" w:color="002060"/>
              <w:bottom w:val="single" w:sz="4" w:space="0" w:color="002060"/>
            </w:tcBorders>
            <w:vAlign w:val="center"/>
          </w:tcPr>
          <w:p w14:paraId="399AFDDB"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Извршење</w:t>
            </w:r>
          </w:p>
        </w:tc>
        <w:tc>
          <w:tcPr>
            <w:tcW w:w="644" w:type="pct"/>
            <w:tcBorders>
              <w:top w:val="single" w:sz="4" w:space="0" w:color="002060"/>
              <w:bottom w:val="single" w:sz="4" w:space="0" w:color="002060"/>
            </w:tcBorders>
            <w:vAlign w:val="center"/>
          </w:tcPr>
          <w:p w14:paraId="0A098351"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Процена</w:t>
            </w:r>
          </w:p>
        </w:tc>
        <w:tc>
          <w:tcPr>
            <w:tcW w:w="1745" w:type="pct"/>
            <w:gridSpan w:val="3"/>
            <w:tcBorders>
              <w:top w:val="single" w:sz="4" w:space="0" w:color="002060"/>
              <w:bottom w:val="single" w:sz="4" w:space="0" w:color="002060"/>
            </w:tcBorders>
            <w:vAlign w:val="center"/>
          </w:tcPr>
          <w:p w14:paraId="29FF7C37" w14:textId="77777777" w:rsidR="00473C3B" w:rsidRPr="00671E8F" w:rsidRDefault="00473C3B" w:rsidP="00473C3B">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rPr>
            </w:pPr>
            <w:r w:rsidRPr="00671E8F">
              <w:rPr>
                <w:rFonts w:asciiTheme="minorHAnsi" w:hAnsiTheme="minorHAnsi" w:cstheme="minorHAnsi"/>
                <w:b w:val="0"/>
                <w:color w:val="002060"/>
                <w:sz w:val="18"/>
              </w:rPr>
              <w:t>Пројекција</w:t>
            </w:r>
          </w:p>
        </w:tc>
      </w:tr>
      <w:tr w:rsidR="00473C3B" w:rsidRPr="00671E8F" w14:paraId="264EA7FB"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tcBorders>
              <w:top w:val="single" w:sz="4" w:space="0" w:color="002060"/>
              <w:bottom w:val="nil"/>
            </w:tcBorders>
            <w:shd w:val="clear" w:color="auto" w:fill="FFFFFF" w:themeFill="background1"/>
            <w:noWrap/>
          </w:tcPr>
          <w:p w14:paraId="2C67635D"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p>
        </w:tc>
        <w:tc>
          <w:tcPr>
            <w:tcW w:w="644" w:type="pct"/>
            <w:tcBorders>
              <w:top w:val="single" w:sz="4" w:space="0" w:color="002060"/>
              <w:bottom w:val="single" w:sz="4" w:space="0" w:color="002060"/>
            </w:tcBorders>
            <w:shd w:val="clear" w:color="auto" w:fill="FFFFFF" w:themeFill="background1"/>
          </w:tcPr>
          <w:p w14:paraId="155BAFD8"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2023</w:t>
            </w:r>
          </w:p>
        </w:tc>
        <w:tc>
          <w:tcPr>
            <w:tcW w:w="644" w:type="pct"/>
            <w:tcBorders>
              <w:top w:val="single" w:sz="4" w:space="0" w:color="002060"/>
              <w:bottom w:val="single" w:sz="4" w:space="0" w:color="002060"/>
            </w:tcBorders>
            <w:shd w:val="clear" w:color="auto" w:fill="FFFFFF" w:themeFill="background1"/>
          </w:tcPr>
          <w:p w14:paraId="7975A8C3"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2024</w:t>
            </w:r>
          </w:p>
        </w:tc>
        <w:tc>
          <w:tcPr>
            <w:tcW w:w="581" w:type="pct"/>
            <w:tcBorders>
              <w:top w:val="single" w:sz="4" w:space="0" w:color="002060"/>
              <w:bottom w:val="single" w:sz="4" w:space="0" w:color="002060"/>
            </w:tcBorders>
            <w:shd w:val="clear" w:color="auto" w:fill="FFFFFF" w:themeFill="background1"/>
          </w:tcPr>
          <w:p w14:paraId="31D842FE"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2025</w:t>
            </w:r>
          </w:p>
        </w:tc>
        <w:tc>
          <w:tcPr>
            <w:tcW w:w="581" w:type="pct"/>
            <w:tcBorders>
              <w:top w:val="single" w:sz="4" w:space="0" w:color="002060"/>
              <w:bottom w:val="single" w:sz="4" w:space="0" w:color="002060"/>
            </w:tcBorders>
            <w:shd w:val="clear" w:color="auto" w:fill="FFFFFF" w:themeFill="background1"/>
          </w:tcPr>
          <w:p w14:paraId="508ED161"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2026</w:t>
            </w:r>
          </w:p>
        </w:tc>
        <w:tc>
          <w:tcPr>
            <w:tcW w:w="583" w:type="pct"/>
            <w:tcBorders>
              <w:top w:val="single" w:sz="4" w:space="0" w:color="002060"/>
              <w:bottom w:val="single" w:sz="4" w:space="0" w:color="002060"/>
            </w:tcBorders>
            <w:shd w:val="clear" w:color="auto" w:fill="FFFFFF" w:themeFill="background1"/>
          </w:tcPr>
          <w:p w14:paraId="12035E8B" w14:textId="77777777" w:rsidR="00473C3B" w:rsidRPr="00671E8F" w:rsidRDefault="00473C3B" w:rsidP="00473C3B">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2027</w:t>
            </w:r>
          </w:p>
        </w:tc>
      </w:tr>
      <w:tr w:rsidR="00473C3B" w:rsidRPr="00671E8F" w14:paraId="2EAE400F" w14:textId="77777777" w:rsidTr="00473C3B">
        <w:trPr>
          <w:trHeight w:val="49"/>
        </w:trPr>
        <w:tc>
          <w:tcPr>
            <w:tcW w:w="1967" w:type="pct"/>
            <w:tcBorders>
              <w:top w:val="nil"/>
            </w:tcBorders>
            <w:shd w:val="clear" w:color="auto" w:fill="FFFFFF" w:themeFill="background1"/>
          </w:tcPr>
          <w:p w14:paraId="328F057A" w14:textId="77777777" w:rsidR="00473C3B" w:rsidRPr="00671E8F" w:rsidRDefault="00473C3B" w:rsidP="00473C3B">
            <w:pPr>
              <w:widowControl w:val="0"/>
              <w:shd w:val="clear" w:color="auto" w:fill="FFFFFF" w:themeFill="background1"/>
              <w:spacing w:line="276" w:lineRule="auto"/>
              <w:rPr>
                <w:rFonts w:asciiTheme="minorHAnsi" w:hAnsiTheme="minorHAnsi" w:cstheme="minorHAnsi"/>
                <w:color w:val="002060"/>
                <w:sz w:val="18"/>
                <w:szCs w:val="18"/>
              </w:rPr>
            </w:pPr>
            <w:r w:rsidRPr="00671E8F">
              <w:rPr>
                <w:rFonts w:asciiTheme="minorHAnsi" w:hAnsiTheme="minorHAnsi" w:cstheme="minorHAnsi"/>
                <w:color w:val="002060"/>
                <w:sz w:val="18"/>
                <w:szCs w:val="18"/>
              </w:rPr>
              <w:t>ЈАВНИ РАСХОДИ</w:t>
            </w:r>
          </w:p>
        </w:tc>
        <w:tc>
          <w:tcPr>
            <w:tcW w:w="644" w:type="pct"/>
            <w:tcBorders>
              <w:top w:val="single" w:sz="4" w:space="0" w:color="002060"/>
            </w:tcBorders>
            <w:shd w:val="clear" w:color="auto" w:fill="FFFFFF" w:themeFill="background1"/>
          </w:tcPr>
          <w:p w14:paraId="33D1E32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41,4</w:t>
            </w:r>
          </w:p>
        </w:tc>
        <w:tc>
          <w:tcPr>
            <w:tcW w:w="644" w:type="pct"/>
            <w:tcBorders>
              <w:top w:val="single" w:sz="4" w:space="0" w:color="002060"/>
            </w:tcBorders>
            <w:shd w:val="clear" w:color="auto" w:fill="FFFFFF" w:themeFill="background1"/>
            <w:noWrap/>
          </w:tcPr>
          <w:p w14:paraId="1603193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43,6</w:t>
            </w:r>
          </w:p>
        </w:tc>
        <w:tc>
          <w:tcPr>
            <w:tcW w:w="581" w:type="pct"/>
            <w:tcBorders>
              <w:top w:val="single" w:sz="4" w:space="0" w:color="002060"/>
            </w:tcBorders>
            <w:shd w:val="clear" w:color="auto" w:fill="FFFFFF" w:themeFill="background1"/>
            <w:noWrap/>
          </w:tcPr>
          <w:p w14:paraId="0FEC387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44,3</w:t>
            </w:r>
          </w:p>
        </w:tc>
        <w:tc>
          <w:tcPr>
            <w:tcW w:w="581" w:type="pct"/>
            <w:tcBorders>
              <w:top w:val="single" w:sz="4" w:space="0" w:color="002060"/>
            </w:tcBorders>
            <w:shd w:val="clear" w:color="auto" w:fill="FFFFFF" w:themeFill="background1"/>
            <w:noWrap/>
          </w:tcPr>
          <w:p w14:paraId="743EF80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43,9</w:t>
            </w:r>
          </w:p>
        </w:tc>
        <w:tc>
          <w:tcPr>
            <w:tcW w:w="583" w:type="pct"/>
            <w:tcBorders>
              <w:top w:val="single" w:sz="4" w:space="0" w:color="002060"/>
            </w:tcBorders>
            <w:shd w:val="clear" w:color="auto" w:fill="FFFFFF" w:themeFill="background1"/>
            <w:noWrap/>
          </w:tcPr>
          <w:p w14:paraId="2EBD4935"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43,5</w:t>
            </w:r>
          </w:p>
        </w:tc>
      </w:tr>
      <w:tr w:rsidR="00473C3B" w:rsidRPr="00671E8F" w14:paraId="247A7134"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6DDC5610"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Текући расходи</w:t>
            </w:r>
          </w:p>
        </w:tc>
        <w:tc>
          <w:tcPr>
            <w:tcW w:w="644" w:type="pct"/>
            <w:shd w:val="clear" w:color="auto" w:fill="FFFFFF" w:themeFill="background1"/>
          </w:tcPr>
          <w:p w14:paraId="38DEA31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33,9</w:t>
            </w:r>
          </w:p>
        </w:tc>
        <w:tc>
          <w:tcPr>
            <w:tcW w:w="644" w:type="pct"/>
            <w:shd w:val="clear" w:color="auto" w:fill="FFFFFF" w:themeFill="background1"/>
            <w:noWrap/>
          </w:tcPr>
          <w:p w14:paraId="502480C0"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35,7</w:t>
            </w:r>
          </w:p>
        </w:tc>
        <w:tc>
          <w:tcPr>
            <w:tcW w:w="581" w:type="pct"/>
            <w:shd w:val="clear" w:color="auto" w:fill="FFFFFF" w:themeFill="background1"/>
            <w:noWrap/>
          </w:tcPr>
          <w:p w14:paraId="236C313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36,5</w:t>
            </w:r>
          </w:p>
        </w:tc>
        <w:tc>
          <w:tcPr>
            <w:tcW w:w="581" w:type="pct"/>
            <w:shd w:val="clear" w:color="auto" w:fill="FFFFFF" w:themeFill="background1"/>
            <w:noWrap/>
          </w:tcPr>
          <w:p w14:paraId="08A8372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36,3</w:t>
            </w:r>
          </w:p>
        </w:tc>
        <w:tc>
          <w:tcPr>
            <w:tcW w:w="583" w:type="pct"/>
            <w:shd w:val="clear" w:color="auto" w:fill="FFFFFF" w:themeFill="background1"/>
            <w:noWrap/>
          </w:tcPr>
          <w:p w14:paraId="385809B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35,7</w:t>
            </w:r>
          </w:p>
        </w:tc>
      </w:tr>
      <w:tr w:rsidR="00473C3B" w:rsidRPr="00671E8F" w14:paraId="34C354B7" w14:textId="77777777" w:rsidTr="00473C3B">
        <w:trPr>
          <w:trHeight w:val="49"/>
        </w:trPr>
        <w:tc>
          <w:tcPr>
            <w:tcW w:w="1967" w:type="pct"/>
            <w:shd w:val="clear" w:color="auto" w:fill="FFFFFF" w:themeFill="background1"/>
          </w:tcPr>
          <w:p w14:paraId="08558DB1"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Расходи за запослене</w:t>
            </w:r>
          </w:p>
        </w:tc>
        <w:tc>
          <w:tcPr>
            <w:tcW w:w="644" w:type="pct"/>
            <w:shd w:val="clear" w:color="auto" w:fill="FFFFFF" w:themeFill="background1"/>
          </w:tcPr>
          <w:p w14:paraId="552982C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8,8</w:t>
            </w:r>
          </w:p>
        </w:tc>
        <w:tc>
          <w:tcPr>
            <w:tcW w:w="644" w:type="pct"/>
            <w:shd w:val="clear" w:color="auto" w:fill="FFFFFF" w:themeFill="background1"/>
            <w:noWrap/>
          </w:tcPr>
          <w:p w14:paraId="348C324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9,5</w:t>
            </w:r>
          </w:p>
        </w:tc>
        <w:tc>
          <w:tcPr>
            <w:tcW w:w="581" w:type="pct"/>
            <w:shd w:val="clear" w:color="auto" w:fill="FFFFFF" w:themeFill="background1"/>
            <w:noWrap/>
          </w:tcPr>
          <w:p w14:paraId="01721AB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9,8</w:t>
            </w:r>
          </w:p>
        </w:tc>
        <w:tc>
          <w:tcPr>
            <w:tcW w:w="581" w:type="pct"/>
            <w:shd w:val="clear" w:color="auto" w:fill="FFFFFF" w:themeFill="background1"/>
            <w:noWrap/>
          </w:tcPr>
          <w:p w14:paraId="1177FCE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9,8</w:t>
            </w:r>
          </w:p>
        </w:tc>
        <w:tc>
          <w:tcPr>
            <w:tcW w:w="583" w:type="pct"/>
            <w:shd w:val="clear" w:color="auto" w:fill="FFFFFF" w:themeFill="background1"/>
            <w:noWrap/>
          </w:tcPr>
          <w:p w14:paraId="432D1D21"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9,8</w:t>
            </w:r>
          </w:p>
        </w:tc>
      </w:tr>
      <w:tr w:rsidR="00473C3B" w:rsidRPr="00671E8F" w14:paraId="6501AB55"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4495CAD8"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Куповина робе и услуга</w:t>
            </w:r>
          </w:p>
        </w:tc>
        <w:tc>
          <w:tcPr>
            <w:tcW w:w="644" w:type="pct"/>
            <w:shd w:val="clear" w:color="auto" w:fill="FFFFFF" w:themeFill="background1"/>
          </w:tcPr>
          <w:p w14:paraId="41939C8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7,1</w:t>
            </w:r>
          </w:p>
        </w:tc>
        <w:tc>
          <w:tcPr>
            <w:tcW w:w="644" w:type="pct"/>
            <w:shd w:val="clear" w:color="auto" w:fill="FFFFFF" w:themeFill="background1"/>
            <w:noWrap/>
          </w:tcPr>
          <w:p w14:paraId="56E9D67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7,4</w:t>
            </w:r>
          </w:p>
        </w:tc>
        <w:tc>
          <w:tcPr>
            <w:tcW w:w="581" w:type="pct"/>
            <w:shd w:val="clear" w:color="auto" w:fill="FFFFFF" w:themeFill="background1"/>
            <w:noWrap/>
          </w:tcPr>
          <w:p w14:paraId="63D6709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7,9</w:t>
            </w:r>
          </w:p>
        </w:tc>
        <w:tc>
          <w:tcPr>
            <w:tcW w:w="581" w:type="pct"/>
            <w:shd w:val="clear" w:color="auto" w:fill="FFFFFF" w:themeFill="background1"/>
            <w:noWrap/>
          </w:tcPr>
          <w:p w14:paraId="34AB5D3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7,8</w:t>
            </w:r>
          </w:p>
        </w:tc>
        <w:tc>
          <w:tcPr>
            <w:tcW w:w="583" w:type="pct"/>
            <w:shd w:val="clear" w:color="auto" w:fill="FFFFFF" w:themeFill="background1"/>
            <w:noWrap/>
          </w:tcPr>
          <w:p w14:paraId="2D244F4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7,7</w:t>
            </w:r>
          </w:p>
        </w:tc>
      </w:tr>
      <w:tr w:rsidR="00473C3B" w:rsidRPr="00671E8F" w14:paraId="75345A5D" w14:textId="77777777" w:rsidTr="00473C3B">
        <w:trPr>
          <w:trHeight w:val="49"/>
        </w:trPr>
        <w:tc>
          <w:tcPr>
            <w:tcW w:w="1967" w:type="pct"/>
            <w:shd w:val="clear" w:color="auto" w:fill="FFFFFF" w:themeFill="background1"/>
          </w:tcPr>
          <w:p w14:paraId="0C16CE99"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Отплата камата</w:t>
            </w:r>
          </w:p>
        </w:tc>
        <w:tc>
          <w:tcPr>
            <w:tcW w:w="644" w:type="pct"/>
            <w:shd w:val="clear" w:color="auto" w:fill="FFFFFF" w:themeFill="background1"/>
          </w:tcPr>
          <w:p w14:paraId="62007A94"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1,7</w:t>
            </w:r>
          </w:p>
        </w:tc>
        <w:tc>
          <w:tcPr>
            <w:tcW w:w="644" w:type="pct"/>
            <w:shd w:val="clear" w:color="auto" w:fill="FFFFFF" w:themeFill="background1"/>
            <w:noWrap/>
          </w:tcPr>
          <w:p w14:paraId="476B660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2,0</w:t>
            </w:r>
          </w:p>
        </w:tc>
        <w:tc>
          <w:tcPr>
            <w:tcW w:w="581" w:type="pct"/>
            <w:shd w:val="clear" w:color="auto" w:fill="FFFFFF" w:themeFill="background1"/>
            <w:noWrap/>
          </w:tcPr>
          <w:p w14:paraId="7E368B8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2,2</w:t>
            </w:r>
          </w:p>
        </w:tc>
        <w:tc>
          <w:tcPr>
            <w:tcW w:w="581" w:type="pct"/>
            <w:shd w:val="clear" w:color="auto" w:fill="FFFFFF" w:themeFill="background1"/>
            <w:noWrap/>
          </w:tcPr>
          <w:p w14:paraId="0D93006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2,1</w:t>
            </w:r>
          </w:p>
        </w:tc>
        <w:tc>
          <w:tcPr>
            <w:tcW w:w="583" w:type="pct"/>
            <w:shd w:val="clear" w:color="auto" w:fill="FFFFFF" w:themeFill="background1"/>
            <w:noWrap/>
          </w:tcPr>
          <w:p w14:paraId="5B84155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2,0</w:t>
            </w:r>
          </w:p>
        </w:tc>
      </w:tr>
      <w:tr w:rsidR="00473C3B" w:rsidRPr="00671E8F" w14:paraId="42E1D27E"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747B89DC"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Субвенције</w:t>
            </w:r>
          </w:p>
        </w:tc>
        <w:tc>
          <w:tcPr>
            <w:tcW w:w="644" w:type="pct"/>
            <w:shd w:val="clear" w:color="auto" w:fill="FFFFFF" w:themeFill="background1"/>
          </w:tcPr>
          <w:p w14:paraId="4264A24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2,4</w:t>
            </w:r>
          </w:p>
        </w:tc>
        <w:tc>
          <w:tcPr>
            <w:tcW w:w="644" w:type="pct"/>
            <w:shd w:val="clear" w:color="auto" w:fill="FFFFFF" w:themeFill="background1"/>
            <w:noWrap/>
          </w:tcPr>
          <w:p w14:paraId="29B334A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2,5</w:t>
            </w:r>
          </w:p>
        </w:tc>
        <w:tc>
          <w:tcPr>
            <w:tcW w:w="581" w:type="pct"/>
            <w:shd w:val="clear" w:color="auto" w:fill="FFFFFF" w:themeFill="background1"/>
            <w:noWrap/>
          </w:tcPr>
          <w:p w14:paraId="5AF8760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2,4</w:t>
            </w:r>
          </w:p>
        </w:tc>
        <w:tc>
          <w:tcPr>
            <w:tcW w:w="581" w:type="pct"/>
            <w:shd w:val="clear" w:color="auto" w:fill="FFFFFF" w:themeFill="background1"/>
            <w:noWrap/>
          </w:tcPr>
          <w:p w14:paraId="08D42E8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2,4</w:t>
            </w:r>
          </w:p>
        </w:tc>
        <w:tc>
          <w:tcPr>
            <w:tcW w:w="583" w:type="pct"/>
            <w:shd w:val="clear" w:color="auto" w:fill="FFFFFF" w:themeFill="background1"/>
            <w:noWrap/>
          </w:tcPr>
          <w:p w14:paraId="4F09B7E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2,2</w:t>
            </w:r>
          </w:p>
        </w:tc>
      </w:tr>
      <w:tr w:rsidR="00473C3B" w:rsidRPr="00671E8F" w14:paraId="3FC8A8F2" w14:textId="77777777" w:rsidTr="00473C3B">
        <w:trPr>
          <w:trHeight w:val="49"/>
        </w:trPr>
        <w:tc>
          <w:tcPr>
            <w:tcW w:w="1967" w:type="pct"/>
            <w:shd w:val="clear" w:color="auto" w:fill="FFFFFF" w:themeFill="background1"/>
          </w:tcPr>
          <w:p w14:paraId="6C550BFB"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Социјална помоћ и трансфери</w:t>
            </w:r>
          </w:p>
        </w:tc>
        <w:tc>
          <w:tcPr>
            <w:tcW w:w="644" w:type="pct"/>
            <w:shd w:val="clear" w:color="auto" w:fill="FFFFFF" w:themeFill="background1"/>
          </w:tcPr>
          <w:p w14:paraId="15B97EB8"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12,5</w:t>
            </w:r>
          </w:p>
        </w:tc>
        <w:tc>
          <w:tcPr>
            <w:tcW w:w="644" w:type="pct"/>
            <w:shd w:val="clear" w:color="auto" w:fill="FFFFFF" w:themeFill="background1"/>
            <w:noWrap/>
          </w:tcPr>
          <w:p w14:paraId="083F06E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13,0</w:t>
            </w:r>
          </w:p>
        </w:tc>
        <w:tc>
          <w:tcPr>
            <w:tcW w:w="581" w:type="pct"/>
            <w:shd w:val="clear" w:color="auto" w:fill="FFFFFF" w:themeFill="background1"/>
            <w:noWrap/>
          </w:tcPr>
          <w:p w14:paraId="74F980C5"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13,0</w:t>
            </w:r>
          </w:p>
        </w:tc>
        <w:tc>
          <w:tcPr>
            <w:tcW w:w="581" w:type="pct"/>
            <w:shd w:val="clear" w:color="auto" w:fill="FFFFFF" w:themeFill="background1"/>
            <w:noWrap/>
          </w:tcPr>
          <w:p w14:paraId="22CDFB2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13,1</w:t>
            </w:r>
          </w:p>
        </w:tc>
        <w:tc>
          <w:tcPr>
            <w:tcW w:w="583" w:type="pct"/>
            <w:shd w:val="clear" w:color="auto" w:fill="FFFFFF" w:themeFill="background1"/>
            <w:noWrap/>
          </w:tcPr>
          <w:p w14:paraId="5327FAA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12,8</w:t>
            </w:r>
          </w:p>
        </w:tc>
      </w:tr>
      <w:tr w:rsidR="00473C3B" w:rsidRPr="00671E8F" w14:paraId="24CF7808" w14:textId="77777777" w:rsidTr="00473C3B">
        <w:trPr>
          <w:cnfStyle w:val="000000100000" w:firstRow="0" w:lastRow="0" w:firstColumn="0" w:lastColumn="0" w:oddVBand="0" w:evenVBand="0" w:oddHBand="1" w:evenHBand="0" w:firstRowFirstColumn="0" w:firstRowLastColumn="0" w:lastRowFirstColumn="0" w:lastRowLastColumn="0"/>
          <w:trHeight w:val="104"/>
        </w:trPr>
        <w:tc>
          <w:tcPr>
            <w:tcW w:w="1967" w:type="pct"/>
            <w:shd w:val="clear" w:color="auto" w:fill="FFFFFF" w:themeFill="background1"/>
          </w:tcPr>
          <w:p w14:paraId="10062D8D" w14:textId="77777777" w:rsidR="00473C3B" w:rsidRPr="00671E8F" w:rsidRDefault="00473C3B" w:rsidP="00473C3B">
            <w:pPr>
              <w:widowControl w:val="0"/>
              <w:shd w:val="clear" w:color="auto" w:fill="FFFFFF" w:themeFill="background1"/>
              <w:spacing w:line="276" w:lineRule="auto"/>
              <w:ind w:left="397"/>
              <w:rPr>
                <w:rFonts w:asciiTheme="minorHAnsi" w:eastAsia="Times New Roman" w:hAnsiTheme="minorHAnsi" w:cstheme="minorHAnsi"/>
                <w:bCs/>
                <w:i/>
                <w:color w:val="002060"/>
                <w:sz w:val="18"/>
                <w:szCs w:val="18"/>
              </w:rPr>
            </w:pPr>
            <w:r w:rsidRPr="00671E8F">
              <w:rPr>
                <w:rFonts w:asciiTheme="minorHAnsi" w:eastAsia="Times New Roman" w:hAnsiTheme="minorHAnsi" w:cstheme="minorHAnsi"/>
                <w:bCs/>
                <w:i/>
                <w:color w:val="002060"/>
                <w:sz w:val="18"/>
                <w:szCs w:val="18"/>
              </w:rPr>
              <w:t>од чега пензије</w:t>
            </w:r>
          </w:p>
        </w:tc>
        <w:tc>
          <w:tcPr>
            <w:tcW w:w="644" w:type="pct"/>
            <w:shd w:val="clear" w:color="auto" w:fill="FFFFFF" w:themeFill="background1"/>
          </w:tcPr>
          <w:p w14:paraId="580E2156"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8,8</w:t>
            </w:r>
          </w:p>
        </w:tc>
        <w:tc>
          <w:tcPr>
            <w:tcW w:w="644" w:type="pct"/>
            <w:shd w:val="clear" w:color="auto" w:fill="FFFFFF" w:themeFill="background1"/>
            <w:noWrap/>
          </w:tcPr>
          <w:p w14:paraId="3121B30A"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9,7</w:t>
            </w:r>
          </w:p>
        </w:tc>
        <w:tc>
          <w:tcPr>
            <w:tcW w:w="581" w:type="pct"/>
            <w:shd w:val="clear" w:color="auto" w:fill="FFFFFF" w:themeFill="background1"/>
            <w:noWrap/>
          </w:tcPr>
          <w:p w14:paraId="74DE5574"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10,1</w:t>
            </w:r>
          </w:p>
        </w:tc>
        <w:tc>
          <w:tcPr>
            <w:tcW w:w="581" w:type="pct"/>
            <w:shd w:val="clear" w:color="auto" w:fill="FFFFFF" w:themeFill="background1"/>
            <w:noWrap/>
          </w:tcPr>
          <w:p w14:paraId="108146A5"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10,2</w:t>
            </w:r>
          </w:p>
        </w:tc>
        <w:tc>
          <w:tcPr>
            <w:tcW w:w="583" w:type="pct"/>
            <w:shd w:val="clear" w:color="auto" w:fill="FFFFFF" w:themeFill="background1"/>
            <w:noWrap/>
          </w:tcPr>
          <w:p w14:paraId="4A7FD306" w14:textId="77777777" w:rsidR="00473C3B" w:rsidRPr="00671E8F" w:rsidRDefault="00473C3B" w:rsidP="00473C3B">
            <w:pPr>
              <w:shd w:val="clear" w:color="auto" w:fill="FFFFFF" w:themeFill="background1"/>
              <w:spacing w:line="276" w:lineRule="auto"/>
              <w:jc w:val="right"/>
              <w:rPr>
                <w:rFonts w:asciiTheme="minorHAnsi" w:hAnsiTheme="minorHAnsi" w:cstheme="minorHAnsi"/>
                <w:i/>
                <w:color w:val="002060"/>
                <w:sz w:val="18"/>
                <w:szCs w:val="18"/>
              </w:rPr>
            </w:pPr>
            <w:r w:rsidRPr="00671E8F">
              <w:rPr>
                <w:rFonts w:asciiTheme="minorHAnsi" w:hAnsiTheme="minorHAnsi" w:cstheme="minorHAnsi"/>
                <w:i/>
                <w:color w:val="002060"/>
                <w:sz w:val="18"/>
                <w:szCs w:val="18"/>
              </w:rPr>
              <w:t>10,0</w:t>
            </w:r>
          </w:p>
        </w:tc>
      </w:tr>
      <w:tr w:rsidR="00473C3B" w:rsidRPr="00671E8F" w14:paraId="3E24815C" w14:textId="77777777" w:rsidTr="00473C3B">
        <w:trPr>
          <w:trHeight w:val="49"/>
        </w:trPr>
        <w:tc>
          <w:tcPr>
            <w:tcW w:w="1967" w:type="pct"/>
            <w:shd w:val="clear" w:color="auto" w:fill="FFFFFF" w:themeFill="background1"/>
          </w:tcPr>
          <w:p w14:paraId="463C7F22" w14:textId="77777777" w:rsidR="00473C3B" w:rsidRPr="00671E8F" w:rsidRDefault="00473C3B" w:rsidP="00473C3B">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Остали текући расходи</w:t>
            </w:r>
          </w:p>
        </w:tc>
        <w:tc>
          <w:tcPr>
            <w:tcW w:w="644" w:type="pct"/>
            <w:shd w:val="clear" w:color="auto" w:fill="FFFFFF" w:themeFill="background1"/>
          </w:tcPr>
          <w:p w14:paraId="19E605F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1,4</w:t>
            </w:r>
          </w:p>
        </w:tc>
        <w:tc>
          <w:tcPr>
            <w:tcW w:w="644" w:type="pct"/>
            <w:shd w:val="clear" w:color="auto" w:fill="FFFFFF" w:themeFill="background1"/>
            <w:noWrap/>
          </w:tcPr>
          <w:p w14:paraId="288044B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1,4</w:t>
            </w:r>
          </w:p>
        </w:tc>
        <w:tc>
          <w:tcPr>
            <w:tcW w:w="581" w:type="pct"/>
            <w:shd w:val="clear" w:color="auto" w:fill="FFFFFF" w:themeFill="background1"/>
            <w:noWrap/>
          </w:tcPr>
          <w:p w14:paraId="5BD9658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1,2</w:t>
            </w:r>
          </w:p>
        </w:tc>
        <w:tc>
          <w:tcPr>
            <w:tcW w:w="581" w:type="pct"/>
            <w:shd w:val="clear" w:color="auto" w:fill="FFFFFF" w:themeFill="background1"/>
            <w:noWrap/>
          </w:tcPr>
          <w:p w14:paraId="3E195465"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1,1</w:t>
            </w:r>
          </w:p>
        </w:tc>
        <w:tc>
          <w:tcPr>
            <w:tcW w:w="583" w:type="pct"/>
            <w:shd w:val="clear" w:color="auto" w:fill="FFFFFF" w:themeFill="background1"/>
            <w:noWrap/>
          </w:tcPr>
          <w:p w14:paraId="6CC78AC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1,1</w:t>
            </w:r>
          </w:p>
        </w:tc>
      </w:tr>
      <w:tr w:rsidR="00473C3B" w:rsidRPr="00671E8F" w14:paraId="58091490" w14:textId="77777777" w:rsidTr="00473C3B">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19838AC1"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Капитални расходи</w:t>
            </w:r>
          </w:p>
        </w:tc>
        <w:tc>
          <w:tcPr>
            <w:tcW w:w="644" w:type="pct"/>
            <w:shd w:val="clear" w:color="auto" w:fill="FFFFFF" w:themeFill="background1"/>
          </w:tcPr>
          <w:p w14:paraId="666EC9E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6,4</w:t>
            </w:r>
          </w:p>
        </w:tc>
        <w:tc>
          <w:tcPr>
            <w:tcW w:w="644" w:type="pct"/>
            <w:shd w:val="clear" w:color="auto" w:fill="FFFFFF" w:themeFill="background1"/>
            <w:noWrap/>
          </w:tcPr>
          <w:p w14:paraId="4344A12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7,4</w:t>
            </w:r>
          </w:p>
        </w:tc>
        <w:tc>
          <w:tcPr>
            <w:tcW w:w="581" w:type="pct"/>
            <w:shd w:val="clear" w:color="auto" w:fill="FFFFFF" w:themeFill="background1"/>
            <w:noWrap/>
          </w:tcPr>
          <w:p w14:paraId="3AE7F14C"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7,4</w:t>
            </w:r>
          </w:p>
        </w:tc>
        <w:tc>
          <w:tcPr>
            <w:tcW w:w="581" w:type="pct"/>
            <w:shd w:val="clear" w:color="auto" w:fill="FFFFFF" w:themeFill="background1"/>
            <w:noWrap/>
          </w:tcPr>
          <w:p w14:paraId="6F20C20E"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7,2</w:t>
            </w:r>
          </w:p>
        </w:tc>
        <w:tc>
          <w:tcPr>
            <w:tcW w:w="583" w:type="pct"/>
            <w:shd w:val="clear" w:color="auto" w:fill="FFFFFF" w:themeFill="background1"/>
            <w:noWrap/>
          </w:tcPr>
          <w:p w14:paraId="56C17DE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7,4</w:t>
            </w:r>
          </w:p>
        </w:tc>
      </w:tr>
      <w:tr w:rsidR="00473C3B" w:rsidRPr="00671E8F" w14:paraId="7A1D32CB" w14:textId="77777777" w:rsidTr="00473C3B">
        <w:trPr>
          <w:trHeight w:val="49"/>
        </w:trPr>
        <w:tc>
          <w:tcPr>
            <w:tcW w:w="1967" w:type="pct"/>
            <w:tcBorders>
              <w:bottom w:val="nil"/>
            </w:tcBorders>
            <w:shd w:val="clear" w:color="auto" w:fill="FFFFFF" w:themeFill="background1"/>
            <w:noWrap/>
          </w:tcPr>
          <w:p w14:paraId="6F66B0E0"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Нето буџетске позајмице</w:t>
            </w:r>
          </w:p>
        </w:tc>
        <w:tc>
          <w:tcPr>
            <w:tcW w:w="644" w:type="pct"/>
            <w:tcBorders>
              <w:bottom w:val="nil"/>
            </w:tcBorders>
            <w:shd w:val="clear" w:color="auto" w:fill="FFFFFF" w:themeFill="background1"/>
          </w:tcPr>
          <w:p w14:paraId="519C760A"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0,8</w:t>
            </w:r>
          </w:p>
        </w:tc>
        <w:tc>
          <w:tcPr>
            <w:tcW w:w="644" w:type="pct"/>
            <w:tcBorders>
              <w:bottom w:val="nil"/>
            </w:tcBorders>
            <w:shd w:val="clear" w:color="auto" w:fill="FFFFFF" w:themeFill="background1"/>
            <w:noWrap/>
          </w:tcPr>
          <w:p w14:paraId="7A69306D"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1" w:type="pct"/>
            <w:tcBorders>
              <w:bottom w:val="nil"/>
            </w:tcBorders>
            <w:shd w:val="clear" w:color="auto" w:fill="FFFFFF" w:themeFill="background1"/>
            <w:noWrap/>
          </w:tcPr>
          <w:p w14:paraId="3073BAC9"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1" w:type="pct"/>
            <w:tcBorders>
              <w:bottom w:val="nil"/>
            </w:tcBorders>
            <w:shd w:val="clear" w:color="auto" w:fill="FFFFFF" w:themeFill="background1"/>
            <w:noWrap/>
          </w:tcPr>
          <w:p w14:paraId="62D18E2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3" w:type="pct"/>
            <w:tcBorders>
              <w:bottom w:val="nil"/>
            </w:tcBorders>
            <w:shd w:val="clear" w:color="auto" w:fill="FFFFFF" w:themeFill="background1"/>
            <w:noWrap/>
          </w:tcPr>
          <w:p w14:paraId="1C4765E8"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r>
      <w:tr w:rsidR="00473C3B" w:rsidRPr="00671E8F" w14:paraId="1B1CE705" w14:textId="77777777" w:rsidTr="00473C3B">
        <w:trPr>
          <w:cnfStyle w:val="000000100000" w:firstRow="0" w:lastRow="0" w:firstColumn="0" w:lastColumn="0" w:oddVBand="0" w:evenVBand="0" w:oddHBand="1" w:evenHBand="0" w:firstRowFirstColumn="0" w:firstRowLastColumn="0" w:lastRowFirstColumn="0" w:lastRowLastColumn="0"/>
          <w:trHeight w:val="95"/>
        </w:trPr>
        <w:tc>
          <w:tcPr>
            <w:tcW w:w="1967" w:type="pct"/>
            <w:tcBorders>
              <w:top w:val="nil"/>
              <w:bottom w:val="single" w:sz="4" w:space="0" w:color="002060"/>
            </w:tcBorders>
            <w:shd w:val="clear" w:color="auto" w:fill="FFFFFF" w:themeFill="background1"/>
            <w:noWrap/>
          </w:tcPr>
          <w:p w14:paraId="4D329AD1" w14:textId="77777777" w:rsidR="00473C3B" w:rsidRPr="00671E8F" w:rsidRDefault="00473C3B" w:rsidP="00473C3B">
            <w:pPr>
              <w:widowControl w:val="0"/>
              <w:shd w:val="clear" w:color="auto" w:fill="FFFFFF" w:themeFill="background1"/>
              <w:spacing w:line="276" w:lineRule="auto"/>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bCs/>
                <w:color w:val="002060"/>
                <w:sz w:val="18"/>
                <w:szCs w:val="18"/>
              </w:rPr>
              <w:t xml:space="preserve"> Отплата по основу гаранција</w:t>
            </w:r>
          </w:p>
        </w:tc>
        <w:tc>
          <w:tcPr>
            <w:tcW w:w="644" w:type="pct"/>
            <w:tcBorders>
              <w:top w:val="nil"/>
              <w:bottom w:val="single" w:sz="4" w:space="0" w:color="002060"/>
            </w:tcBorders>
            <w:shd w:val="clear" w:color="auto" w:fill="FFFFFF" w:themeFill="background1"/>
          </w:tcPr>
          <w:p w14:paraId="296A348B"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0,3</w:t>
            </w:r>
          </w:p>
        </w:tc>
        <w:tc>
          <w:tcPr>
            <w:tcW w:w="644" w:type="pct"/>
            <w:tcBorders>
              <w:top w:val="nil"/>
              <w:bottom w:val="single" w:sz="4" w:space="0" w:color="002060"/>
            </w:tcBorders>
            <w:shd w:val="clear" w:color="auto" w:fill="FFFFFF" w:themeFill="background1"/>
            <w:noWrap/>
          </w:tcPr>
          <w:p w14:paraId="6A6E928F"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0,3</w:t>
            </w:r>
          </w:p>
        </w:tc>
        <w:tc>
          <w:tcPr>
            <w:tcW w:w="581" w:type="pct"/>
            <w:tcBorders>
              <w:top w:val="nil"/>
              <w:bottom w:val="single" w:sz="4" w:space="0" w:color="002060"/>
            </w:tcBorders>
            <w:shd w:val="clear" w:color="auto" w:fill="FFFFFF" w:themeFill="background1"/>
            <w:noWrap/>
          </w:tcPr>
          <w:p w14:paraId="2EF95E87"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1" w:type="pct"/>
            <w:tcBorders>
              <w:top w:val="nil"/>
              <w:bottom w:val="single" w:sz="4" w:space="0" w:color="002060"/>
            </w:tcBorders>
            <w:shd w:val="clear" w:color="auto" w:fill="FFFFFF" w:themeFill="background1"/>
            <w:noWrap/>
          </w:tcPr>
          <w:p w14:paraId="2FAC2E12"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c>
          <w:tcPr>
            <w:tcW w:w="583" w:type="pct"/>
            <w:tcBorders>
              <w:top w:val="nil"/>
              <w:bottom w:val="single" w:sz="4" w:space="0" w:color="002060"/>
            </w:tcBorders>
            <w:shd w:val="clear" w:color="auto" w:fill="FFFFFF" w:themeFill="background1"/>
            <w:noWrap/>
          </w:tcPr>
          <w:p w14:paraId="7B7037E3" w14:textId="77777777" w:rsidR="00473C3B" w:rsidRPr="00671E8F" w:rsidRDefault="00473C3B" w:rsidP="00473C3B">
            <w:pPr>
              <w:shd w:val="clear" w:color="auto" w:fill="FFFFFF" w:themeFill="background1"/>
              <w:spacing w:line="276" w:lineRule="auto"/>
              <w:jc w:val="right"/>
              <w:rPr>
                <w:rFonts w:asciiTheme="minorHAnsi" w:hAnsiTheme="minorHAnsi" w:cstheme="minorHAnsi"/>
                <w:color w:val="002060"/>
                <w:sz w:val="18"/>
                <w:szCs w:val="18"/>
              </w:rPr>
            </w:pPr>
            <w:r w:rsidRPr="00671E8F">
              <w:rPr>
                <w:rFonts w:asciiTheme="minorHAnsi" w:hAnsiTheme="minorHAnsi" w:cstheme="minorHAnsi"/>
                <w:color w:val="002060"/>
                <w:sz w:val="18"/>
                <w:szCs w:val="18"/>
              </w:rPr>
              <w:t>0,2</w:t>
            </w:r>
          </w:p>
        </w:tc>
      </w:tr>
    </w:tbl>
    <w:p w14:paraId="3ED75F7E" w14:textId="77777777" w:rsidR="00473C3B" w:rsidRPr="00671E8F" w:rsidRDefault="00473C3B" w:rsidP="00473C3B">
      <w:pPr>
        <w:spacing w:before="40" w:after="120" w:line="276" w:lineRule="auto"/>
        <w:jc w:val="left"/>
        <w:rPr>
          <w:rFonts w:cstheme="minorHAnsi"/>
          <w:sz w:val="16"/>
          <w:szCs w:val="20"/>
        </w:rPr>
      </w:pPr>
      <w:r w:rsidRPr="00671E8F">
        <w:rPr>
          <w:rFonts w:eastAsia="Calibri" w:cstheme="minorHAnsi"/>
          <w:bCs/>
          <w:sz w:val="16"/>
          <w:szCs w:val="20"/>
          <w:lang w:eastAsia="ja-JP"/>
        </w:rPr>
        <w:t xml:space="preserve">Извор: </w:t>
      </w:r>
      <w:r w:rsidRPr="00671E8F">
        <w:rPr>
          <w:rFonts w:cstheme="minorHAnsi"/>
          <w:sz w:val="16"/>
          <w:szCs w:val="20"/>
        </w:rPr>
        <w:t>Министарство финансија</w:t>
      </w:r>
    </w:p>
    <w:p w14:paraId="677732D9" w14:textId="77777777" w:rsidR="00473C3B" w:rsidRPr="00671E8F" w:rsidRDefault="00473C3B" w:rsidP="00473C3B">
      <w:pPr>
        <w:spacing w:before="40" w:after="120" w:line="276" w:lineRule="auto"/>
        <w:rPr>
          <w:rFonts w:eastAsia="Calibri" w:cstheme="minorHAnsi"/>
          <w:szCs w:val="20"/>
          <w:lang w:eastAsia="ja-JP"/>
        </w:rPr>
        <w:sectPr w:rsidR="00473C3B" w:rsidRPr="00671E8F" w:rsidSect="00F45C01">
          <w:type w:val="continuous"/>
          <w:pgSz w:w="12240" w:h="15840" w:code="1"/>
          <w:pgMar w:top="1440" w:right="1440" w:bottom="1440" w:left="1440" w:header="720" w:footer="720" w:gutter="0"/>
          <w:cols w:space="720"/>
          <w:docGrid w:linePitch="360"/>
        </w:sectPr>
      </w:pPr>
    </w:p>
    <w:p w14:paraId="62E69302"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Фискални простор предвиђен за раст зарада, у наредном периоду, ће се повећавати умерено и контролисано, водећи рачуна о њиховом учешћу у БДП. Раст у 2025. години углавном је последица проширења обухвата сектора државе. </w:t>
      </w:r>
    </w:p>
    <w:p w14:paraId="42A2AE4F"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Чланом 27е Закона о буџетском систему предвиђено је ограничење расхода за запослене сектора државе од 10% БДП. Усклађивање плата у свим институцијама (ентитетима) које чине сектор </w:t>
      </w:r>
      <w:r w:rsidRPr="00671E8F">
        <w:rPr>
          <w:rFonts w:eastAsia="Calibri" w:cstheme="minorHAnsi"/>
          <w:szCs w:val="20"/>
          <w:lang w:eastAsia="ja-JP"/>
        </w:rPr>
        <w:t>државе, ограничено је дефинисаним учешћем ових расхода у БДП. Надаље, ово ограничење коригује се навише у случају повећања обухвата сектора државе, односно укључивањем нових ентитета у сектор државе, односно наниже у случају искључивања ентитета из сектора државе</w:t>
      </w:r>
      <w:r w:rsidRPr="00671E8F">
        <w:rPr>
          <w:rFonts w:eastAsia="Calibri" w:cstheme="minorHAnsi"/>
          <w:szCs w:val="20"/>
          <w:vertAlign w:val="superscript"/>
          <w:lang w:eastAsia="ja-JP"/>
        </w:rPr>
        <w:footnoteReference w:id="4"/>
      </w:r>
      <w:r w:rsidRPr="00671E8F">
        <w:rPr>
          <w:rFonts w:eastAsia="Calibri" w:cstheme="minorHAnsi"/>
          <w:szCs w:val="20"/>
          <w:lang w:eastAsia="ja-JP"/>
        </w:rPr>
        <w:t>.</w:t>
      </w:r>
    </w:p>
    <w:p w14:paraId="7605ECD4" w14:textId="77777777" w:rsidR="00473C3B" w:rsidRPr="00671E8F" w:rsidRDefault="00473C3B" w:rsidP="00473C3B">
      <w:pPr>
        <w:widowControl w:val="0"/>
        <w:spacing w:after="120"/>
        <w:rPr>
          <w:rFonts w:eastAsia="Calibri" w:cstheme="minorHAnsi"/>
          <w:spacing w:val="2"/>
          <w:szCs w:val="20"/>
          <w:lang w:eastAsia="ja-JP"/>
        </w:rPr>
      </w:pPr>
      <w:r w:rsidRPr="00671E8F">
        <w:rPr>
          <w:rFonts w:eastAsia="Calibri" w:cstheme="minorHAnsi"/>
          <w:spacing w:val="2"/>
          <w:szCs w:val="20"/>
          <w:lang w:eastAsia="ja-JP"/>
        </w:rPr>
        <w:t xml:space="preserve">Како је у 2023. години фискални оквир сектора државе проширен за сопствена средства здравствених установа и средњих школа, а </w:t>
      </w:r>
      <w:r w:rsidRPr="00671E8F">
        <w:rPr>
          <w:rFonts w:eastAsia="Calibri" w:cstheme="minorHAnsi"/>
          <w:spacing w:val="2"/>
          <w:szCs w:val="20"/>
          <w:lang w:eastAsia="ja-JP"/>
        </w:rPr>
        <w:lastRenderedPageBreak/>
        <w:t>процењени ниво расхода за запослене из тих средстава је 0,2% БДП, п</w:t>
      </w:r>
      <w:r w:rsidRPr="00671E8F">
        <w:rPr>
          <w:rFonts w:eastAsia="Calibri" w:cstheme="minorHAnsi"/>
          <w:bCs/>
          <w:spacing w:val="2"/>
          <w:szCs w:val="20"/>
          <w:lang w:eastAsia="ja-JP"/>
        </w:rPr>
        <w:t>роширивање обухвата сектора државе, по овом основу, имплицира корекцију максималног лимита за расходе запослених у сектору државе на 10,2% БДП.</w:t>
      </w:r>
    </w:p>
    <w:p w14:paraId="5C5B82F1" w14:textId="77777777" w:rsidR="00473C3B" w:rsidRPr="00671E8F" w:rsidRDefault="00473C3B" w:rsidP="00473C3B">
      <w:pPr>
        <w:widowControl w:val="0"/>
        <w:spacing w:after="120"/>
        <w:rPr>
          <w:rFonts w:eastAsia="Calibri" w:cstheme="minorHAnsi"/>
          <w:szCs w:val="20"/>
          <w:lang w:eastAsia="ja-JP"/>
        </w:rPr>
      </w:pPr>
      <w:r w:rsidRPr="00671E8F">
        <w:rPr>
          <w:rFonts w:eastAsia="Calibri" w:cstheme="minorHAnsi"/>
          <w:szCs w:val="20"/>
          <w:lang w:eastAsia="ja-JP"/>
        </w:rPr>
        <w:t xml:space="preserve">У 2024. години обухват сектора државе се додатно проширио за један број ванбуџетских корисника (јавнe агенцијe, институти и други ентитети), те је и максимални лимит за расходе запослених у сектору државе подигнут на 10,4%, с обзиром да је ниво зарада у овим институцијама око 0,2% БДП. Укључивање преосталих сопствених прихода и расхода индиректних корисника републичког буџета у обухват сектора државе у 2025. години  доводи до подизања лимита за расходе запослених на 10,6% БДП, с обзиром да је учешће расхода за запосленe исплаћених из сопствених прихода око 0,2% БДП. С обзиром на то маса зарада у сектору државе ће достићи нешто виши ниво, него ове године. </w:t>
      </w:r>
    </w:p>
    <w:p w14:paraId="3DBB3031" w14:textId="77777777" w:rsidR="00473C3B" w:rsidRPr="00671E8F" w:rsidRDefault="00473C3B" w:rsidP="00473C3B">
      <w:pPr>
        <w:widowControl w:val="0"/>
        <w:spacing w:after="120"/>
        <w:rPr>
          <w:rFonts w:eastAsia="Calibri" w:cstheme="minorHAnsi"/>
          <w:szCs w:val="20"/>
          <w:lang w:eastAsia="ja-JP"/>
        </w:rPr>
      </w:pPr>
      <w:r w:rsidRPr="00671E8F">
        <w:rPr>
          <w:rFonts w:eastAsia="Calibri" w:cstheme="minorHAnsi"/>
          <w:szCs w:val="20"/>
          <w:lang w:eastAsia="ja-JP"/>
        </w:rPr>
        <w:t xml:space="preserve">Укључивање расхода из сопствених извора индиректних корисника ће утицати на издатке за робе и услуге. Процењује се да ће ефекат укључивања нових ентитета подићи ниво ових расхода за око 0,4% БДП. У средњорочном периоду њиховo учешће у БДП се постепено смањује. </w:t>
      </w:r>
    </w:p>
    <w:p w14:paraId="51349D12"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Социјална помоћ и трансфери становништву представљају највећу расходну категорију буџета државе. Највећа појединачна ставка ове групе расхода, а уједно и највећа ставка свих расхода, су пензије. Од 2020. године закључно са 2022. годином, пензије су се усклађивале коришћењем „швајцарске формуле”, како би се истовремено обезбедио раст животног стандарда пензионера и одрживост пензионог и система јавних финансија. „Швајцарска формула” подразумева индексацију, односно увећање пензија једнако збиру половине стопе раста просечне зараде и половине стопе раста потрошачких цена. Од 2023. године примењује се другачији начин индексације пензија, односно, усклађивање пензија узима у обзир и учешће пензија у БДП, како би се додатно заштитио животни стандард пензионера. Индексација пензија, те њихово кретање, опредељује и путању кретања укупних расхода за трансфере становништву и социјалну заштиту кад </w:t>
      </w:r>
      <w:r w:rsidRPr="00671E8F">
        <w:rPr>
          <w:rFonts w:eastAsia="Calibri" w:cstheme="minorHAnsi"/>
          <w:szCs w:val="20"/>
          <w:lang w:eastAsia="ja-JP"/>
        </w:rPr>
        <w:t>је реч о учешћу у БДП. У 2024.години пензије су индексиране растом зарада, а у 2025. години ће се применити швајцарска формула.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пројектованим бројем корисника.</w:t>
      </w:r>
    </w:p>
    <w:p w14:paraId="6A7A8A23"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Током 2024. године бележи се привремени раст субвенција у смислу учешћа у БДП, узрокован додатним субвенцијама намењеним  пољопривреди, енергетици и саобраћајној инфраструктури. За наредни средњорочни период, предвиђа се релативно непромењен номинални износ субвенција, док ће њихово учешће у БДП на крају 2027. године износити 2,2%.</w:t>
      </w:r>
    </w:p>
    <w:p w14:paraId="7A124F4E"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Категорије осталих текућих расхода чине различити издаци, као што су дотације удружењима, политичким странкама, верским и спортским организацијама, казне, накнада штете итд. У наредном периоду се очекује опадајући тренд ових расхода. </w:t>
      </w:r>
    </w:p>
    <w:p w14:paraId="2B796770"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 xml:space="preserve">Током претходних година значајно је побољшана ефикасност извршења јавних инвестиција упркос проблемима које су проузроковали пандемија и енергетска криза. У наредном средњорочном периоду очекује се пораст нивоа улагања у јавну инфраструктуру, након одлуке да се изложба Експо одржи 2027. године у Београду и реализације програма </w:t>
      </w:r>
      <w:r w:rsidRPr="00671E8F">
        <w:rPr>
          <w:rFonts w:cstheme="minorHAnsi"/>
          <w:bCs/>
          <w:szCs w:val="20"/>
        </w:rPr>
        <w:t>„Скок у будућност – Србија 2027”</w:t>
      </w:r>
      <w:r w:rsidRPr="00671E8F">
        <w:rPr>
          <w:rFonts w:eastAsia="Calibri" w:cstheme="minorHAnsi"/>
          <w:szCs w:val="20"/>
          <w:lang w:eastAsia="ja-JP"/>
        </w:rPr>
        <w:t xml:space="preserve">. Најзначајнији радови су на путној, железничкој, комуналној и водној инфраструктури. Поред саобраћајне инфраструктуре обезбеђена су средства за додатна капитална улагања у здравству, енергетици, заштити животне средине, просвети, култури, одбрани и другим областима које представљају најважније функције државе. </w:t>
      </w:r>
    </w:p>
    <w:p w14:paraId="6B81F027" w14:textId="77777777" w:rsidR="00473C3B" w:rsidRPr="00671E8F" w:rsidRDefault="00473C3B" w:rsidP="00473C3B">
      <w:pPr>
        <w:spacing w:after="120"/>
      </w:pPr>
      <w:r w:rsidRPr="00671E8F">
        <w:rPr>
          <w:rFonts w:eastAsia="Calibri" w:cstheme="minorHAnsi"/>
          <w:szCs w:val="20"/>
          <w:lang w:eastAsia="ja-JP"/>
        </w:rPr>
        <w:t xml:space="preserve">Опште опредељење фискалне политике у средњем року јесте повећање улагања у инфраструктуру на свим нивоима власти. Кад је реч о локалном нивоу власти то се пре свега односи на улагања у водоводну и канализациону инфраструктуру, управљање отпадом, локалну путну инфраструктуру и </w:t>
      </w:r>
      <w:r w:rsidRPr="00671E8F">
        <w:rPr>
          <w:rFonts w:eastAsia="Calibri" w:cstheme="minorHAnsi"/>
          <w:color w:val="323E4F" w:themeColor="text2" w:themeShade="BF"/>
          <w:szCs w:val="20"/>
          <w:lang w:eastAsia="ja-JP"/>
        </w:rPr>
        <w:t>друго.</w:t>
      </w:r>
    </w:p>
    <w:p w14:paraId="72E6F868"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lastRenderedPageBreak/>
        <w:t>У средњорочном фискалном оквиру, до краја 2027. године, пројектована је избалансирана укупна фискална позиција локалне самоуправе. То значи да у збиру сви градови и општине имају приближно избалансиран буџет. Пројекција је рађена на основу кретања у претходном периоду у коме су збирно ЈЛС најчешће биле у суфициту. Овакво стање на нивоу свих локалних самоуправа је последица раздуживања у претходном периоду. То не значи да појединачне ЈЛС не могу забележити дефицит (у складу са фискалним правилом), што зависи од фискалне позиције сваке појединачне општине и града.</w:t>
      </w:r>
    </w:p>
    <w:p w14:paraId="21D4B1E2"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На кретање категорије буџетских позајмица највише су утицала средства намењена превазилажењу негативних последица енергетске кризе. У наредном периоду очекује се снижавање учешћа ове расходне категорије на 0,2% БДП.</w:t>
      </w:r>
    </w:p>
    <w:p w14:paraId="77B8E791" w14:textId="77777777" w:rsidR="00473C3B" w:rsidRPr="00671E8F" w:rsidRDefault="00473C3B" w:rsidP="00473C3B">
      <w:pPr>
        <w:spacing w:after="120"/>
        <w:rPr>
          <w:rFonts w:eastAsia="Calibri" w:cstheme="minorHAnsi"/>
          <w:szCs w:val="20"/>
          <w:lang w:eastAsia="ja-JP"/>
        </w:rPr>
      </w:pPr>
      <w:r w:rsidRPr="00671E8F">
        <w:rPr>
          <w:rFonts w:eastAsia="Calibri" w:cstheme="minorHAnsi"/>
          <w:szCs w:val="20"/>
          <w:lang w:eastAsia="ja-JP"/>
        </w:rPr>
        <w:t>Отплата по основу издатих гаранција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та предузећа нису могла самостално да их извршавају. У претходном периоду ови расходи су значајно смањени, а планом отплате предвиђено је да ће у 2027. години ови расходи износити 0,2% БДП на годишњем нивоу.</w:t>
      </w:r>
    </w:p>
    <w:p w14:paraId="0B9895EC" w14:textId="77777777" w:rsidR="00473C3B" w:rsidRPr="00671E8F" w:rsidRDefault="00473C3B" w:rsidP="00473C3B">
      <w:pPr>
        <w:spacing w:after="120"/>
        <w:rPr>
          <w:rFonts w:eastAsia="Calibri" w:cstheme="minorHAnsi"/>
          <w:b/>
          <w:color w:val="2F5496" w:themeColor="accent1" w:themeShade="BF"/>
          <w:sz w:val="22"/>
          <w:szCs w:val="20"/>
          <w:lang w:eastAsia="ja-JP"/>
        </w:rPr>
      </w:pPr>
    </w:p>
    <w:p w14:paraId="77BC361A" w14:textId="73E873DA" w:rsidR="00473C3B" w:rsidRPr="00671E8F" w:rsidRDefault="00473C3B" w:rsidP="00473C3B">
      <w:pPr>
        <w:spacing w:after="120"/>
      </w:pPr>
      <w:r w:rsidRPr="00671E8F">
        <w:rPr>
          <w:rFonts w:eastAsia="Calibri" w:cstheme="minorHAnsi"/>
          <w:b/>
          <w:color w:val="2F5496" w:themeColor="accent1" w:themeShade="BF"/>
          <w:sz w:val="22"/>
          <w:szCs w:val="20"/>
          <w:lang w:eastAsia="ja-JP"/>
        </w:rPr>
        <w:t>Структурне мере за унапређење стабилности и одрживости јавних финансија</w:t>
      </w:r>
    </w:p>
    <w:p w14:paraId="0A748C91" w14:textId="77777777" w:rsidR="00473C3B" w:rsidRPr="00671E8F" w:rsidRDefault="00473C3B" w:rsidP="00473C3B">
      <w:pPr>
        <w:rPr>
          <w:rFonts w:ascii="Calibri" w:eastAsia="Calibri" w:hAnsi="Calibri" w:cs="Calibri"/>
          <w:color w:val="44546A"/>
          <w:spacing w:val="-2"/>
          <w:szCs w:val="20"/>
          <w:lang w:eastAsia="ja-JP"/>
        </w:rPr>
      </w:pPr>
      <w:r w:rsidRPr="00671E8F">
        <w:rPr>
          <w:rFonts w:ascii="Calibri" w:eastAsia="Calibri" w:hAnsi="Calibri" w:cs="Calibri"/>
          <w:color w:val="44546A"/>
          <w:spacing w:val="-2"/>
          <w:szCs w:val="20"/>
          <w:lang w:eastAsia="ja-JP"/>
        </w:rPr>
        <w:t>Након турбулентне 2022. године коју је обележила криза у Украјини уневши неизвесност у све економске токове, у 2023. години Република Србија је остварила макроекономске резултате који су се показали повољнијим него што се првобитно очекивало и то упркос бројним изазовима из окружења и наставку и продубљењу геополитичких криза. И поред свих ових изазова, Република Србија и у 2024. години наставља свој успешан пут, чему сведочи управо завршена четврта и последња ревизија актуелног аранжмана из предострожнности који Република Србија има са ММФ.</w:t>
      </w:r>
    </w:p>
    <w:p w14:paraId="344159BD" w14:textId="77777777" w:rsidR="00473C3B" w:rsidRPr="00671E8F" w:rsidRDefault="00473C3B" w:rsidP="00473C3B">
      <w:pPr>
        <w:rPr>
          <w:rFonts w:ascii="Calibri" w:eastAsia="Calibri" w:hAnsi="Calibri" w:cs="Calibri"/>
          <w:color w:val="44546A"/>
          <w:spacing w:val="-2"/>
          <w:szCs w:val="20"/>
          <w:lang w:eastAsia="ja-JP"/>
        </w:rPr>
      </w:pPr>
      <w:r w:rsidRPr="00671E8F">
        <w:rPr>
          <w:rFonts w:ascii="Calibri" w:eastAsia="Calibri" w:hAnsi="Calibri" w:cs="Calibri"/>
          <w:color w:val="44546A"/>
          <w:spacing w:val="-2"/>
          <w:szCs w:val="20"/>
          <w:lang w:eastAsia="ja-JP"/>
        </w:rPr>
        <w:t xml:space="preserve">Такође, договорено је да ће до краја године бити склопљен нови аранжман - Инструмент за </w:t>
      </w:r>
      <w:r w:rsidRPr="00671E8F">
        <w:rPr>
          <w:rFonts w:ascii="Calibri" w:eastAsia="Calibri" w:hAnsi="Calibri" w:cs="Calibri"/>
          <w:color w:val="44546A"/>
          <w:spacing w:val="-2"/>
          <w:szCs w:val="20"/>
          <w:lang w:eastAsia="ja-JP"/>
        </w:rPr>
        <w:t xml:space="preserve">координацију политика (PCI) који ће бити нефинансијског карактера и који ће трајати наредне три године. Циљеви новог аранжмана биће: очување макроекономске и финансијске стабилности, кредибилна фискална политика којом се омогућава наставак јавних инвестиција и социјалних политика уз задржавање силазног тренда учешћа јавног дуга у БДП, даље јачање енергетског сектора и нове инвестиције у овој области и обезбеђење инклузивног одрживог раста у средњем року заснованог на структурним реформама. </w:t>
      </w:r>
    </w:p>
    <w:p w14:paraId="4A1C70F1" w14:textId="77777777" w:rsidR="00473C3B" w:rsidRPr="00671E8F" w:rsidRDefault="00473C3B" w:rsidP="00473C3B">
      <w:pPr>
        <w:rPr>
          <w:rFonts w:ascii="Calibri" w:eastAsia="Calibri" w:hAnsi="Calibri" w:cs="Calibri"/>
          <w:color w:val="44546A"/>
          <w:spacing w:val="-2"/>
          <w:szCs w:val="20"/>
          <w:lang w:eastAsia="ja-JP"/>
        </w:rPr>
      </w:pPr>
      <w:r w:rsidRPr="00671E8F">
        <w:rPr>
          <w:rFonts w:ascii="Calibri" w:eastAsia="Calibri" w:hAnsi="Calibri" w:cs="Calibri"/>
          <w:color w:val="44546A"/>
          <w:spacing w:val="-2"/>
          <w:szCs w:val="20"/>
          <w:lang w:eastAsia="ja-JP"/>
        </w:rPr>
        <w:t>На крају постојећег аранжмана закључено је да се очекује наставак повољних макроекономских кретања у Републици Србији, што се одражава и у томе што је у октобру ове године, по први пут, Републици Србији додељен инвестициони рејтинг од стране S&amp;P Global Ratings. Очекују се године значајног привредног раста и наставак обимних капиталних улагања у сусрет специјализованој изложби EXPO 2027. Инфлација је враћена у циљани коридор НБС, повећање фискалног дефицита на 2,7% БДП у 2024. години (у односу на 2,1% БДП колико је оригинално планирано) биће у функцији финансирања додатних потреба у области инфраструктуре, социјалне политике и одбране, док учешће јавног дуга у БДП остаје на силазној путањи у наредном средњорочном периоду. ММФ очекује и да ће се наставити континуирани снажни приливи СДИ, који ће бити више него довољни да покрију текући дефицит платног биланса, што је обележило и претходних десет година. Кључни макроекономски ризици односе се на екстерну тражњу, цене робе на глобалном тржишту, продубљивање геоекономске фрагментације, као и изложеност пољопривредне производње и економске активности утицају климатских промена и екстремних временских прилика. Република Србија је изградила довољне резерве и механизме за одбрану од ризика који махом долазе из екстерног окружења. Девизне резерве и депозити државе су високи, јавни дуг и спољни дуг су одрживи, а банкарски сектор је јак и ликвидан. Потпора свему овоме биће наставак структурних реформи и вођење одговорних економских политика.</w:t>
      </w:r>
    </w:p>
    <w:p w14:paraId="402599C1" w14:textId="75E11DE3"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pacing w:val="-2"/>
          <w:szCs w:val="20"/>
        </w:rPr>
        <w:t xml:space="preserve">Фискална правила измењена су Законом о изменама и допунама Закона о буџетском систему, </w:t>
      </w:r>
      <w:r w:rsidRPr="00671E8F">
        <w:rPr>
          <w:rFonts w:ascii="Calibri" w:eastAsia="Calibri" w:hAnsi="Calibri" w:cs="Calibri"/>
          <w:color w:val="44546A"/>
          <w:spacing w:val="-2"/>
          <w:szCs w:val="20"/>
        </w:rPr>
        <w:lastRenderedPageBreak/>
        <w:t>у децембру 2022. године</w:t>
      </w:r>
      <w:r w:rsidRPr="00671E8F">
        <w:rPr>
          <w:rFonts w:ascii="Calibri" w:eastAsia="Calibri" w:hAnsi="Calibri" w:cs="Calibri"/>
          <w:color w:val="44546A"/>
          <w:szCs w:val="20"/>
          <w:lang w:eastAsia="ja-JP"/>
        </w:rPr>
        <w:t xml:space="preserve">. Компонента ограничења дефицита у односу на висину јавног дуга одложена је до 2029. године, а у међувремену ће се примењивати циљеви утврђени Фискалном стратегијом.  Ово је нужно услед новог инвестиционог циклуса у наредном средњорочном периоду (програм „Скок у будућност – Србија 2027”), којим су предвиђена значајна нова улагања у саобраћајну инфраструктуру, рударство, енергетику, пољопривреду, здравство, образовање, културу, заштиту животне средине, регионални развој, безбедност итд. Програмом ће се спровести свеобухватна модернизација државе и повећати животни стандард грађана, истовремено обезбеђујући више стопе раста БДП. Средњорочним планом је предвиђено да дефицити сектора државе износе 3% БДП, што обезбеђује да јавни дуг остане на силазној путањи (са 47,9% БДП колико је предвиђено на крају ове године на 46,5% БДП на крају 2027. године) и далеко испод границе од 60% БДП (укључујући обавезе по основу реституције), колико је одређено фискалним правилом. Посебна фискална правила којима се уређује раст плата у сектору државе и пензија на снази су од 2023. године и у складу с тим су планирана повећања плата и пензија у буџету за 2025. годину. С обзиром да се фискална правила односе на сектор државе, било је потребно уредити и поступак и динамику укључивања нових ентитета у  обухват сектора државе, у складу с посебном методологијом секторске класификације, коју је утврдио РЗС, у складу са споразумом између РЗС, НБС и  Министарства финансија. Такође, фискална правила за локалну власт настављају да се примењују на исти начин како је то дефинисано 2010. године, кад су фискална правила у Републици Србији први пут уведена. </w:t>
      </w:r>
    </w:p>
    <w:p w14:paraId="7D885089" w14:textId="2197C2D9"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 xml:space="preserve">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Постојећи систем запошљавања, којим руководи Владина Комисија за давање сагласности за ново запошљавање и </w:t>
      </w:r>
      <w:r w:rsidRPr="00671E8F">
        <w:rPr>
          <w:rFonts w:ascii="Calibri" w:eastAsia="Calibri" w:hAnsi="Calibri" w:cs="Calibri"/>
          <w:color w:val="44546A"/>
          <w:szCs w:val="20"/>
          <w:lang w:eastAsia="ja-JP"/>
        </w:rPr>
        <w:t>додатно радно ангажовање код корисника јавних средстава наставиће да функционише у прелазном периоду, односно све док нови систем не буде у потпуности оперативан. Крајем 2020. године усвојене су измене Закона о буџетском систему како би било омогућено да у прелазном периоду институције могу да ангажују нова лица до нивоа од 70% оних који напуштају институцију или одлазе у пензију, док је дозвола Комисије потребна уколико број новозапослених пређе 70%. Смисао ове мере је да се обезбеди већа флексибилност у запошљавању на нивоу самих институција, у складу с њиховим потребама за новим кадровима. Такође, постављен је и лимит од 1% за повећање укупног броја запослених на неодређено време у односу на ниво с краја 2020. године. Централни информациони систем за обрачун примања запослених у јавном сектору „Искра” тренутно обухвата све директне кориснике буџета, институције из области културе, правосуђа, рада и социјалне заштите и просвете (осим установа вишег и високог образовања), а почетком ове године укључене су институције из области здравства</w:t>
      </w:r>
      <w:r w:rsidR="00837A14" w:rsidRPr="00671E8F">
        <w:rPr>
          <w:rFonts w:ascii="Calibri" w:eastAsia="Calibri" w:hAnsi="Calibri" w:cs="Calibri"/>
          <w:color w:val="44546A"/>
          <w:szCs w:val="20"/>
          <w:lang w:eastAsia="ja-JP"/>
        </w:rPr>
        <w:t>. Ј</w:t>
      </w:r>
      <w:r w:rsidRPr="00671E8F">
        <w:rPr>
          <w:rFonts w:ascii="Calibri" w:eastAsia="Calibri" w:hAnsi="Calibri" w:cs="Calibri"/>
          <w:color w:val="44546A"/>
          <w:szCs w:val="20"/>
          <w:lang w:eastAsia="ja-JP"/>
        </w:rPr>
        <w:t>единице локалне самоуправе са својим индиректним корисницима (предшколске установе, установе културе, спорта и социјалне заштите) укључ</w:t>
      </w:r>
      <w:r w:rsidR="00837A14" w:rsidRPr="00671E8F">
        <w:rPr>
          <w:rFonts w:ascii="Calibri" w:eastAsia="Calibri" w:hAnsi="Calibri" w:cs="Calibri"/>
          <w:color w:val="44546A"/>
          <w:szCs w:val="20"/>
          <w:lang w:eastAsia="ja-JP"/>
        </w:rPr>
        <w:t xml:space="preserve">иће се у систем у последњем кварталу </w:t>
      </w:r>
      <w:r w:rsidRPr="00671E8F">
        <w:rPr>
          <w:rFonts w:ascii="Calibri" w:eastAsia="Calibri" w:hAnsi="Calibri" w:cs="Calibri"/>
          <w:color w:val="44546A"/>
          <w:szCs w:val="20"/>
          <w:lang w:eastAsia="ja-JP"/>
        </w:rPr>
        <w:t>202</w:t>
      </w:r>
      <w:r w:rsidR="00837A14" w:rsidRPr="00671E8F">
        <w:rPr>
          <w:rFonts w:ascii="Calibri" w:eastAsia="Calibri" w:hAnsi="Calibri" w:cs="Calibri"/>
          <w:color w:val="44546A"/>
          <w:szCs w:val="20"/>
          <w:lang w:eastAsia="ja-JP"/>
        </w:rPr>
        <w:t>4</w:t>
      </w:r>
      <w:r w:rsidRPr="00671E8F">
        <w:rPr>
          <w:rFonts w:ascii="Calibri" w:eastAsia="Calibri" w:hAnsi="Calibri" w:cs="Calibri"/>
          <w:color w:val="44546A"/>
          <w:szCs w:val="20"/>
          <w:lang w:eastAsia="ja-JP"/>
        </w:rPr>
        <w:t xml:space="preserve">. године. Суштина овог система је боље планирање, извршење и контрола расхода за плате запослених, већа транспарентност и боље управљање људским ресурсима у условима све јаче конкуренције из приватног сектора, што има негативан утицај на привлачење и задржавање запослених у јавном сектору, поготово имајући у виду атрактивност зарада у приватном сектору, што може довести до значајног одлива кадрова уколико се ове реформе не спроведу. Ван система у овој фази ће остати само запослени у сектору одбране, безбедности и унутрашњих послова и институције вишег и високог образовања. Планирано је да се и ове институције укључе у систем до 2027. године. На основу овог система биће израђен извештај у којем ће бити објављени подаци о броју запослених и распону зарада, што ће помоћи у вођењу будућих политика запошљавања у јавном сектору. Извештај ће садржати податке како о попуњености систематизованих радних места, тако и о износима самих плата по платним </w:t>
      </w:r>
      <w:r w:rsidRPr="00671E8F">
        <w:rPr>
          <w:rFonts w:ascii="Calibri" w:eastAsia="Calibri" w:hAnsi="Calibri" w:cs="Calibri"/>
          <w:color w:val="44546A"/>
          <w:szCs w:val="20"/>
          <w:lang w:eastAsia="ja-JP"/>
        </w:rPr>
        <w:lastRenderedPageBreak/>
        <w:t>разредима, по специфичним типовима посла, фу</w:t>
      </w:r>
      <w:r w:rsidR="00AC64B3" w:rsidRPr="00671E8F">
        <w:rPr>
          <w:rFonts w:ascii="Calibri" w:eastAsia="Calibri" w:hAnsi="Calibri" w:cs="Calibri"/>
          <w:color w:val="44546A"/>
          <w:szCs w:val="20"/>
          <w:lang w:eastAsia="ja-JP"/>
        </w:rPr>
        <w:t>н</w:t>
      </w:r>
      <w:r w:rsidRPr="00671E8F">
        <w:rPr>
          <w:rFonts w:ascii="Calibri" w:eastAsia="Calibri" w:hAnsi="Calibri" w:cs="Calibri"/>
          <w:color w:val="44546A"/>
          <w:szCs w:val="20"/>
          <w:lang w:eastAsia="ja-JP"/>
        </w:rPr>
        <w:t xml:space="preserve">кцијама (државна управа, образовање, здравство и сл.), као и остале податке од статистичког значаја (медијалне, максималне, минималне зараде, зараде по перцентилима, историјске серије података), што све може помоћи реформама у овој области. </w:t>
      </w:r>
    </w:p>
    <w:p w14:paraId="71868649"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t xml:space="preserve">Криза у Украјини је кроз негативан утицај на тржишту енергената нарочито истакла све изазове и проблеме с којима се суочава енергетски сектор у Србији. Идентификовани проблеми могу се решити само спровођењем свеобухватних реформи, које су услов, како за обезбеђивање енергетске безбедности, тако и за фискалну и екстерну одрживост. Приоритет има реструктурирање великих енергетских компанија у власништву државе како би се повећала њихова ефикасност и смањила буџетска подршка и фискални ризици који произилазе из њиховог пословања. Фазно подизање цена енергената (гаса и електричне енергије) било је нужна мера како би се надоместили егзогено условљени високи трошкови њихове набавке. У случају ЕПС а.д. ове мере, заједно са повољним околностима које су утицале на хидроенергетски потенцијал и већи извоз електричне енергије, имале су за резултат значајан профит који је ова компанија остварила у 2023. години. Део ових средстава је искоришћен за отплату кредита узетих за подршку ликвидности и инвестиције. Oд 1. маја ове године су обезбеђене ниже цене електричне енергије за комерцијалне купце за око 20%, што је у складу са кретањем цена електричне енергије у региону. Измењена је методологија, којом се обезбеђује заштита купаца од изненадних ценовних шокова на тржишту електричне енергије, истовремено комбинујући нивое цена за регулисане и нерегулисане секторе како би у укупном износу приходи могли да покрију укупне трошкове, укључујући и средства потребна за инвестиције у нове производне капацитете. Истовремено, наставља се са политиком заштите енергетски угроженог купца, којом је током претходне грејне сезоне, изменом критеријума како би више лица могло да добије овај вид заштите, било обухваћено око 170.000 корисника, а сличан број се очекује и ове сезоне. Статусна промена ЕПС у акционарско друштво, извршена у априлу прошле </w:t>
      </w:r>
      <w:r w:rsidRPr="00671E8F">
        <w:rPr>
          <w:rFonts w:ascii="Calibri" w:eastAsia="Calibri" w:hAnsi="Calibri" w:cs="Calibri"/>
          <w:szCs w:val="20"/>
          <w:lang w:eastAsia="ja-JP"/>
        </w:rPr>
        <w:t>године, има за циљ јачање ове компаније на дуги рок кроз професионализацију менаџмента. Стратешким планом реструктурирања ове компаније биће решени бројни проблеми у пословању и дефинисаће се кораци у трансформацији компаније, обезбеђујући њену стабилизацију и прецизирајући реформске приоритете у управљању и организационој структури. У складу с начелом транспарентности биће објављени финансијски планови за ЕПС а.д. и ЈП „Србијагас”. Такође, наставиће се с праксом објављивања 20 највећих дужника овим двема компанијама на месечном нивоу. До краја марта 2025. године планирано је да се изврши процена адекватности ценe приступа систему за дистрибуцију електричне енергије које се плаћају</w:t>
      </w:r>
      <w:r w:rsidRPr="00671E8F">
        <w:t xml:space="preserve"> </w:t>
      </w:r>
      <w:r w:rsidRPr="00671E8F">
        <w:rPr>
          <w:rFonts w:ascii="Calibri" w:eastAsia="Calibri" w:hAnsi="Calibri" w:cs="Calibri"/>
          <w:szCs w:val="20"/>
          <w:lang w:eastAsia="ja-JP"/>
        </w:rPr>
        <w:t>Електродистрибуцији Србије д.о.о. као и износа које Електродистрибуција Србије д.о.о. плаћа ЕПС а.д. по основу губитака на мрежи.  Интегрисани национални енергетски и климатски план Србије за период до 2030. године са пројекцијама до 2050. године усвојен је у јулу ове године чиме</w:t>
      </w:r>
      <w:r w:rsidRPr="00671E8F">
        <w:t xml:space="preserve"> </w:t>
      </w:r>
      <w:r w:rsidRPr="00671E8F">
        <w:rPr>
          <w:rFonts w:ascii="Calibri" w:eastAsia="Calibri" w:hAnsi="Calibri" w:cs="Calibri"/>
          <w:szCs w:val="20"/>
          <w:lang w:eastAsia="ja-JP"/>
        </w:rPr>
        <w:t xml:space="preserve">отпочиње нова етапа у развоју енергетског сектора Републике Србије, која треба да допринесе већој сигурности снабдевања, уз повећање учешћа чистих извора енергије и већу заштиту животне средине. Интегрисани национални енергетски и климатски план је кључни стратешки документ којим се дефинишу стратешки циљеви и динамика њиховог остваривања у процесу енергетске транзиције. Политике и мере за остваривање циљева овог плана груписане су у пет кључних димензија: декарбонизација, енергетска ефикасност, енергетска сигурност, унутрашње енергетско тржиште и истраживање, иновације и конкурентност. Следећи корак представља усвајање Стратегије развоја енергетике Републике Србије до 2040. године са пројекцијама до 2050. године. Енергетика Републике Србије налази се пред темељним структурним променама које су условљене како глобалним тако и националним околностима, односно економским, технолошким и еколошким променама и међународно и национално прихваћеним развојним циљевима. Повећања цена гаса током 2022. и 2023. године допринела су стабилизацији финансијске ситуације код ЈП „Србијагас”. Завршена је израда новог система цена за део корисника са нерегулисаним ценама који ће се примењивати </w:t>
      </w:r>
      <w:r w:rsidRPr="00671E8F">
        <w:rPr>
          <w:rFonts w:ascii="Calibri" w:eastAsia="Calibri" w:hAnsi="Calibri" w:cs="Calibri"/>
          <w:szCs w:val="20"/>
          <w:lang w:eastAsia="ja-JP"/>
        </w:rPr>
        <w:lastRenderedPageBreak/>
        <w:t>почев од грејне сезоне 2024 – 2025. година. Смањење цена за привреду за око 15% је на снази од 1. маја ове године. Између осталог, нова методологија уводи нове типове уговора и већу маржу којом ће се обезбедити средства за будуће инвестиције. Очекује се да у наредном периоду неће бити потреба за буџетску подршку за потребе ликвидности за ове компаније. Следеће године очекује се усвајање измењеног и допуњеног плана приоритетних инвестиција у енергетици, којим ће бити дефинисане инвестиционе потребе у овој области за све пројекте вредности од преко 20 милиона евра, укључујући евалуацију пројеката, њихов допринос зеленој транзицији, изворе финансирања, процену интерне стопа приноса итд.</w:t>
      </w:r>
    </w:p>
    <w:p w14:paraId="50DA9BB9"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t xml:space="preserve">Влада је, уз подршку </w:t>
      </w:r>
      <w:r w:rsidRPr="00671E8F">
        <w:rPr>
          <w:rFonts w:eastAsia="MS PGothic" w:cstheme="minorHAnsi"/>
          <w:szCs w:val="20"/>
          <w:lang w:eastAsia="ja-JP"/>
        </w:rPr>
        <w:t>Европске банке за обнову и развој (у даљем тексту: ЕБРД)</w:t>
      </w:r>
      <w:r w:rsidRPr="00671E8F">
        <w:rPr>
          <w:rFonts w:ascii="Calibri" w:eastAsia="Calibri" w:hAnsi="Calibri" w:cs="Calibri"/>
          <w:szCs w:val="20"/>
          <w:lang w:eastAsia="ja-JP"/>
        </w:rPr>
        <w:t>, усвојила Стратегију државног власништва и управљања привредним субјектима који су у власништву Републике Србије за период од 2021. до 2027. године као јединствени акт који пружа стратешку визију и упутства у вези са циљевима власничког управљања, циљевима финансијских и јавних политика, као и принципима корпоративног управљања и надзора у складу са међународним стандардима и најбољом праксом. У априлу ове године усвојен је Акциони план за имплементацију ове стратегије. Закон о управљању привредним друштвима која су у власништву Републике Србије почео је да се примењује у септембру 2024. године, а ступио је на снагу у септембру 2023. године.</w:t>
      </w:r>
    </w:p>
    <w:p w14:paraId="6D94F620"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t>Наставља се стриктно ограничавање издавања државних гаранција за подршку ликвидности. У 2024. години осим једне нове државне гаранције за кредит ЕПС а.д. нису издаване државне гаранције за подршку ликвидности државним предузећима, нити за било које предузеће из портфолија бивше Агенције за приватизацију. Наставиће се са издавањем гаранција за пројектне зајмове које дају мултилатералне финансијске организације као подршку инвестиционој и реформској агенди.</w:t>
      </w:r>
    </w:p>
    <w:p w14:paraId="06B31560"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t xml:space="preserve">За предузећа која чине стратешке компаније из портфолија бивше Агенције за приватизацију, решење се налази или кроз приватизационе </w:t>
      </w:r>
      <w:r w:rsidRPr="00671E8F">
        <w:rPr>
          <w:rFonts w:ascii="Calibri" w:eastAsia="Calibri" w:hAnsi="Calibri" w:cs="Calibri"/>
          <w:szCs w:val="20"/>
          <w:lang w:eastAsia="ja-JP"/>
        </w:rPr>
        <w:t>тендере, или кроз стечај. У буџету су обезбеђена довољна средства за подршку ЈП ПЕУ „Ресавица” на транспарентан начин и обезбеђено је да у будућности не долази до даљег гомилања доцњи у плаћањима према</w:t>
      </w:r>
      <w:r w:rsidRPr="00671E8F">
        <w:t xml:space="preserve"> </w:t>
      </w:r>
      <w:r w:rsidRPr="00671E8F">
        <w:rPr>
          <w:rFonts w:ascii="Calibri" w:eastAsia="Calibri" w:hAnsi="Calibri" w:cs="Calibri"/>
          <w:szCs w:val="20"/>
          <w:lang w:eastAsia="ja-JP"/>
        </w:rPr>
        <w:t xml:space="preserve">ЕПС а.д. док пред самом компанијом стоји изазов проналажења решења за економски неодрживе руднике који су пред исцрпљењем преосталих резерви угља, као и план рационализације производње и пословања у деловима система у којима анализа покаже да могу да буду економски одрживи, уз наговештај приватизације неких њених делова. Уколико приватизација не буде прихватљива, компанијом ће се управљати у складу са новим Законом о управљању привредним друштвима која су у власништву Републике Србије. </w:t>
      </w:r>
    </w:p>
    <w:p w14:paraId="1F47BF25" w14:textId="77777777"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 xml:space="preserve">Побољшање управљања јавним финансијама је нужно, не само као подршка мерама фискалне стабилизације и структурним реформама, већ као процес који подиже квалитет државне управе и осигурава привлачан амбијент за инвеститоре. Нови Програм реформе управљања јавним финансијама за период од 2021–2025. године усвојен је у јуну 2021. године. Наставља се процес јачања значаја средњорочног буџетског оквира, у складу са Акционим планом за унапређење средњорочног буџетског оквира, усвојеним у септембру 2023. године. Циљ овога је да се средњорочно буџетирање учини ефективнијим и више обавезујућим и да се повећа буџетска транспарентност. За буџетски циклус за 2025. годину од великог значаја су били средњорочни лимити постављени приликом претходног буџетског циклуса, који су служили као полазна тачка у разговорима са ресорним министарствима, а и сама министарства су све боље упозната са оваквим приступом буџетирању, што побољшава квалитет њихових процена и пројекција, а самим тим и укупног буџетског процеса. Једна од новости је и увођење тзв. зеленог буџетирања, методологија зеленог буџетирања је по први пут уведена за републички буџет у буџетском циклусу за следећу годину. </w:t>
      </w:r>
    </w:p>
    <w:p w14:paraId="1E7CBBEB" w14:textId="77777777"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 xml:space="preserve">Систем за припрему, извршење, рачуноводство и извештавање – СПИРИ је информациони систем који на јединствен начин подржава све активности Министарства финансија и Управе за трезор у вези са буџетом Републике Србије, чиме се </w:t>
      </w:r>
      <w:r w:rsidRPr="00671E8F">
        <w:rPr>
          <w:rFonts w:ascii="Calibri" w:eastAsia="Calibri" w:hAnsi="Calibri" w:cs="Calibri"/>
          <w:color w:val="44546A"/>
          <w:szCs w:val="20"/>
          <w:lang w:eastAsia="ja-JP"/>
        </w:rPr>
        <w:lastRenderedPageBreak/>
        <w:t>поједностављује начин рада корисника и омогућава ефикаснији начин управљања системом јавних финансија. У систем су укључени сви директни корисници буџета, као и индиректни корисници Министарства културе, Министарства за рад, запошљавање, борачка и социјална питања и Управе за извршење кривичних санкција, као и индиректни корисници Министарства спорта, Министарства привреде, Министарства унутрашњих послова и Министарства просвете који нису били део претходног система (ИСИБ), којег је СПИРИ заменио почетком 2023. године. Почевши од наредне године систем ће обухватити све индиректне кориснике – основне школе, универзитетске установе, локалну самоуправу, АП Војводину и индиректне кориснике локалног нивоа власти. Ово је захтевало обимне тренинге и обуке за будуће кориснике, а биће потребна и додатна подршка током периода почетне имплементације у следећој години. У систем СПИРИ ће ускоро бити интегрисан тзв. зелени анекс, у склопу зеленог буџетирања, што ће бити применљиво и на зелене пројекте јединица локалне самоуправе, које ће бити обухваћене системом од наредне године. Захваљујући овим унапређењима значајно ће се побољшати квалитет извештавања о јавним финансијама током године, квалитет самих података због проширења обухвата, транспарентност буџетског процеса и поштовање буџетског календара.</w:t>
      </w:r>
    </w:p>
    <w:p w14:paraId="3241F92B" w14:textId="63B8CE82"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С циљем унапређења система управљања јавним инвестицијама, а имајући нарочито у виду развојни план „Скок у будућност 2027ˮ, који обухвата преко 320 пројеката укупне вредности од 18 млрд евра, Министарство финансија је током 2023. године спровело процес доношења нове правне регулативе којом се на јединствен и свеобухватан начин уређује поступак дефинисања циљева, адекватне припреме и планирања средстава, објективне оцене, селекције и реализације капиталних пројеката, као и њихове накнадне евалуације, односно извештавања о учинку реализованог капиталног пројекта. Нова правна регулатива обухвата Уредбу о капиталним пројектима, као и четири правилника донета на основу предметне уредбе којима се ближе уређује примена њених одредби и тиме знатно олакшава спровођење пројектног циклуса за све актере. Ово </w:t>
      </w:r>
      <w:r w:rsidRPr="00671E8F">
        <w:rPr>
          <w:rFonts w:eastAsia="MS PGothic" w:cstheme="minorHAnsi"/>
          <w:szCs w:val="20"/>
          <w:lang w:eastAsia="ja-JP"/>
        </w:rPr>
        <w:t xml:space="preserve">је још један корак ближе ка циљу који је дефинисан као </w:t>
      </w:r>
      <w:r w:rsidRPr="00671E8F">
        <w:rPr>
          <w:rFonts w:eastAsia="MS PGothic" w:cstheme="minorHAnsi"/>
          <w:i/>
          <w:szCs w:val="20"/>
          <w:lang w:eastAsia="ja-JP"/>
        </w:rPr>
        <w:t>single project pipeline</w:t>
      </w:r>
      <w:r w:rsidRPr="00671E8F">
        <w:rPr>
          <w:rFonts w:eastAsia="MS PGothic" w:cstheme="minorHAnsi"/>
          <w:szCs w:val="20"/>
          <w:lang w:eastAsia="ja-JP"/>
        </w:rPr>
        <w:t>. Доношењу нове правне регулативе претходио је свеобухватан аналитички процес практичне примене дотадашњег правног оквира, с циљем отклањања уочених недостатака и нелогичности, али и имплементације нормативних решења која су у пракси остварила позитивну примену. Управо на основу спроведеног аналитичког процеса, односно уочених недостатака и предности у примени претходног правног оквира, одредбе Уредбе о капиталним пројектима тако су конципиране да за све актере јасно дефинишу права и обавезе током пројектног циклуса. Тако је новом правном регулативом јасно дефинисана надлежност Министарства за европске интеграције у случају када се капитални пројекат финансира или суфинансира из средстава фондова Европске уније. Такође, ради детаљније анализе капиталних пројеката који се финансирају или суфинансирају из средстава фондова Европске уније или из средстава неке друге државе или међународне институције, формирана је Поткомисија, као помоћно тело Комисије за капиталне инвестиције, која прелиминарно разматра наведене капиталне пројекте и прати њихову реализацију. Предметна уредба предвиђа критеријуме за поделу и класификацију капиталних пројеката, узимајући у обзир процењене трошкове за његову реализацију, извор финансирања и ниво власти који спроводи капитални пројекат, а с циљем да сви капитални пројекти који могу имати значајне импликације на републичком, покрајинском или локалном нивоу буду на јединствен начин предложени, оцењени, селектовани и праћени. Нова класификација капиталних пројеката омогућиће детаљнију и свеобухватнију анализу покрајинских, односно локалних капиталних пројеката. Ради успостављања система свеобухватног и јединственог управљања јавним инвестицијама, Уредбом о капиталним пројектима прописана је и обавеза евидентирања и праћења капиталних пројеката од посебног значаја за Републику Србију као и пројеката који се реализују путем јавно-приватног партнерства, односно концесије.</w:t>
      </w:r>
    </w:p>
    <w:p w14:paraId="2800B57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Такође, одредбама Уредбе о капиталним пројектима, дефинисано је да Комисија за </w:t>
      </w:r>
      <w:r w:rsidRPr="00671E8F">
        <w:rPr>
          <w:rFonts w:eastAsia="MS PGothic" w:cstheme="minorHAnsi"/>
          <w:szCs w:val="20"/>
          <w:lang w:eastAsia="ja-JP"/>
        </w:rPr>
        <w:lastRenderedPageBreak/>
        <w:t>капиталне инвестиције и Поткомисија представљају радна тела која образује Влада. Сходно наведеном, Влада је донела Одлуку о образовању комисије за капиталне инвестиције, као и Одлуку о образовању поткомисије за капиталне инвестиције, а након чега је 8. фебруара 2024. године одржана заједничка конститутивна седница Комисије за капиталне инвестиције и Поткомисије. На конститутивној седници, усвојен је Пословник о раду Комисије за капиталне инвестиције којим је уређен њен начин рада и одлучивања, као и начин рада и одлучивања Поткомисије, чиме је створен неопходан предуслов за несметан рад ових радних тела.</w:t>
      </w:r>
    </w:p>
    <w:p w14:paraId="3E3DB38D"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Поред наведеног, на конститутивној седници усвојена је јединствена листа пројектних идеја која ће бити предложена за финансирање из средстава Инвестиционог оквира за Западни Балкан, и која садржи осам пројеката, пре свега из области енергетике, односно одрживе енергије, заштите животне средине, али и инфраструктурне пројекте из области железничке инфраструктуре. Међу усвојеним пројектима налази се пројекат изградње и опремања БИО 4 кампуса, пројекат магистралног гасовода Ниш-Велика Плана-Батајница-Хоргош, са компресорским станицама, пројекат ревитализације и доградње четвртог агрегата ХЕ Потпећ, пројекат интеграције соларно-термалног постројења у систему даљинског грејања Новог Сада, пројекат широкопојасне мреже у руралним деловима, као и пројекат убрзања железница на Балкану кроз комерцијализацију. У погледу заштите животне средине, од изузетног су значаја пројекти који се односе на затварање и санацију општинских несанитарних депонија и изградњу рециклажних дворишта у региону Новог Сада, као и на затварање и санацију несанитарних депонија у градовима, односно општинама шест регионалних центара за управљање отпадом. На основу анализе наведених пројеката, може се закључити да су ти пројекти од значаја за континуирано и одрживо унапређење структуре српске привреде.</w:t>
      </w:r>
    </w:p>
    <w:p w14:paraId="601DF998" w14:textId="77777777" w:rsidR="00473C3B" w:rsidRPr="00671E8F" w:rsidRDefault="00473C3B" w:rsidP="00473C3B">
      <w:pPr>
        <w:rPr>
          <w:rFonts w:ascii="Calibri" w:eastAsia="Calibri" w:hAnsi="Calibri" w:cs="Calibri"/>
          <w:color w:val="44546A"/>
          <w:szCs w:val="20"/>
          <w:lang w:eastAsia="ja-JP"/>
        </w:rPr>
      </w:pPr>
      <w:r w:rsidRPr="00671E8F">
        <w:rPr>
          <w:rFonts w:eastAsia="MS PGothic" w:cstheme="minorHAnsi"/>
          <w:szCs w:val="20"/>
          <w:lang w:eastAsia="ja-JP"/>
        </w:rPr>
        <w:t xml:space="preserve">Паралелно са радом на унапређењу правног оквира, одвијао се рад на надоградњи Централизоване базе капиталних пројеката (Public Investment Management Information System - у даљем тексту: PIMIS) која је прилагођена новом </w:t>
      </w:r>
      <w:r w:rsidRPr="00671E8F">
        <w:rPr>
          <w:rFonts w:eastAsia="MS PGothic" w:cstheme="minorHAnsi"/>
          <w:szCs w:val="20"/>
          <w:lang w:eastAsia="ja-JP"/>
        </w:rPr>
        <w:t>правном оквиру. Креиран је информациони систем који ће омогућити свеобухватно и транспарентно спровођење пројектног циклуса дефинисаног Уредбом о капиталним пројектима, а све с циљем делотворног и ефикасног управљања јавним средствима. Од овог издања Фискалне стратегије њен саставни део представља и табела у којој су приказане све јавне инвестиције чији пројекти износе преко 20 милиона евра (осим из области одбране и безбедности). Подаци укључују: укупан износ до сада утрошених средстава, процену утрошених средстава за текућу годину, буџетиран износ за текућу и наредне 2 године и укупан процењени износ пројекта.</w:t>
      </w:r>
      <w:r w:rsidRPr="00671E8F">
        <w:t xml:space="preserve"> </w:t>
      </w:r>
      <w:r w:rsidRPr="00671E8F">
        <w:rPr>
          <w:rFonts w:eastAsia="MS PGothic" w:cstheme="minorHAnsi"/>
          <w:szCs w:val="20"/>
          <w:lang w:eastAsia="ja-JP"/>
        </w:rPr>
        <w:t>Сви ови подаци ће бити доступни и у систему СПИРИ. Организационим изменама у Министарству финансија образована је организациона јединица која се искључиво бави управљањем јавним инвестицијама, овај сектор тренутно прати око 150 капиталних пројеката, од чега је око 60 пројеката у припреми, а око 90 у фази имплементације.</w:t>
      </w:r>
    </w:p>
    <w:p w14:paraId="78FD2018" w14:textId="77777777"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Реформе у области управљања јавним набавкама су такође веома важне с обзиром на велики значај и вредност јавних инвестиција. Важећи Закон о јавним набавкама, припремљен уз подршку ЕУ, усклађен је са правним тековинама ЕУ и има за циљ да унапреди конкурентност и транспарентност у поступцима. С тим у вези потребно је обезбедити редовно јавно извештавање преко Управе за јавне набавке о свим набавкама које су изузете из режима редовних набавки према овом закону, као и навођење по ком основу су та изузећа учињена. Убудуће је потребно обезбедити континуирано усклађивање целокупног оквира јавних набавки с правним тековинама ЕУ. Такође, потребно је обезбедити да се све трансакције набавки у јавном сектору одвијају путем портала е-набавке уз настојање да се створе услови за повећање броја понуда по поступку. Имајући то у виду, ради се на унапређењу функционалности Портала јавних набавки како би била олакшана примена одредби Закона о јавним набавкама. Такође, спроводе се обуке за службенике јавних набавки, као и за полицијске службенике у вези праћења јавних набавки и најчешћих неправилности у овој области.</w:t>
      </w:r>
    </w:p>
    <w:p w14:paraId="21C53DCB" w14:textId="77777777" w:rsidR="00473C3B" w:rsidRPr="00671E8F" w:rsidRDefault="00473C3B" w:rsidP="00473C3B">
      <w:pPr>
        <w:rPr>
          <w:rFonts w:ascii="Calibri" w:eastAsia="Calibri" w:hAnsi="Calibri" w:cs="Calibri"/>
          <w:szCs w:val="20"/>
          <w:lang w:eastAsia="ja-JP"/>
        </w:rPr>
      </w:pPr>
      <w:r w:rsidRPr="00671E8F">
        <w:rPr>
          <w:rFonts w:ascii="Calibri" w:eastAsia="Calibri" w:hAnsi="Calibri" w:cs="Calibri"/>
          <w:szCs w:val="20"/>
          <w:lang w:eastAsia="ja-JP"/>
        </w:rPr>
        <w:lastRenderedPageBreak/>
        <w:t xml:space="preserve">Успешно се спроводи нови Акциони план трансформације Пореске управе за период 2021–2025. године, који је усвојен у мају 2021. године и који дефинише стратешке смернице и временске рокове у којим ће бити спроведене активности потребне за стварање модерне пореске администрације,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У мају 2022. године уведен је нови модел фискализације (е-фискализација), на основу којег је извршен први круг ревизија. Нови систем је допринео смањењу неусклађености код пореских обвезника и мањем броју негативних мишљења ревизије. Систем за електронску размену фактура (е-фактура) је био следећи корак који је имплементиран почетком 2023. године. Поново је покренут тендер за набавку новог информационог система уз подршку Светске Банке, циљ је да се одмах по имплементацији побољша ефикасност нарочито у области управљања људским ресурсима и обради података и документације. Континуално се ради на праћењу и анализи ПДВ јаза и јаза пореза на добит, где се тренутно врши анализа недостатака у подацима и прилагођавање аналитичких алата. Прелиминарни резултати сугеришу да је ПДВ јаз знатно смањен у односу на 2018. годину. Пореска управа ће бар једном годишње објављивати листу највећих пореских дужника чији дуг превазилази 20 милиона динара. Усвајањем Закона о утврђивању порекла имовине и посебном порезу и образовањем посебне организационе јединице Пореске управе, створили су се услови за унакрсну анализу имовине и прихода лица, а први случајеви ревизије су завршени ове године. Развој нове стратегије људских ресурса за Пореску управу и убрзање процедура запошљавања остају приоритет како би се осигурао адекватан број запослених. Број запослених у Пореској управи је значајно опао током последњих година. Са предстојећим таласом пензионисања великог броја запослених и узимајући у обзир план трансформације која подразумева прелазак на рад са вишим квалификацијама, императив је да се на време запосли адекватан број </w:t>
      </w:r>
      <w:r w:rsidRPr="00671E8F">
        <w:rPr>
          <w:rFonts w:ascii="Calibri" w:eastAsia="Calibri" w:hAnsi="Calibri" w:cs="Calibri"/>
          <w:szCs w:val="20"/>
          <w:lang w:eastAsia="ja-JP"/>
        </w:rPr>
        <w:t>висококвалификованог особља, што подразумева и адекватне зараде. С тим у вези, од јануара 2025. године покреће се велика кампања запошљавања у Пореској управи, што ће бити потпомогнуто и значајним изменама у систематизацији радних места, олакшаним поступком запошљавања.</w:t>
      </w:r>
    </w:p>
    <w:p w14:paraId="26E05F00" w14:textId="77777777" w:rsidR="00473C3B" w:rsidRPr="00671E8F" w:rsidRDefault="00473C3B" w:rsidP="00473C3B">
      <w:pPr>
        <w:rPr>
          <w:rFonts w:ascii="Calibri" w:eastAsia="Calibri" w:hAnsi="Calibri" w:cs="Calibri"/>
          <w:color w:val="44546A"/>
          <w:szCs w:val="20"/>
          <w:lang w:eastAsia="ja-JP"/>
        </w:rPr>
      </w:pPr>
      <w:r w:rsidRPr="00671E8F">
        <w:rPr>
          <w:rFonts w:ascii="Calibri" w:eastAsia="Calibri" w:hAnsi="Calibri" w:cs="Calibri"/>
          <w:color w:val="44546A"/>
          <w:szCs w:val="20"/>
          <w:lang w:eastAsia="ja-JP"/>
        </w:rPr>
        <w:t>Побољшање квалитета и транспарентности статистике државних финансија</w:t>
      </w:r>
      <w:r w:rsidRPr="00671E8F">
        <w:rPr>
          <w:rFonts w:ascii="Calibri" w:eastAsia="Calibri" w:hAnsi="Calibri" w:cs="Calibri"/>
          <w:b/>
          <w:bCs/>
          <w:color w:val="44546A"/>
          <w:szCs w:val="20"/>
          <w:lang w:eastAsia="ja-JP"/>
        </w:rPr>
        <w:t xml:space="preserve"> </w:t>
      </w:r>
      <w:r w:rsidRPr="00671E8F">
        <w:rPr>
          <w:rFonts w:ascii="Calibri" w:eastAsia="Calibri" w:hAnsi="Calibri" w:cs="Calibri"/>
          <w:color w:val="44546A"/>
          <w:szCs w:val="20"/>
          <w:lang w:eastAsia="ja-JP"/>
        </w:rPr>
        <w:t>врши</w:t>
      </w:r>
      <w:r w:rsidRPr="00671E8F">
        <w:t xml:space="preserve"> </w:t>
      </w:r>
      <w:r w:rsidRPr="00671E8F">
        <w:rPr>
          <w:rFonts w:ascii="Calibri" w:eastAsia="Calibri" w:hAnsi="Calibri" w:cs="Calibri"/>
          <w:color w:val="44546A"/>
          <w:szCs w:val="20"/>
          <w:lang w:eastAsia="ja-JP"/>
        </w:rPr>
        <w:t>се кроз унапређење свеобухватне, правовремене и аутоматске размене података између надлежних институција – Републичког завода за статистику, Народне банке Србије и Министарства финансија, у складу са Споразумом о сарадњи у области статистике националних рачуна сектора државе и с њом повезаних статистика. У априлу 2018. године Републички завод за статистику је објавио листу институција које чине сектор државе, као и остале секторе, у складу са Европским системом националних и регионалних рачуна (ESA 2010), Системом националних рачуна (SNA 2008) и Приручником о дефициту и дугу сектора државе, која је урађена у сарадњи са Народном банком Србије и Министарством финансија. Управа за јавни дуг од средине 2021. тромесечно објављује податке о мастришком дугу, који израђује Народна банка Србије у складу са ESA 2010</w:t>
      </w:r>
      <w:r w:rsidRPr="00671E8F">
        <w:rPr>
          <w:rFonts w:ascii="Calibri" w:eastAsia="Calibri" w:hAnsi="Calibri" w:cs="Calibri"/>
          <w:b/>
          <w:bCs/>
          <w:color w:val="44546A"/>
          <w:szCs w:val="20"/>
          <w:lang w:eastAsia="ja-JP"/>
        </w:rPr>
        <w:t>.</w:t>
      </w:r>
      <w:r w:rsidRPr="00671E8F">
        <w:rPr>
          <w:rFonts w:ascii="Calibri" w:eastAsia="Calibri" w:hAnsi="Calibri" w:cs="Calibri"/>
          <w:color w:val="44546A"/>
          <w:szCs w:val="20"/>
          <w:lang w:eastAsia="ja-JP"/>
        </w:rPr>
        <w:t xml:space="preserve"> У току је пројекат у сарадњи са ММФ који има за циљ да се у оквиру Управе за трезор, као централног информационог система и свеобухватне базе података изгради систем који ће омогућити прикупљање и консолидацију података за сектор државе како по националној методологији тако и по методологији GFSM 2014, укључујући и месечно извештавање о јавном дугу, кроз постепено увођење институција у његов обухват. Од маја 2009. године Република Србија је члан општег система за дисеминацију (достављање) података (</w:t>
      </w:r>
      <w:r w:rsidRPr="00671E8F">
        <w:rPr>
          <w:rFonts w:ascii="Calibri" w:eastAsia="Calibri" w:hAnsi="Calibri" w:cs="Calibri"/>
          <w:i/>
          <w:color w:val="44546A"/>
          <w:szCs w:val="20"/>
          <w:lang w:eastAsia="ja-JP"/>
        </w:rPr>
        <w:t>General Data Dissemination System</w:t>
      </w:r>
      <w:r w:rsidRPr="00671E8F">
        <w:rPr>
          <w:rFonts w:ascii="Calibri" w:eastAsia="Calibri" w:hAnsi="Calibri" w:cs="Calibri"/>
          <w:color w:val="44546A"/>
          <w:szCs w:val="20"/>
          <w:lang w:eastAsia="ja-JP"/>
        </w:rPr>
        <w:t xml:space="preserve"> – GDDS) Међународног монетарног фонда, односно члан проширеног општег система дисеминације података (</w:t>
      </w:r>
      <w:r w:rsidRPr="00671E8F">
        <w:rPr>
          <w:rFonts w:ascii="Calibri" w:eastAsia="Calibri" w:hAnsi="Calibri" w:cs="Calibri"/>
          <w:i/>
          <w:color w:val="44546A"/>
          <w:szCs w:val="20"/>
          <w:lang w:eastAsia="ja-JP"/>
        </w:rPr>
        <w:t>Enhanced General Data Dissemination System</w:t>
      </w:r>
      <w:r w:rsidRPr="00671E8F">
        <w:rPr>
          <w:rFonts w:ascii="Calibri" w:eastAsia="Calibri" w:hAnsi="Calibri" w:cs="Calibri"/>
          <w:color w:val="44546A"/>
          <w:szCs w:val="20"/>
          <w:lang w:eastAsia="ja-JP"/>
        </w:rPr>
        <w:t xml:space="preserve"> – у даљем тексту: e-GDDS) од 2015. године. Систем e-GDDS заменио је и наследио GDDS, те представља структурирани систем који има за циљ унапређење квалитета и дисеминације података из области економске, финансијске и социодемографске статистике држава чланица Међународног монетарног фонда. У сарадњи </w:t>
      </w:r>
      <w:r w:rsidRPr="00671E8F">
        <w:rPr>
          <w:rFonts w:ascii="Calibri" w:eastAsia="Calibri" w:hAnsi="Calibri" w:cs="Calibri"/>
          <w:color w:val="44546A"/>
          <w:szCs w:val="20"/>
          <w:lang w:eastAsia="ja-JP"/>
        </w:rPr>
        <w:lastRenderedPageBreak/>
        <w:t>Републичког завода за статистику, Народне банке Србије, Министарства финансија и Београдске берзе, у оквиру e-GDDS, израђена је национална страница сумарних података (</w:t>
      </w:r>
      <w:r w:rsidRPr="00671E8F">
        <w:rPr>
          <w:rFonts w:ascii="Calibri" w:eastAsia="Calibri" w:hAnsi="Calibri" w:cs="Calibri"/>
          <w:i/>
          <w:color w:val="44546A"/>
          <w:szCs w:val="20"/>
          <w:lang w:eastAsia="ja-JP"/>
        </w:rPr>
        <w:t>National Summary Data Page</w:t>
      </w:r>
      <w:r w:rsidRPr="00671E8F">
        <w:rPr>
          <w:rFonts w:ascii="Calibri" w:eastAsia="Calibri" w:hAnsi="Calibri" w:cs="Calibri"/>
          <w:color w:val="44546A"/>
          <w:szCs w:val="20"/>
          <w:lang w:eastAsia="ja-JP"/>
        </w:rPr>
        <w:t xml:space="preserve"> – NSDP) за Републику Србију, која је постављена на веб-сајту Републичког завода за статистику. Страница примењује стандардизовани систем за размену података и метаподатака (</w:t>
      </w:r>
      <w:r w:rsidRPr="00671E8F">
        <w:rPr>
          <w:rFonts w:ascii="Calibri" w:eastAsia="Calibri" w:hAnsi="Calibri" w:cs="Calibri"/>
          <w:i/>
          <w:color w:val="44546A"/>
          <w:szCs w:val="20"/>
          <w:lang w:eastAsia="ja-JP"/>
        </w:rPr>
        <w:t>Statistical Data and Metadata Exchange</w:t>
      </w:r>
      <w:r w:rsidRPr="00671E8F">
        <w:rPr>
          <w:rFonts w:ascii="Calibri" w:eastAsia="Calibri" w:hAnsi="Calibri" w:cs="Calibri"/>
          <w:color w:val="44546A"/>
          <w:szCs w:val="20"/>
          <w:lang w:eastAsia="ja-JP"/>
        </w:rPr>
        <w:t xml:space="preserve"> – SDMX) у настојању да служи као јединствено средство публиковања за главне макроекономске и финансијске податке Републике Србије. </w:t>
      </w:r>
      <w:r w:rsidRPr="00671E8F">
        <w:rPr>
          <w:rFonts w:ascii="Calibri" w:eastAsia="Calibri" w:hAnsi="Calibri" w:cs="Calibri"/>
          <w:color w:val="44546A"/>
          <w:szCs w:val="20"/>
          <w:lang w:eastAsia="ja-JP"/>
        </w:rPr>
        <w:t>Републички завод за статистику је ове године извршио велику (бенчмарк) ревизију националних рачуна, током које су, између осталог, имплементирана методолошка унапређења акумулирана током периода након 2019. године у области макроекономских статистика и националних рачуна. Имајући у виду остварен напредак у погледу националних рачуна и квалитета фискалне статистике биће размотрено аплицирање за специјални систем дисеминације података (</w:t>
      </w:r>
      <w:r w:rsidRPr="00671E8F">
        <w:rPr>
          <w:rFonts w:ascii="Calibri" w:eastAsia="Calibri" w:hAnsi="Calibri" w:cs="Calibri"/>
          <w:i/>
          <w:color w:val="44546A"/>
          <w:szCs w:val="20"/>
          <w:lang w:eastAsia="ja-JP"/>
        </w:rPr>
        <w:t>Special Data Dissemination Standard</w:t>
      </w:r>
      <w:r w:rsidRPr="00671E8F">
        <w:rPr>
          <w:rFonts w:ascii="Calibri" w:eastAsia="Calibri" w:hAnsi="Calibri" w:cs="Calibri"/>
          <w:color w:val="44546A"/>
          <w:szCs w:val="20"/>
          <w:lang w:eastAsia="ja-JP"/>
        </w:rPr>
        <w:t xml:space="preserve"> – SDDS).</w:t>
      </w:r>
    </w:p>
    <w:p w14:paraId="08A95D11" w14:textId="77777777" w:rsidR="00473C3B" w:rsidRPr="00671E8F" w:rsidRDefault="00473C3B" w:rsidP="00473C3B">
      <w:pPr>
        <w:keepNext/>
        <w:keepLines/>
        <w:spacing w:after="320"/>
        <w:jc w:val="center"/>
        <w:outlineLvl w:val="1"/>
        <w:rPr>
          <w:rFonts w:eastAsia="MS PGothic" w:cstheme="minorHAnsi"/>
          <w:b/>
          <w:color w:val="2F5496" w:themeColor="accent1" w:themeShade="BF"/>
          <w:sz w:val="24"/>
          <w:szCs w:val="26"/>
          <w:lang w:eastAsia="ja-JP"/>
        </w:rPr>
        <w:sectPr w:rsidR="00473C3B" w:rsidRPr="00671E8F" w:rsidSect="00473C3B">
          <w:headerReference w:type="even" r:id="rId160"/>
          <w:footerReference w:type="even" r:id="rId161"/>
          <w:footerReference w:type="default" r:id="rId162"/>
          <w:headerReference w:type="first" r:id="rId163"/>
          <w:type w:val="continuous"/>
          <w:pgSz w:w="12240" w:h="15840" w:code="1"/>
          <w:pgMar w:top="1440" w:right="1440" w:bottom="1440" w:left="1440" w:header="720" w:footer="720" w:gutter="0"/>
          <w:cols w:num="2" w:space="720"/>
          <w:titlePg/>
          <w:docGrid w:linePitch="360"/>
          <w15:footnoteColumns w:val="1"/>
        </w:sectPr>
      </w:pPr>
    </w:p>
    <w:p w14:paraId="64641563" w14:textId="77777777" w:rsidR="00473C3B" w:rsidRPr="00671E8F" w:rsidRDefault="00473C3B" w:rsidP="00473C3B">
      <w:pPr>
        <w:jc w:val="left"/>
        <w:rPr>
          <w:rFonts w:eastAsia="MS PGothic" w:cstheme="minorHAnsi"/>
          <w:b/>
          <w:color w:val="2F5496" w:themeColor="accent1" w:themeShade="BF"/>
          <w:sz w:val="24"/>
          <w:szCs w:val="26"/>
          <w:lang w:eastAsia="ja-JP"/>
        </w:rPr>
      </w:pPr>
      <w:r w:rsidRPr="00671E8F">
        <w:rPr>
          <w:rFonts w:eastAsia="MS PGothic" w:cstheme="minorHAnsi"/>
          <w:b/>
          <w:color w:val="2F5496" w:themeColor="accent1" w:themeShade="BF"/>
          <w:sz w:val="24"/>
          <w:szCs w:val="26"/>
          <w:lang w:eastAsia="ja-JP"/>
        </w:rPr>
        <w:br w:type="page"/>
      </w:r>
    </w:p>
    <w:p w14:paraId="6E956A5A" w14:textId="257731F1" w:rsidR="00473C3B" w:rsidRPr="00671E8F" w:rsidRDefault="000B4ACD" w:rsidP="000B4ACD">
      <w:pPr>
        <w:pStyle w:val="Heading2"/>
        <w:jc w:val="center"/>
        <w:rPr>
          <w:rFonts w:asciiTheme="minorHAnsi" w:hAnsiTheme="minorHAnsi" w:cstheme="minorHAnsi"/>
          <w:b/>
          <w:sz w:val="24"/>
        </w:rPr>
      </w:pPr>
      <w:bookmarkStart w:id="65" w:name="_Toc181190970"/>
      <w:r w:rsidRPr="00671E8F">
        <w:rPr>
          <w:rFonts w:asciiTheme="minorHAnsi" w:hAnsiTheme="minorHAnsi" w:cstheme="minorHAnsi"/>
          <w:b/>
          <w:sz w:val="24"/>
        </w:rPr>
        <w:lastRenderedPageBreak/>
        <w:t>4</w:t>
      </w:r>
      <w:r w:rsidR="00473C3B" w:rsidRPr="00671E8F">
        <w:rPr>
          <w:rFonts w:asciiTheme="minorHAnsi" w:hAnsiTheme="minorHAnsi" w:cstheme="minorHAnsi"/>
          <w:b/>
          <w:sz w:val="24"/>
        </w:rPr>
        <w:t>. Фискални ризици</w:t>
      </w:r>
      <w:bookmarkEnd w:id="60"/>
      <w:bookmarkEnd w:id="65"/>
    </w:p>
    <w:p w14:paraId="68C3A5F7" w14:textId="46978021" w:rsidR="000B4ACD" w:rsidRPr="00671E8F" w:rsidRDefault="000B4ACD" w:rsidP="000B4ACD"/>
    <w:p w14:paraId="3D1B5711" w14:textId="77777777" w:rsidR="000B4ACD" w:rsidRPr="00671E8F" w:rsidRDefault="000B4ACD" w:rsidP="000B4ACD">
      <w:pPr>
        <w:sectPr w:rsidR="000B4ACD" w:rsidRPr="00671E8F" w:rsidSect="00F45C01">
          <w:type w:val="continuous"/>
          <w:pgSz w:w="12240" w:h="15840" w:code="1"/>
          <w:pgMar w:top="1440" w:right="1440" w:bottom="1440" w:left="1440" w:header="720" w:footer="720" w:gutter="0"/>
          <w:cols w:space="720"/>
          <w:titlePg/>
          <w:docGrid w:linePitch="360"/>
        </w:sectPr>
      </w:pPr>
    </w:p>
    <w:p w14:paraId="751DF468"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Предмет и значење израза</w:t>
      </w:r>
    </w:p>
    <w:p w14:paraId="19362169"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Фискални ризици представљају изложеност јавних финансија одређеним околностима које могу проузроковати одступања од пројектованог фискалног оквира. До одступања може доћи у приходима, расходима, фискалном резултату, као и у имовини и обавезама државе, у односу на оно што је планирано и очекивано. На спољашње ризике, попут природних катастрофа или глобалних финансијских криза, Влада не може да утиче, али могуће је дефинисати излазне стратегије које би ублажиле њихово дејство (очување стабилности у 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 ризици, односно њихова материјализација последица су активности у јавном сектору, те се на вероватноћу њихове реализације може утицати одлукама и политикама Владе.</w:t>
      </w:r>
    </w:p>
    <w:p w14:paraId="4CAC74B6"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Идентификација највећих фискалних ризика који могу утицати на државне финансије у средњем року полазна је тачка у бољем управљању фискалним ризицима. О одређеним фискалним ризицима постоје детаљни подаци и лако се може идентификовати да ли ће и са коликом вероватноћом утицати на фискалне агрегате у средњем року. За друге, пак, не постоје довољно детаљни подаци, али и само њихово идентификовање подиже свест о могућности да у наредном периоду доведу до одступања од планираног фискалног оквира.</w:t>
      </w:r>
    </w:p>
    <w:p w14:paraId="0F065378"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мора имати и водећу улогу у успостављању институционалне и законске структуре, те изградњи капацитета неопходних за управљање фискалним ризицима. Сектор за праћење фискалних ризика, организациона јединица за управљање фискалним ризицима у Министарству финансија, </w:t>
      </w:r>
    </w:p>
    <w:p w14:paraId="00BCE4E9" w14:textId="77777777" w:rsidR="00473C3B" w:rsidRPr="00671E8F" w:rsidRDefault="00473C3B" w:rsidP="00473C3B">
      <w:pPr>
        <w:rPr>
          <w:rFonts w:eastAsia="MS PGothic" w:cstheme="minorHAnsi"/>
          <w:szCs w:val="20"/>
          <w:lang w:eastAsia="ja-JP"/>
        </w:rPr>
      </w:pPr>
    </w:p>
    <w:p w14:paraId="69A6689A"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основан је са циљем да ради на јачању законске регулативе и методолошког оквира, изградњи капацитета, те развијању техничких алата и модела неопходних за праћење и процену фискалних ризика. Намера је да резултат ових активности буде идентификација и процена ризика и предлагање излазних стратегија, као помоћ Влади у очувању стабилности јавних финансија, што је кључни циљ фискалне политике и један од основних предуслова за динамичнији привредни раст.</w:t>
      </w:r>
    </w:p>
    <w:p w14:paraId="3007D15C"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циљу спровођења наведеног процеса праћења фискалних ризика, у октобру 2021. године, усвојена је Јединствена методологија, која је припремљена уз помоћ Светске банке, која обухвата четири основне методологије и то:</w:t>
      </w:r>
    </w:p>
    <w:p w14:paraId="36F78D90"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1) Методологију за праћење фискалних ризика који произилазе из пословања државних предузећа;</w:t>
      </w:r>
    </w:p>
    <w:p w14:paraId="51FEB0AB"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2) Методологију за праћење фискалних ризика по буџет Републике Србије који произилазе из вршења надлежности јединица локалне самоуправе;</w:t>
      </w:r>
    </w:p>
    <w:p w14:paraId="32CC646B"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3) Методологију за праћење фискалних ризика по основу судских поступака;</w:t>
      </w:r>
    </w:p>
    <w:p w14:paraId="66351D9B" w14:textId="77777777" w:rsidR="00473C3B" w:rsidRPr="00671E8F" w:rsidRDefault="00473C3B" w:rsidP="00473C3B">
      <w:pPr>
        <w:spacing w:after="120"/>
        <w:rPr>
          <w:rFonts w:eastAsia="MS PGothic" w:cstheme="minorHAnsi"/>
          <w:szCs w:val="20"/>
          <w:lang w:eastAsia="ja-JP"/>
        </w:rPr>
      </w:pPr>
      <w:r w:rsidRPr="00671E8F">
        <w:rPr>
          <w:rFonts w:eastAsia="MS PGothic" w:cstheme="minorHAnsi"/>
          <w:szCs w:val="20"/>
          <w:lang w:eastAsia="ja-JP"/>
        </w:rPr>
        <w:t>4) Методологију за праћење фискалних ризика који се јављају као последица елементарних непогода.</w:t>
      </w:r>
    </w:p>
    <w:p w14:paraId="1EBDC11E"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Главни фискални ризици за 2023–2024.</w:t>
      </w:r>
    </w:p>
    <w:p w14:paraId="70A64E66"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Током јесени 2021. године десили су се поремећаји на енергетском тржишту у свету. Криза у енергетском сектору се само надовезала на већ постојећу кризу изазвану пандемијом COVID-19. Због повећане тражње узроковане постпандемијским развојем економије и проблема у снабдевању, односно недовољне понуде и недовољних залиха, цене природног гаса су достигле историјске максимуме. Ово је подстакло тражњу за осталим енергентима, чије су цене изузетно порасле. Високе цене осталих енергената, а у Европи и смањена производња из </w:t>
      </w:r>
      <w:r w:rsidRPr="00671E8F">
        <w:rPr>
          <w:rFonts w:eastAsia="MS PGothic" w:cstheme="minorHAnsi"/>
          <w:szCs w:val="20"/>
          <w:lang w:eastAsia="ja-JP"/>
        </w:rPr>
        <w:lastRenderedPageBreak/>
        <w:t>електрана на ветар и високе цене дозвола за емисију CO2 довеле су до раста цена електричне енергије, такође до историјских максимума.</w:t>
      </w:r>
    </w:p>
    <w:p w14:paraId="371A893B"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До сада се више пута показало, да раст неког од основних енергената, попут нафте и гаса, доводи до раста осталих цена на тржишту, а на шта је утицала пре свега ситуација и криза у Украјини, те се као један од кључних проблема наметнуло питање енергетске сигурности и европске зависности од руских фосилних горива. Овај след догађаја утицао је да цене електричне енергије и природног гаса у претходном периоду у свету достигну цене знатно веће од уобичајених. Енергетска криза неизбежно се прелила и на Србију, а највише су погођена енергетска предузећа, претежно „Електропривреда Србије” ад и ЈП „Србијагас”.</w:t>
      </w:r>
    </w:p>
    <w:p w14:paraId="100F5EC0"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Због високих цена електричне енергије у претходном периоду, које су угрожавале пословање привредних субјеката у Републици Србији, као и енергетских субјеката који обављају делатност преноса, односно дистрибуције електричне енергије (у вези набавке електричне енергије за губитке), препоручено је да „Електропривреда Србије” ад те субјекте снабдева по ценама нижим од тржишних, чиме је „Електропривреда Србије” ад била изложена финансијском ризику, односно ризик раста цена у потпуности je био пребачен на „Електропривреду Србије” ад. У другој половини 2023. године цене енергената на светском тржишту су се стабилизовале, а што је за последицу имало и стабилност енергетског сектора у Републици Србији.</w:t>
      </w:r>
    </w:p>
    <w:p w14:paraId="38B295B6" w14:textId="77777777" w:rsidR="00473C3B" w:rsidRPr="00671E8F" w:rsidRDefault="00473C3B" w:rsidP="00473C3B">
      <w:pPr>
        <w:rPr>
          <w:rFonts w:eastAsia="MS PGothic" w:cstheme="minorHAnsi"/>
          <w:szCs w:val="20"/>
          <w:highlight w:val="yellow"/>
          <w:lang w:eastAsia="ja-JP"/>
        </w:rPr>
      </w:pPr>
      <w:r w:rsidRPr="00671E8F">
        <w:rPr>
          <w:rFonts w:eastAsia="MS PGothic" w:cstheme="minorHAnsi"/>
          <w:szCs w:val="20"/>
          <w:lang w:eastAsia="ja-JP"/>
        </w:rPr>
        <w:t xml:space="preserve">Република Србија је наставила и у 2023. години да финансијским и стратешким мерама обезбеђује и осигурава снабдевање кључним енергентима. Поред наведеног, уложен је додатни напор да се настави са трансформацијом предузећа из енергетског сектора, тако је 6. априла 2023. године промењена правна форма „Електропривреде Србије” ад из јавног предузећа у нејавно акционарско друштво. Повећање цена електричне енергије током 2022-2023. године, рационално планирање ресурса, кретање цене енергената и позитивни хидролошки трендови утицали су да „Електропривреда Србије” ад заврши 2023. годину </w:t>
      </w:r>
      <w:r w:rsidRPr="00671E8F">
        <w:rPr>
          <w:rFonts w:eastAsia="MS PGothic" w:cstheme="minorHAnsi"/>
          <w:szCs w:val="20"/>
          <w:lang w:eastAsia="ja-JP"/>
        </w:rPr>
        <w:t>са историјским нето добитком од 112,4 млрд динара. Остварени резултат делимично је коришћен за отплату кредита за ликвидност и инвестиционе пројекте што ће имати позитиван ефекат на будуће пословање предузећа. Иако су направљени позитивни помаци у пословању, главни изазов за наредни период је наставак започетих реформи као и енергетска транзиција која ће омогућити постепен прелазак на све већу производњу енергије из обновљивих извора, а што ће свакако захтевати финансијску консолидацију и значајна инвестициона улагања.</w:t>
      </w:r>
    </w:p>
    <w:p w14:paraId="3626362B" w14:textId="77777777" w:rsidR="00473C3B" w:rsidRPr="00671E8F" w:rsidRDefault="00473C3B" w:rsidP="00473C3B">
      <w:pPr>
        <w:rPr>
          <w:rFonts w:eastAsia="MS PGothic" w:cstheme="minorHAnsi"/>
          <w:szCs w:val="20"/>
          <w:highlight w:val="yellow"/>
          <w:lang w:eastAsia="ja-JP"/>
        </w:rPr>
      </w:pPr>
      <w:r w:rsidRPr="00671E8F">
        <w:rPr>
          <w:rFonts w:eastAsia="MS PGothic" w:cstheme="minorHAnsi"/>
          <w:szCs w:val="20"/>
          <w:lang w:eastAsia="ja-JP"/>
        </w:rPr>
        <w:t>Важну улогу за енергетску стабилност има и друго прeдузeћe из oблaсти eлeктрoeнeргeтикe – „Елeктродистрибуциja Србијe” доо (ЕДС), који од 2021. године послује самостално (до 2021. године у саставу ЕПС-а ад). У претходној 2023. години, основни приходи од мрежарине EДС-у нису били дoвoљни зa oдрживo пoслoвањe због високих цeнa eлeктричне eнeргиje која се користи зa нaдoкнaду губитaкa услед чега је Република Србија интервенисала у виду краткорочних бескaмaтних пoзaјмица. Високе цене електричне енергије и осталe околности у енергетском сектору утицале су на пословање овог привредног субјекта да 2023. годину заврши са негативним резултатом од 1 млрд динара. Иако се ЕДС сусретао са бројним изазовима у претходном периоду, позитиван аспект у пословању представљају значајна инвестициона улагања. У првој половини 2024. године окончан је пројекат Реконструкција дистрибутивне мреже којим је замењено преко 34 хиљаде дрвених бандера бетонским, наставља се са реализацијом пројекта Паметна бројила који се финансира делом из донације ЕУ и из кредита ЕБРД и ЕИБ као и пројекат Аутоматизација средњенапонске дистрибутивне мреже који се реализује у сарадњи са компанијом Schneider Electric. Претходно наведени инвестициони пројекти утицаће на решавање једног од главних структурних проблема ЕДС-а којима ће се значајно унапредити дистрибутивне мреже, а што ће допринети смањењу губитака на мрежи. Република Србија препознала је изазове који се налазе пред овим привредним субјектом и за 2024. годину планиран је наставак подршке у виду обезбеђења гаранција у износу од 32,7 млрд динара.</w:t>
      </w:r>
    </w:p>
    <w:p w14:paraId="72F8DB4C"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lastRenderedPageBreak/>
        <w:t>Што се тиче ЈП „Србијагас”, неповољна тржишна кретања у 2021. и 2022. години и финансијска позиција дистрибутера природног гаса утицали су да Република Србија у претходном периоду учествује у финансирању набавки резервних количина гаса као и суфинансирању редовних набавки. Проактивним режимом рада током 2022. и 2023. године обезбеђени су додатни складишни капацитети за природни гас у Мађарској, одакле су се ускладиштене количине повремено повлачиле у зимској сезони 2022/2023. и 2023/2024. године, а преостале количине омогућиће додатну сигурност снабдевања тржишта током зимске сезоне 2024/2025. године. Кретање цена енергената на светском тржишту утицало је да и ЈП „Србијагас” током 2022/2023. године неколико пута изврши корекцију продајних цена гаса, а што је допринело побољшању финансијске позиције овог јавног предузећа. Битно је истаћи и да је ЈП „Србијагас” крајем 2023. године потписало Уговор о испорукама природног гаса у Републику Србију са азербејџанском државном нафтном компанијом „СОКАР”, која је значајан произвођач и извозник фосилних горива, а првенствено природног гаса. Потписивањем овог Уговора наставило се са диверсификацијом у снабдевању чиме се ствара додатна сигурност у случају поремећаја на глобалном тржишту. За 2024. годину планиран је наставак инвестиционих улагања, пре свега у делатностима транспорта и дистрибуцији гаса, односно наставак развоја дистрибутивне мреже и јачање транспортних капацитета гасовода у Републици Србији.</w:t>
      </w:r>
    </w:p>
    <w:p w14:paraId="5001DDFB" w14:textId="77777777" w:rsidR="00473C3B" w:rsidRPr="00671E8F" w:rsidRDefault="00473C3B" w:rsidP="00473C3B">
      <w:pPr>
        <w:rPr>
          <w:rFonts w:eastAsia="MS PGothic" w:cstheme="minorHAnsi"/>
          <w:szCs w:val="20"/>
          <w:lang w:eastAsia="ja-JP"/>
        </w:rPr>
      </w:pPr>
      <w:bookmarkStart w:id="66" w:name="_Hlk179981160"/>
      <w:r w:rsidRPr="00671E8F">
        <w:rPr>
          <w:rFonts w:eastAsia="MS PGothic" w:cstheme="minorHAnsi"/>
          <w:szCs w:val="20"/>
          <w:lang w:eastAsia="ja-JP"/>
        </w:rPr>
        <w:t xml:space="preserve">Ефекти енергетске кризе у свету, нису заобишли ни ЈП „Путеви Србије” који су идентификовани као носилац високог фискалног ризика због раста цена основних енергената и главних сировина потребних за обављање основне делатности, што би могло додатно да погорша финансијску позицију овог јавног предузећа, а самим тим и повећа ослањање на буџет Републике Србије. У циљу благовременог спречавања утицаја на буџет, током 2023. године Република Србија је донела </w:t>
      </w:r>
      <w:r w:rsidRPr="00671E8F">
        <w:rPr>
          <w:rFonts w:eastAsia="MS PGothic" w:cstheme="minorHAnsi"/>
          <w:szCs w:val="20"/>
          <w:lang w:eastAsia="ja-JP"/>
        </w:rPr>
        <w:t>низ мера. Како би се избегли негативни ефекти и њихов утицај на буџет Републике Србије, ЈП „Путеви Србије” су од 1. априла 2023. године повећали цене путарина за 14%, односно 8% за возила са ТАГ уређајем</w:t>
      </w:r>
      <w:bookmarkEnd w:id="66"/>
      <w:r w:rsidRPr="00671E8F">
        <w:rPr>
          <w:rFonts w:eastAsia="MS PGothic" w:cstheme="minorHAnsi"/>
          <w:szCs w:val="20"/>
          <w:lang w:eastAsia="ja-JP"/>
        </w:rPr>
        <w:t xml:space="preserve">, такође је средином 2024. године извршено нова измена ценовника. </w:t>
      </w:r>
    </w:p>
    <w:p w14:paraId="72ADCB42" w14:textId="77777777" w:rsidR="00473C3B" w:rsidRPr="00671E8F" w:rsidRDefault="00473C3B" w:rsidP="00473C3B">
      <w:r w:rsidRPr="00671E8F">
        <w:rPr>
          <w:rFonts w:eastAsia="MS PGothic" w:cstheme="minorHAnsi"/>
          <w:szCs w:val="20"/>
          <w:lang w:eastAsia="ja-JP"/>
        </w:rPr>
        <w:t>Слична ситуација идентификована је и код „Коридори Србије” доо, због високих издатака за капиталне инвестиције које су у надлежности овог друштва, те самим тим, промене цена основних сировина могу значајно повећати трошкове спровођења пројеката и повећати ослањање на буџет Републике Србије, у циљу континуиране реализације пројекта.</w:t>
      </w:r>
    </w:p>
    <w:p w14:paraId="105BA475" w14:textId="77777777" w:rsidR="00473C3B" w:rsidRPr="00671E8F" w:rsidRDefault="00473C3B" w:rsidP="00473C3B">
      <w:pPr>
        <w:jc w:val="left"/>
        <w:rPr>
          <w:rFonts w:cstheme="minorHAnsi"/>
          <w:b/>
          <w:color w:val="2F5496" w:themeColor="accent1" w:themeShade="BF"/>
          <w:sz w:val="24"/>
          <w:szCs w:val="24"/>
        </w:rPr>
      </w:pPr>
      <w:bookmarkStart w:id="67" w:name="_Hlk180400586"/>
      <w:r w:rsidRPr="00671E8F">
        <w:rPr>
          <w:rFonts w:cstheme="minorHAnsi"/>
          <w:b/>
          <w:color w:val="2F5496" w:themeColor="accent1" w:themeShade="BF"/>
          <w:sz w:val="24"/>
          <w:szCs w:val="24"/>
        </w:rPr>
        <w:t>Анализа фискалних ризика</w:t>
      </w:r>
    </w:p>
    <w:p w14:paraId="26C0CB30"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Државне гаранције</w:t>
      </w:r>
    </w:p>
    <w:p w14:paraId="4D3FAA22" w14:textId="77777777" w:rsidR="00473C3B" w:rsidRPr="00671E8F" w:rsidRDefault="00473C3B" w:rsidP="00473C3B">
      <w:pPr>
        <w:spacing w:after="240"/>
        <w:rPr>
          <w:rFonts w:eastAsia="MS PGothic" w:cstheme="minorHAnsi"/>
          <w:szCs w:val="20"/>
          <w:highlight w:val="yellow"/>
          <w:lang w:eastAsia="ja-JP"/>
        </w:rPr>
      </w:pPr>
      <w:r w:rsidRPr="00671E8F">
        <w:rPr>
          <w:rFonts w:eastAsia="MS PGothic" w:cstheme="minorHAnsi"/>
          <w:szCs w:val="20"/>
          <w:lang w:eastAsia="ja-JP"/>
        </w:rPr>
        <w:t>Гаранције издате од стране државе утичу на висину јавног дуга, али и на висину дефицита, уколико отплату по кредиту уместо првобитног дужника преузме држава. Издате гаранције су према дефиницији одређеној Законом о јавном дугу</w:t>
      </w:r>
      <w:r w:rsidRPr="00671E8F">
        <w:rPr>
          <w:rFonts w:eastAsia="MS PGothic" w:cstheme="minorHAnsi"/>
          <w:szCs w:val="20"/>
          <w:vertAlign w:val="superscript"/>
          <w:lang w:eastAsia="ja-JP"/>
        </w:rPr>
        <w:footnoteReference w:id="5"/>
      </w:r>
      <w:r w:rsidRPr="00671E8F">
        <w:rPr>
          <w:rFonts w:eastAsia="MS PGothic" w:cstheme="minorHAnsi"/>
          <w:szCs w:val="20"/>
          <w:lang w:eastAsia="ja-JP"/>
        </w:rPr>
        <w:t xml:space="preserve"> део индиректних обавеза и у укупном износу се укључују у јавни дуг. На дан 31. августа 2024. године укупно стање јавног дуга у сектору државе износило је 4.484,7 млрд динара, што чини 46,7% БДП</w:t>
      </w:r>
      <w:r w:rsidRPr="00671E8F">
        <w:rPr>
          <w:rFonts w:eastAsia="MS PGothic" w:cstheme="minorHAnsi"/>
          <w:vertAlign w:val="superscript"/>
          <w:lang w:eastAsia="ja-JP"/>
        </w:rPr>
        <w:footnoteReference w:id="6"/>
      </w:r>
      <w:r w:rsidRPr="00671E8F">
        <w:rPr>
          <w:rFonts w:eastAsia="MS PGothic" w:cstheme="minorHAnsi"/>
          <w:szCs w:val="20"/>
          <w:lang w:eastAsia="ja-JP"/>
        </w:rPr>
        <w:t>, од чега директне обавезе чине 4.249,0 млрд динара (44,2% БДП), индиректне обавезе 205.7 млрд динара (2,1% БДП) и негарантовани остали дуг сектора државе 30 млрд динара (0,3% БДП).</w:t>
      </w:r>
    </w:p>
    <w:p w14:paraId="1E6EAEF3" w14:textId="77777777" w:rsidR="00473C3B" w:rsidRPr="00671E8F" w:rsidRDefault="00473C3B" w:rsidP="00473C3B">
      <w:pPr>
        <w:spacing w:after="240"/>
        <w:rPr>
          <w:rFonts w:eastAsia="MS PGothic" w:cstheme="minorHAnsi"/>
          <w:szCs w:val="20"/>
          <w:lang w:eastAsia="ja-JP"/>
        </w:rPr>
      </w:pPr>
      <w:r w:rsidRPr="00671E8F">
        <w:rPr>
          <w:rFonts w:eastAsia="MS PGothic" w:cstheme="minorHAnsi"/>
          <w:szCs w:val="20"/>
          <w:lang w:eastAsia="ja-JP"/>
        </w:rPr>
        <w:t>Ограничења постављена на издавање нових гаранција у последњих 10 година дала су резултате, те се учешће индиректних обавеза у укупном јавном дугу смањивало из године у годину. Индиректне обавезе (издате гаранције од стране Републике Србије) су учествовале са 9,5% у дугу сектора државе на крају 2015. године, док су на крају 2023. године оне чиниле 5,0% дуга сектора државе. На дан 31. августа 2024. године, индиректне обавезе су учествовале са 4,6% у дугу сектора државе.</w:t>
      </w:r>
    </w:p>
    <w:p w14:paraId="173A5687" w14:textId="77777777" w:rsidR="00473C3B" w:rsidRPr="00671E8F" w:rsidRDefault="00473C3B" w:rsidP="00473C3B">
      <w:pPr>
        <w:spacing w:after="240"/>
        <w:rPr>
          <w:rFonts w:eastAsia="MS PGothic" w:cstheme="minorHAnsi"/>
          <w:szCs w:val="20"/>
          <w:highlight w:val="yellow"/>
          <w:lang w:eastAsia="ja-JP"/>
        </w:rPr>
        <w:sectPr w:rsidR="00473C3B" w:rsidRPr="00671E8F" w:rsidSect="00473C3B">
          <w:headerReference w:type="even" r:id="rId164"/>
          <w:footerReference w:type="even" r:id="rId165"/>
          <w:footerReference w:type="default" r:id="rId166"/>
          <w:headerReference w:type="first" r:id="rId167"/>
          <w:type w:val="continuous"/>
          <w:pgSz w:w="12240" w:h="15840"/>
          <w:pgMar w:top="1440" w:right="1440" w:bottom="1440" w:left="1440" w:header="720" w:footer="720" w:gutter="0"/>
          <w:cols w:num="2" w:space="720"/>
          <w:docGrid w:linePitch="360"/>
          <w15:footnoteColumns w:val="1"/>
        </w:sectPr>
      </w:pPr>
    </w:p>
    <w:p w14:paraId="34164000" w14:textId="77777777" w:rsidR="00473C3B" w:rsidRPr="00671E8F" w:rsidRDefault="00473C3B" w:rsidP="00473C3B">
      <w:pPr>
        <w:rPr>
          <w:highlight w:val="yellow"/>
          <w:lang w:eastAsia="ja-JP"/>
        </w:rPr>
      </w:pPr>
    </w:p>
    <w:p w14:paraId="54A21A5D" w14:textId="77777777" w:rsidR="00473C3B" w:rsidRPr="00671E8F" w:rsidRDefault="00473C3B" w:rsidP="00473C3B">
      <w:pPr>
        <w:rPr>
          <w:highlight w:val="yellow"/>
          <w:lang w:eastAsia="ja-JP"/>
        </w:rPr>
      </w:pPr>
    </w:p>
    <w:p w14:paraId="69DA3DDF" w14:textId="77777777" w:rsidR="00473C3B" w:rsidRPr="00671E8F" w:rsidRDefault="00473C3B" w:rsidP="00473C3B">
      <w:pPr>
        <w:spacing w:after="0"/>
        <w:jc w:val="center"/>
        <w:rPr>
          <w:rFonts w:cstheme="minorHAnsi"/>
          <w:b/>
          <w:bCs/>
          <w:szCs w:val="20"/>
        </w:rPr>
      </w:pPr>
    </w:p>
    <w:p w14:paraId="748476EA" w14:textId="77777777"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Учешће индиректног дуга у дугу сектора државе (у %)</w:t>
      </w:r>
    </w:p>
    <w:p w14:paraId="18D2E639" w14:textId="77777777" w:rsidR="00473C3B" w:rsidRPr="00671E8F" w:rsidRDefault="00473C3B" w:rsidP="00473C3B">
      <w:pPr>
        <w:spacing w:after="120"/>
        <w:jc w:val="center"/>
        <w:rPr>
          <w:highlight w:val="yellow"/>
        </w:rPr>
      </w:pPr>
      <w:r w:rsidRPr="00671E8F">
        <w:rPr>
          <w:noProof/>
          <w:lang w:val="en-US"/>
        </w:rPr>
        <w:drawing>
          <wp:inline distT="0" distB="0" distL="0" distR="0" wp14:anchorId="572B1FD1" wp14:editId="2C7071C3">
            <wp:extent cx="3054375" cy="1590675"/>
            <wp:effectExtent l="0" t="0" r="0" b="0"/>
            <wp:docPr id="1083995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3063366" cy="1595357"/>
                    </a:xfrm>
                    <a:prstGeom prst="rect">
                      <a:avLst/>
                    </a:prstGeom>
                    <a:noFill/>
                  </pic:spPr>
                </pic:pic>
              </a:graphicData>
            </a:graphic>
          </wp:inline>
        </w:drawing>
      </w:r>
    </w:p>
    <w:p w14:paraId="6DD6CBE1" w14:textId="77777777" w:rsidR="00473C3B" w:rsidRPr="00671E8F" w:rsidRDefault="00473C3B" w:rsidP="00473C3B">
      <w:pPr>
        <w:rPr>
          <w:rFonts w:eastAsia="MS PGothic" w:cstheme="minorHAnsi"/>
          <w:szCs w:val="20"/>
          <w:highlight w:val="yellow"/>
          <w:lang w:eastAsia="ja-JP"/>
        </w:rPr>
      </w:pPr>
    </w:p>
    <w:p w14:paraId="6458794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Када анализирамо структуру гарантованог дуга по корисницима, уочавамо да је водећу улогу у 2024. години преузела „Електропривреда Србије“ ад. У претходне две године на првом месту по висини гарантованог дуга било ЈП „Србијагас“. Учешће „Електропривреда Србије“ ад у укупним индиректним обавезама је 32,7% (67,2 млрд динара), док ЈП „Србијагас“ чини 32,2% (66,2 млрд динара) а ЈП „Путеви Србије” 10,0% (20,5 млрд динара).</w:t>
      </w:r>
    </w:p>
    <w:p w14:paraId="3130E95D" w14:textId="77777777" w:rsidR="00473C3B" w:rsidRPr="00671E8F" w:rsidRDefault="00473C3B" w:rsidP="00473C3B">
      <w:pPr>
        <w:spacing w:after="120" w:line="276" w:lineRule="auto"/>
        <w:rPr>
          <w:rFonts w:eastAsia="MS PGothic" w:cstheme="minorHAnsi"/>
          <w:b/>
          <w:bCs/>
          <w:color w:val="002060"/>
          <w:szCs w:val="20"/>
          <w:highlight w:val="yellow"/>
          <w:lang w:eastAsia="ja-JP"/>
        </w:rPr>
        <w:sectPr w:rsidR="00473C3B" w:rsidRPr="00671E8F" w:rsidSect="00473C3B">
          <w:type w:val="continuous"/>
          <w:pgSz w:w="12240" w:h="15840"/>
          <w:pgMar w:top="1440" w:right="1440" w:bottom="1440" w:left="1440" w:header="720" w:footer="720" w:gutter="0"/>
          <w:cols w:num="2" w:space="720"/>
          <w:docGrid w:linePitch="360"/>
        </w:sectPr>
      </w:pPr>
    </w:p>
    <w:p w14:paraId="3C756F73" w14:textId="736DFB09" w:rsidR="00473C3B" w:rsidRPr="00671E8F" w:rsidRDefault="00473C3B" w:rsidP="00473C3B">
      <w:pPr>
        <w:spacing w:after="120"/>
        <w:jc w:val="center"/>
        <w:rPr>
          <w:rFonts w:eastAsia="MS PGothic" w:cstheme="minorHAnsi"/>
          <w:b/>
          <w:color w:val="002060"/>
          <w:szCs w:val="20"/>
          <w:lang w:eastAsia="ja-JP"/>
        </w:rPr>
      </w:pPr>
      <w:bookmarkStart w:id="68" w:name="_Hlk179894285"/>
      <w:r w:rsidRPr="00671E8F">
        <w:rPr>
          <w:rFonts w:eastAsia="MS PGothic" w:cstheme="minorHAnsi"/>
          <w:b/>
          <w:color w:val="002060"/>
          <w:szCs w:val="20"/>
          <w:lang w:eastAsia="ja-JP"/>
        </w:rPr>
        <w:t>Табела 1</w:t>
      </w:r>
      <w:r w:rsidR="00FC5CD7" w:rsidRPr="00671E8F">
        <w:rPr>
          <w:rFonts w:eastAsia="MS PGothic" w:cstheme="minorHAnsi"/>
          <w:b/>
          <w:color w:val="002060"/>
          <w:szCs w:val="20"/>
          <w:lang w:eastAsia="ja-JP"/>
        </w:rPr>
        <w:t>2</w:t>
      </w:r>
      <w:r w:rsidRPr="00671E8F">
        <w:rPr>
          <w:rFonts w:eastAsia="MS PGothic" w:cstheme="minorHAnsi"/>
          <w:b/>
          <w:color w:val="002060"/>
          <w:szCs w:val="20"/>
          <w:lang w:eastAsia="ja-JP"/>
        </w:rPr>
        <w:t>. Стање гарантованог дуга по корисницима, млрд динара</w:t>
      </w:r>
    </w:p>
    <w:tbl>
      <w:tblPr>
        <w:tblW w:w="5000" w:type="pct"/>
        <w:tblLook w:val="04A0" w:firstRow="1" w:lastRow="0" w:firstColumn="1" w:lastColumn="0" w:noHBand="0" w:noVBand="1"/>
      </w:tblPr>
      <w:tblGrid>
        <w:gridCol w:w="4599"/>
        <w:gridCol w:w="928"/>
        <w:gridCol w:w="931"/>
        <w:gridCol w:w="929"/>
        <w:gridCol w:w="931"/>
        <w:gridCol w:w="1042"/>
      </w:tblGrid>
      <w:tr w:rsidR="00473C3B" w:rsidRPr="00671E8F" w14:paraId="2F9E359F" w14:textId="77777777" w:rsidTr="00473C3B">
        <w:trPr>
          <w:trHeight w:val="288"/>
        </w:trPr>
        <w:tc>
          <w:tcPr>
            <w:tcW w:w="2467" w:type="pct"/>
            <w:tcBorders>
              <w:top w:val="single" w:sz="4" w:space="0" w:color="002060"/>
              <w:left w:val="nil"/>
              <w:bottom w:val="single" w:sz="4" w:space="0" w:color="002060"/>
              <w:right w:val="nil"/>
            </w:tcBorders>
            <w:shd w:val="clear" w:color="auto" w:fill="FFFFFF" w:themeFill="background1"/>
            <w:noWrap/>
            <w:vAlign w:val="center"/>
            <w:hideMark/>
          </w:tcPr>
          <w:p w14:paraId="00416061" w14:textId="77777777" w:rsidR="00473C3B" w:rsidRPr="00671E8F" w:rsidRDefault="00473C3B" w:rsidP="00473C3B">
            <w:pPr>
              <w:spacing w:after="0" w:line="240" w:lineRule="auto"/>
              <w:jc w:val="left"/>
              <w:rPr>
                <w:rFonts w:ascii="Calibri" w:eastAsia="Times New Roman" w:hAnsi="Calibri" w:cs="Calibri"/>
                <w:b/>
                <w:bCs/>
                <w:color w:val="002060"/>
                <w:sz w:val="18"/>
                <w:szCs w:val="18"/>
              </w:rPr>
            </w:pPr>
            <w:bookmarkStart w:id="69" w:name="_Hlk180069905"/>
            <w:r w:rsidRPr="00671E8F">
              <w:rPr>
                <w:rFonts w:ascii="Calibri" w:eastAsia="Times New Roman" w:hAnsi="Calibri" w:cs="Calibri"/>
                <w:b/>
                <w:bCs/>
                <w:color w:val="002060"/>
                <w:sz w:val="18"/>
                <w:szCs w:val="18"/>
              </w:rPr>
              <w:t xml:space="preserve">Корисник </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671B154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150CD6F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289F4EC5"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029DA64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7500829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31.08.2024</w:t>
            </w:r>
          </w:p>
        </w:tc>
      </w:tr>
      <w:tr w:rsidR="00473C3B" w:rsidRPr="00671E8F" w14:paraId="454D93A0" w14:textId="77777777" w:rsidTr="00473C3B">
        <w:trPr>
          <w:trHeight w:val="288"/>
        </w:trPr>
        <w:tc>
          <w:tcPr>
            <w:tcW w:w="2467" w:type="pct"/>
            <w:tcBorders>
              <w:top w:val="nil"/>
              <w:left w:val="nil"/>
              <w:bottom w:val="nil"/>
              <w:right w:val="nil"/>
            </w:tcBorders>
            <w:shd w:val="clear" w:color="000000" w:fill="FFFFFF"/>
            <w:noWrap/>
            <w:vAlign w:val="center"/>
          </w:tcPr>
          <w:p w14:paraId="637BD4AC"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„Електропривреда Србије” ад</w:t>
            </w:r>
          </w:p>
        </w:tc>
        <w:tc>
          <w:tcPr>
            <w:tcW w:w="506" w:type="pct"/>
            <w:tcBorders>
              <w:top w:val="nil"/>
              <w:left w:val="nil"/>
              <w:bottom w:val="nil"/>
              <w:right w:val="nil"/>
            </w:tcBorders>
            <w:shd w:val="clear" w:color="000000" w:fill="FFFFFF"/>
            <w:noWrap/>
            <w:vAlign w:val="center"/>
          </w:tcPr>
          <w:p w14:paraId="209AC85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43,0</w:t>
            </w:r>
          </w:p>
        </w:tc>
        <w:tc>
          <w:tcPr>
            <w:tcW w:w="507" w:type="pct"/>
            <w:tcBorders>
              <w:top w:val="nil"/>
              <w:left w:val="nil"/>
              <w:bottom w:val="nil"/>
              <w:right w:val="nil"/>
            </w:tcBorders>
            <w:shd w:val="clear" w:color="000000" w:fill="FFFFFF"/>
            <w:noWrap/>
            <w:vAlign w:val="center"/>
          </w:tcPr>
          <w:p w14:paraId="6D05779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42,7</w:t>
            </w:r>
          </w:p>
        </w:tc>
        <w:tc>
          <w:tcPr>
            <w:tcW w:w="506" w:type="pct"/>
            <w:tcBorders>
              <w:top w:val="nil"/>
              <w:left w:val="nil"/>
              <w:bottom w:val="nil"/>
              <w:right w:val="nil"/>
            </w:tcBorders>
            <w:shd w:val="clear" w:color="000000" w:fill="FFFFFF"/>
            <w:noWrap/>
            <w:vAlign w:val="center"/>
          </w:tcPr>
          <w:p w14:paraId="05CACE7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40,6</w:t>
            </w:r>
          </w:p>
        </w:tc>
        <w:tc>
          <w:tcPr>
            <w:tcW w:w="507" w:type="pct"/>
            <w:tcBorders>
              <w:top w:val="nil"/>
              <w:left w:val="nil"/>
              <w:bottom w:val="nil"/>
              <w:right w:val="nil"/>
            </w:tcBorders>
            <w:shd w:val="clear" w:color="000000" w:fill="FFFFFF"/>
            <w:noWrap/>
            <w:vAlign w:val="center"/>
          </w:tcPr>
          <w:p w14:paraId="505EFAE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58,5</w:t>
            </w:r>
          </w:p>
        </w:tc>
        <w:tc>
          <w:tcPr>
            <w:tcW w:w="507" w:type="pct"/>
            <w:tcBorders>
              <w:top w:val="nil"/>
              <w:left w:val="nil"/>
              <w:bottom w:val="nil"/>
              <w:right w:val="nil"/>
            </w:tcBorders>
            <w:shd w:val="clear" w:color="000000" w:fill="FFFFFF"/>
            <w:noWrap/>
            <w:vAlign w:val="center"/>
          </w:tcPr>
          <w:p w14:paraId="66CC43B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67,2</w:t>
            </w:r>
          </w:p>
        </w:tc>
      </w:tr>
      <w:tr w:rsidR="00473C3B" w:rsidRPr="00671E8F" w14:paraId="4E148BB3" w14:textId="77777777" w:rsidTr="00473C3B">
        <w:trPr>
          <w:trHeight w:val="288"/>
        </w:trPr>
        <w:tc>
          <w:tcPr>
            <w:tcW w:w="2467" w:type="pct"/>
            <w:tcBorders>
              <w:top w:val="nil"/>
              <w:left w:val="nil"/>
              <w:bottom w:val="nil"/>
              <w:right w:val="nil"/>
            </w:tcBorders>
            <w:shd w:val="clear" w:color="000000" w:fill="FFFFFF"/>
            <w:noWrap/>
            <w:vAlign w:val="center"/>
          </w:tcPr>
          <w:p w14:paraId="4C252F0D"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JП „Србијагас”</w:t>
            </w:r>
          </w:p>
        </w:tc>
        <w:tc>
          <w:tcPr>
            <w:tcW w:w="506" w:type="pct"/>
            <w:tcBorders>
              <w:top w:val="nil"/>
              <w:left w:val="nil"/>
              <w:bottom w:val="nil"/>
              <w:right w:val="nil"/>
            </w:tcBorders>
            <w:shd w:val="clear" w:color="000000" w:fill="FFFFFF"/>
            <w:noWrap/>
            <w:vAlign w:val="center"/>
          </w:tcPr>
          <w:p w14:paraId="498ADBF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23,1</w:t>
            </w:r>
          </w:p>
        </w:tc>
        <w:tc>
          <w:tcPr>
            <w:tcW w:w="507" w:type="pct"/>
            <w:tcBorders>
              <w:top w:val="nil"/>
              <w:left w:val="nil"/>
              <w:bottom w:val="nil"/>
              <w:right w:val="nil"/>
            </w:tcBorders>
            <w:shd w:val="clear" w:color="000000" w:fill="FFFFFF"/>
            <w:noWrap/>
            <w:vAlign w:val="center"/>
          </w:tcPr>
          <w:p w14:paraId="6F256F3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27,7</w:t>
            </w:r>
          </w:p>
        </w:tc>
        <w:tc>
          <w:tcPr>
            <w:tcW w:w="506" w:type="pct"/>
            <w:tcBorders>
              <w:top w:val="nil"/>
              <w:left w:val="nil"/>
              <w:bottom w:val="nil"/>
              <w:right w:val="nil"/>
            </w:tcBorders>
            <w:shd w:val="clear" w:color="000000" w:fill="FFFFFF"/>
            <w:noWrap/>
            <w:vAlign w:val="center"/>
          </w:tcPr>
          <w:p w14:paraId="0A278A3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55,1</w:t>
            </w:r>
          </w:p>
        </w:tc>
        <w:tc>
          <w:tcPr>
            <w:tcW w:w="507" w:type="pct"/>
            <w:tcBorders>
              <w:top w:val="nil"/>
              <w:left w:val="nil"/>
              <w:bottom w:val="nil"/>
              <w:right w:val="nil"/>
            </w:tcBorders>
            <w:shd w:val="clear" w:color="000000" w:fill="FFFFFF"/>
            <w:noWrap/>
            <w:vAlign w:val="center"/>
          </w:tcPr>
          <w:p w14:paraId="29ED0FC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79,1</w:t>
            </w:r>
          </w:p>
        </w:tc>
        <w:tc>
          <w:tcPr>
            <w:tcW w:w="507" w:type="pct"/>
            <w:tcBorders>
              <w:top w:val="nil"/>
              <w:left w:val="nil"/>
              <w:bottom w:val="nil"/>
              <w:right w:val="nil"/>
            </w:tcBorders>
            <w:shd w:val="clear" w:color="000000" w:fill="FFFFFF"/>
            <w:noWrap/>
            <w:vAlign w:val="center"/>
          </w:tcPr>
          <w:p w14:paraId="0682416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66,2</w:t>
            </w:r>
          </w:p>
        </w:tc>
      </w:tr>
      <w:tr w:rsidR="00473C3B" w:rsidRPr="00671E8F" w14:paraId="7FD3E51A" w14:textId="77777777" w:rsidTr="00473C3B">
        <w:trPr>
          <w:trHeight w:val="288"/>
        </w:trPr>
        <w:tc>
          <w:tcPr>
            <w:tcW w:w="2467" w:type="pct"/>
            <w:tcBorders>
              <w:top w:val="nil"/>
              <w:left w:val="nil"/>
              <w:bottom w:val="nil"/>
              <w:right w:val="nil"/>
            </w:tcBorders>
            <w:shd w:val="clear" w:color="000000" w:fill="FFFFFF"/>
            <w:noWrap/>
            <w:vAlign w:val="center"/>
            <w:hideMark/>
          </w:tcPr>
          <w:p w14:paraId="0540261A"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Железничка предузећа збирно</w:t>
            </w:r>
          </w:p>
        </w:tc>
        <w:tc>
          <w:tcPr>
            <w:tcW w:w="506" w:type="pct"/>
            <w:tcBorders>
              <w:top w:val="nil"/>
              <w:left w:val="nil"/>
              <w:bottom w:val="nil"/>
              <w:right w:val="nil"/>
            </w:tcBorders>
            <w:shd w:val="clear" w:color="000000" w:fill="FFFFFF"/>
            <w:noWrap/>
            <w:vAlign w:val="center"/>
            <w:hideMark/>
          </w:tcPr>
          <w:p w14:paraId="09025F4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35,2</w:t>
            </w:r>
          </w:p>
        </w:tc>
        <w:tc>
          <w:tcPr>
            <w:tcW w:w="507" w:type="pct"/>
            <w:tcBorders>
              <w:top w:val="nil"/>
              <w:left w:val="nil"/>
              <w:bottom w:val="nil"/>
              <w:right w:val="nil"/>
            </w:tcBorders>
            <w:shd w:val="clear" w:color="000000" w:fill="FFFFFF"/>
            <w:noWrap/>
            <w:vAlign w:val="center"/>
            <w:hideMark/>
          </w:tcPr>
          <w:p w14:paraId="3B0E0A99"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31,7</w:t>
            </w:r>
          </w:p>
        </w:tc>
        <w:tc>
          <w:tcPr>
            <w:tcW w:w="506" w:type="pct"/>
            <w:tcBorders>
              <w:top w:val="nil"/>
              <w:left w:val="nil"/>
              <w:bottom w:val="nil"/>
              <w:right w:val="nil"/>
            </w:tcBorders>
            <w:shd w:val="clear" w:color="000000" w:fill="FFFFFF"/>
            <w:noWrap/>
            <w:vAlign w:val="center"/>
            <w:hideMark/>
          </w:tcPr>
          <w:p w14:paraId="24B96753"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31,2</w:t>
            </w:r>
          </w:p>
        </w:tc>
        <w:tc>
          <w:tcPr>
            <w:tcW w:w="507" w:type="pct"/>
            <w:tcBorders>
              <w:top w:val="nil"/>
              <w:left w:val="nil"/>
              <w:bottom w:val="nil"/>
              <w:right w:val="nil"/>
            </w:tcBorders>
            <w:shd w:val="clear" w:color="000000" w:fill="FFFFFF"/>
            <w:noWrap/>
            <w:vAlign w:val="center"/>
            <w:hideMark/>
          </w:tcPr>
          <w:p w14:paraId="77BDA986"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26,3</w:t>
            </w:r>
          </w:p>
        </w:tc>
        <w:tc>
          <w:tcPr>
            <w:tcW w:w="507" w:type="pct"/>
            <w:tcBorders>
              <w:top w:val="nil"/>
              <w:left w:val="nil"/>
              <w:bottom w:val="nil"/>
              <w:right w:val="nil"/>
            </w:tcBorders>
            <w:shd w:val="clear" w:color="000000" w:fill="FFFFFF"/>
            <w:noWrap/>
            <w:vAlign w:val="center"/>
            <w:hideMark/>
          </w:tcPr>
          <w:p w14:paraId="421D79B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23,3</w:t>
            </w:r>
          </w:p>
        </w:tc>
      </w:tr>
      <w:tr w:rsidR="00473C3B" w:rsidRPr="00671E8F" w14:paraId="3FF3D441" w14:textId="77777777" w:rsidTr="00473C3B">
        <w:trPr>
          <w:trHeight w:val="288"/>
        </w:trPr>
        <w:tc>
          <w:tcPr>
            <w:tcW w:w="2467" w:type="pct"/>
            <w:tcBorders>
              <w:top w:val="nil"/>
              <w:left w:val="nil"/>
              <w:bottom w:val="nil"/>
              <w:right w:val="nil"/>
            </w:tcBorders>
            <w:shd w:val="clear" w:color="000000" w:fill="FFFFFF"/>
            <w:noWrap/>
            <w:vAlign w:val="center"/>
            <w:hideMark/>
          </w:tcPr>
          <w:p w14:paraId="7F092568"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ЈП „Путеви Србије”</w:t>
            </w:r>
          </w:p>
        </w:tc>
        <w:tc>
          <w:tcPr>
            <w:tcW w:w="506" w:type="pct"/>
            <w:tcBorders>
              <w:top w:val="nil"/>
              <w:left w:val="nil"/>
              <w:bottom w:val="nil"/>
              <w:right w:val="nil"/>
            </w:tcBorders>
            <w:shd w:val="clear" w:color="000000" w:fill="FFFFFF"/>
            <w:noWrap/>
            <w:vAlign w:val="center"/>
            <w:hideMark/>
          </w:tcPr>
          <w:p w14:paraId="1CECF68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33,7</w:t>
            </w:r>
          </w:p>
        </w:tc>
        <w:tc>
          <w:tcPr>
            <w:tcW w:w="507" w:type="pct"/>
            <w:tcBorders>
              <w:top w:val="nil"/>
              <w:left w:val="nil"/>
              <w:bottom w:val="nil"/>
              <w:right w:val="nil"/>
            </w:tcBorders>
            <w:shd w:val="clear" w:color="000000" w:fill="FFFFFF"/>
            <w:noWrap/>
            <w:vAlign w:val="center"/>
            <w:hideMark/>
          </w:tcPr>
          <w:p w14:paraId="49B95FB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30,1</w:t>
            </w:r>
          </w:p>
        </w:tc>
        <w:tc>
          <w:tcPr>
            <w:tcW w:w="506" w:type="pct"/>
            <w:tcBorders>
              <w:top w:val="nil"/>
              <w:left w:val="nil"/>
              <w:bottom w:val="nil"/>
              <w:right w:val="nil"/>
            </w:tcBorders>
            <w:shd w:val="clear" w:color="000000" w:fill="FFFFFF"/>
            <w:noWrap/>
            <w:vAlign w:val="center"/>
            <w:hideMark/>
          </w:tcPr>
          <w:p w14:paraId="679AF4A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26,5</w:t>
            </w:r>
          </w:p>
        </w:tc>
        <w:tc>
          <w:tcPr>
            <w:tcW w:w="507" w:type="pct"/>
            <w:tcBorders>
              <w:top w:val="nil"/>
              <w:left w:val="nil"/>
              <w:bottom w:val="nil"/>
              <w:right w:val="nil"/>
            </w:tcBorders>
            <w:shd w:val="clear" w:color="000000" w:fill="FFFFFF"/>
            <w:noWrap/>
            <w:vAlign w:val="center"/>
            <w:hideMark/>
          </w:tcPr>
          <w:p w14:paraId="3EA8BBC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23,0</w:t>
            </w:r>
          </w:p>
        </w:tc>
        <w:tc>
          <w:tcPr>
            <w:tcW w:w="507" w:type="pct"/>
            <w:tcBorders>
              <w:top w:val="nil"/>
              <w:left w:val="nil"/>
              <w:bottom w:val="nil"/>
              <w:right w:val="nil"/>
            </w:tcBorders>
            <w:shd w:val="clear" w:color="000000" w:fill="FFFFFF"/>
            <w:noWrap/>
            <w:vAlign w:val="center"/>
            <w:hideMark/>
          </w:tcPr>
          <w:p w14:paraId="6A39A17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20,5</w:t>
            </w:r>
          </w:p>
        </w:tc>
      </w:tr>
      <w:tr w:rsidR="00473C3B" w:rsidRPr="00671E8F" w14:paraId="39D36ED3" w14:textId="77777777" w:rsidTr="00473C3B">
        <w:trPr>
          <w:trHeight w:val="288"/>
        </w:trPr>
        <w:tc>
          <w:tcPr>
            <w:tcW w:w="2467" w:type="pct"/>
            <w:tcBorders>
              <w:top w:val="nil"/>
              <w:left w:val="nil"/>
              <w:bottom w:val="nil"/>
              <w:right w:val="nil"/>
            </w:tcBorders>
            <w:shd w:val="clear" w:color="000000" w:fill="FFFFFF"/>
            <w:noWrap/>
            <w:vAlign w:val="center"/>
            <w:hideMark/>
          </w:tcPr>
          <w:p w14:paraId="082297C9"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Јединице локалне власти (градови и општине)</w:t>
            </w:r>
          </w:p>
        </w:tc>
        <w:tc>
          <w:tcPr>
            <w:tcW w:w="506" w:type="pct"/>
            <w:tcBorders>
              <w:top w:val="nil"/>
              <w:left w:val="nil"/>
              <w:bottom w:val="nil"/>
              <w:right w:val="nil"/>
            </w:tcBorders>
            <w:shd w:val="clear" w:color="000000" w:fill="FFFFFF"/>
            <w:noWrap/>
            <w:vAlign w:val="center"/>
            <w:hideMark/>
          </w:tcPr>
          <w:p w14:paraId="3225A92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23,0</w:t>
            </w:r>
          </w:p>
        </w:tc>
        <w:tc>
          <w:tcPr>
            <w:tcW w:w="507" w:type="pct"/>
            <w:tcBorders>
              <w:top w:val="nil"/>
              <w:left w:val="nil"/>
              <w:bottom w:val="nil"/>
              <w:right w:val="nil"/>
            </w:tcBorders>
            <w:shd w:val="clear" w:color="000000" w:fill="FFFFFF"/>
            <w:noWrap/>
            <w:vAlign w:val="center"/>
            <w:hideMark/>
          </w:tcPr>
          <w:p w14:paraId="69D6FA4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21,1</w:t>
            </w:r>
          </w:p>
        </w:tc>
        <w:tc>
          <w:tcPr>
            <w:tcW w:w="506" w:type="pct"/>
            <w:tcBorders>
              <w:top w:val="nil"/>
              <w:left w:val="nil"/>
              <w:bottom w:val="nil"/>
              <w:right w:val="nil"/>
            </w:tcBorders>
            <w:shd w:val="clear" w:color="000000" w:fill="FFFFFF"/>
            <w:noWrap/>
            <w:vAlign w:val="center"/>
            <w:hideMark/>
          </w:tcPr>
          <w:p w14:paraId="774D8AE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19,2</w:t>
            </w:r>
          </w:p>
        </w:tc>
        <w:tc>
          <w:tcPr>
            <w:tcW w:w="507" w:type="pct"/>
            <w:tcBorders>
              <w:top w:val="nil"/>
              <w:left w:val="nil"/>
              <w:bottom w:val="nil"/>
              <w:right w:val="nil"/>
            </w:tcBorders>
            <w:shd w:val="clear" w:color="000000" w:fill="FFFFFF"/>
            <w:noWrap/>
            <w:vAlign w:val="center"/>
            <w:hideMark/>
          </w:tcPr>
          <w:p w14:paraId="74D7AB5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17,3</w:t>
            </w:r>
          </w:p>
        </w:tc>
        <w:tc>
          <w:tcPr>
            <w:tcW w:w="507" w:type="pct"/>
            <w:tcBorders>
              <w:top w:val="nil"/>
              <w:left w:val="nil"/>
              <w:bottom w:val="nil"/>
              <w:right w:val="nil"/>
            </w:tcBorders>
            <w:shd w:val="clear" w:color="000000" w:fill="FFFFFF"/>
            <w:noWrap/>
            <w:vAlign w:val="center"/>
            <w:hideMark/>
          </w:tcPr>
          <w:p w14:paraId="10D4412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16,1</w:t>
            </w:r>
          </w:p>
        </w:tc>
      </w:tr>
      <w:tr w:rsidR="00473C3B" w:rsidRPr="00671E8F" w14:paraId="2F281404" w14:textId="77777777" w:rsidTr="00473C3B">
        <w:trPr>
          <w:trHeight w:val="288"/>
        </w:trPr>
        <w:tc>
          <w:tcPr>
            <w:tcW w:w="2467" w:type="pct"/>
            <w:tcBorders>
              <w:top w:val="nil"/>
              <w:left w:val="nil"/>
              <w:bottom w:val="nil"/>
              <w:right w:val="nil"/>
            </w:tcBorders>
            <w:shd w:val="clear" w:color="000000" w:fill="FFFFFF"/>
            <w:noWrap/>
            <w:vAlign w:val="center"/>
            <w:hideMark/>
          </w:tcPr>
          <w:p w14:paraId="7F4F5456"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Остали</w:t>
            </w:r>
          </w:p>
        </w:tc>
        <w:tc>
          <w:tcPr>
            <w:tcW w:w="506" w:type="pct"/>
            <w:tcBorders>
              <w:top w:val="nil"/>
              <w:left w:val="nil"/>
              <w:bottom w:val="nil"/>
              <w:right w:val="nil"/>
            </w:tcBorders>
            <w:shd w:val="clear" w:color="000000" w:fill="FFFFFF"/>
            <w:noWrap/>
            <w:vAlign w:val="center"/>
            <w:hideMark/>
          </w:tcPr>
          <w:p w14:paraId="21637695"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9,5</w:t>
            </w:r>
          </w:p>
        </w:tc>
        <w:tc>
          <w:tcPr>
            <w:tcW w:w="507" w:type="pct"/>
            <w:tcBorders>
              <w:top w:val="nil"/>
              <w:left w:val="nil"/>
              <w:bottom w:val="nil"/>
              <w:right w:val="nil"/>
            </w:tcBorders>
            <w:shd w:val="clear" w:color="000000" w:fill="FFFFFF"/>
            <w:noWrap/>
            <w:vAlign w:val="center"/>
            <w:hideMark/>
          </w:tcPr>
          <w:p w14:paraId="7FC8F809"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9,3</w:t>
            </w:r>
          </w:p>
        </w:tc>
        <w:tc>
          <w:tcPr>
            <w:tcW w:w="506" w:type="pct"/>
            <w:tcBorders>
              <w:top w:val="nil"/>
              <w:left w:val="nil"/>
              <w:bottom w:val="nil"/>
              <w:right w:val="nil"/>
            </w:tcBorders>
            <w:shd w:val="clear" w:color="000000" w:fill="FFFFFF"/>
            <w:noWrap/>
            <w:vAlign w:val="center"/>
            <w:hideMark/>
          </w:tcPr>
          <w:p w14:paraId="5BE05D2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8,8</w:t>
            </w:r>
          </w:p>
        </w:tc>
        <w:tc>
          <w:tcPr>
            <w:tcW w:w="507" w:type="pct"/>
            <w:tcBorders>
              <w:top w:val="nil"/>
              <w:left w:val="nil"/>
              <w:bottom w:val="nil"/>
              <w:right w:val="nil"/>
            </w:tcBorders>
            <w:shd w:val="clear" w:color="000000" w:fill="FFFFFF"/>
            <w:noWrap/>
            <w:vAlign w:val="center"/>
            <w:hideMark/>
          </w:tcPr>
          <w:p w14:paraId="496303A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8,6</w:t>
            </w:r>
          </w:p>
        </w:tc>
        <w:tc>
          <w:tcPr>
            <w:tcW w:w="507" w:type="pct"/>
            <w:tcBorders>
              <w:top w:val="nil"/>
              <w:left w:val="nil"/>
              <w:bottom w:val="nil"/>
              <w:right w:val="nil"/>
            </w:tcBorders>
            <w:shd w:val="clear" w:color="000000" w:fill="FFFFFF"/>
            <w:noWrap/>
            <w:vAlign w:val="center"/>
            <w:hideMark/>
          </w:tcPr>
          <w:p w14:paraId="7690E18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12,4</w:t>
            </w:r>
          </w:p>
        </w:tc>
      </w:tr>
      <w:tr w:rsidR="00473C3B" w:rsidRPr="00671E8F" w14:paraId="7545883B" w14:textId="77777777" w:rsidTr="00473C3B">
        <w:trPr>
          <w:trHeight w:val="288"/>
        </w:trPr>
        <w:tc>
          <w:tcPr>
            <w:tcW w:w="2467" w:type="pct"/>
            <w:tcBorders>
              <w:top w:val="single" w:sz="4" w:space="0" w:color="002060"/>
              <w:left w:val="nil"/>
              <w:bottom w:val="single" w:sz="4" w:space="0" w:color="002060"/>
              <w:right w:val="nil"/>
            </w:tcBorders>
            <w:shd w:val="clear" w:color="auto" w:fill="FFFFFF" w:themeFill="background1"/>
            <w:noWrap/>
            <w:vAlign w:val="center"/>
            <w:hideMark/>
          </w:tcPr>
          <w:p w14:paraId="2F94A490" w14:textId="77777777" w:rsidR="00473C3B" w:rsidRPr="00671E8F" w:rsidRDefault="00473C3B" w:rsidP="00473C3B">
            <w:pPr>
              <w:spacing w:after="0" w:line="240" w:lineRule="auto"/>
              <w:jc w:val="left"/>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 Укупно: </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7479EA3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167,3</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041C6D19"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162,5</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5192157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181,4</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6C4DAD8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212,8</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7B07CCB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205,7</w:t>
            </w:r>
          </w:p>
        </w:tc>
      </w:tr>
    </w:tbl>
    <w:bookmarkEnd w:id="69"/>
    <w:p w14:paraId="0788341A" w14:textId="77777777" w:rsidR="00473C3B" w:rsidRPr="00671E8F" w:rsidRDefault="00473C3B" w:rsidP="00473C3B">
      <w:pPr>
        <w:spacing w:after="120" w:line="276" w:lineRule="auto"/>
        <w:rPr>
          <w:rFonts w:eastAsia="MS PGothic" w:cstheme="minorHAnsi"/>
          <w:sz w:val="16"/>
          <w:szCs w:val="16"/>
          <w:lang w:eastAsia="ja-JP"/>
        </w:rPr>
        <w:sectPr w:rsidR="00473C3B" w:rsidRPr="00671E8F" w:rsidSect="00F45C01">
          <w:type w:val="continuous"/>
          <w:pgSz w:w="12240" w:h="15840"/>
          <w:pgMar w:top="1440" w:right="1440" w:bottom="1440" w:left="1440" w:header="720" w:footer="720" w:gutter="0"/>
          <w:cols w:space="720"/>
          <w:docGrid w:linePitch="360"/>
        </w:sectPr>
      </w:pPr>
      <w:r w:rsidRPr="00671E8F">
        <w:rPr>
          <w:rFonts w:eastAsia="MS PGothic" w:cstheme="minorHAnsi"/>
          <w:sz w:val="16"/>
          <w:szCs w:val="16"/>
          <w:lang w:eastAsia="ja-JP"/>
        </w:rPr>
        <w:t>Извор: Министарство финансија</w:t>
      </w:r>
    </w:p>
    <w:bookmarkEnd w:id="68"/>
    <w:p w14:paraId="0F4375E2" w14:textId="77777777" w:rsidR="00473C3B" w:rsidRPr="00671E8F" w:rsidRDefault="00473C3B" w:rsidP="00473C3B">
      <w:pPr>
        <w:spacing w:afterLines="120" w:after="288"/>
        <w:rPr>
          <w:rFonts w:eastAsia="MS PGothic" w:cstheme="minorHAnsi"/>
          <w:szCs w:val="20"/>
          <w:lang w:eastAsia="ja-JP"/>
        </w:rPr>
      </w:pPr>
      <w:r w:rsidRPr="00671E8F">
        <w:rPr>
          <w:rFonts w:eastAsia="MS PGothic" w:cstheme="minorHAnsi"/>
          <w:szCs w:val="20"/>
          <w:lang w:eastAsia="ja-JP"/>
        </w:rPr>
        <w:t>Стање гарантованог дуга код Железничких предузећа („Железнице Србије” ад, „Инфраструктура железнице Србије” ад, „Србијавоз” ад и „Србија Карго” ад) је значајно флуктуирало од 2020. године па све до данас. У 2020. и 2021. години „Железнице Србије” ад су имале водећу позицију по основу стања гарантованог дуга, док је од 2022. године ту позицију преузело железничко предузеће „Србијавоз” ад због кредита ЕБРД чија је намена набавка возних средстава и реконструкција и модернизација регионалних депоа.</w:t>
      </w:r>
    </w:p>
    <w:p w14:paraId="2A0E0791"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Ако посматрамо стање дуга обезбеђеног државним гаранцијама према кредиторима, на дан 31. август 2024. године, највећа изложеност је према пословним банкама (унутрашњи и спољашњи дуг) у износу од 74,0 млрд динара или 36,0% укупних индиректних обавеза и Европској банци за обнову и развој (ЕБРД) у износу од 58,6 млрд динара (28,5%), затим обавезе према Европској инвестиционој банци (ЕИБ) од 43,6 млрд динара (21,2%), Немачкој развојној банци од 15,6 млрд динара (7,6%) и Јапанској агенцији за међународну сарадњу од 11,2 млрд динара (5,4%).</w:t>
      </w:r>
    </w:p>
    <w:p w14:paraId="7744FC72" w14:textId="77777777" w:rsidR="00473C3B" w:rsidRPr="00671E8F" w:rsidRDefault="00473C3B" w:rsidP="00473C3B">
      <w:pPr>
        <w:rPr>
          <w:rFonts w:eastAsia="MS PGothic" w:cstheme="minorHAnsi"/>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2C959927" w14:textId="20631577" w:rsidR="00473C3B" w:rsidRPr="00671E8F" w:rsidRDefault="00473C3B" w:rsidP="00473C3B">
      <w:pPr>
        <w:spacing w:after="120"/>
        <w:jc w:val="center"/>
        <w:rPr>
          <w:rFonts w:eastAsia="MS PGothic" w:cstheme="minorHAnsi"/>
          <w:b/>
          <w:color w:val="002060"/>
          <w:szCs w:val="20"/>
          <w:lang w:eastAsia="ja-JP"/>
        </w:rPr>
      </w:pPr>
      <w:bookmarkStart w:id="70" w:name="_Hlk179894256"/>
      <w:r w:rsidRPr="00671E8F">
        <w:rPr>
          <w:rFonts w:eastAsia="MS PGothic" w:cstheme="minorHAnsi"/>
          <w:b/>
          <w:color w:val="002060"/>
          <w:szCs w:val="20"/>
          <w:lang w:eastAsia="ja-JP"/>
        </w:rPr>
        <w:t>Табела 1</w:t>
      </w:r>
      <w:r w:rsidR="00FC5CD7" w:rsidRPr="00671E8F">
        <w:rPr>
          <w:rFonts w:eastAsia="MS PGothic" w:cstheme="minorHAnsi"/>
          <w:b/>
          <w:color w:val="002060"/>
          <w:szCs w:val="20"/>
          <w:lang w:eastAsia="ja-JP"/>
        </w:rPr>
        <w:t>3</w:t>
      </w:r>
      <w:r w:rsidRPr="00671E8F">
        <w:rPr>
          <w:rFonts w:eastAsia="MS PGothic" w:cstheme="minorHAnsi"/>
          <w:b/>
          <w:color w:val="002060"/>
          <w:szCs w:val="20"/>
          <w:lang w:eastAsia="ja-JP"/>
        </w:rPr>
        <w:t>: Стање гарантованог дуга по кредиторима, млрд динара</w:t>
      </w:r>
    </w:p>
    <w:tbl>
      <w:tblPr>
        <w:tblW w:w="5000" w:type="pct"/>
        <w:tblLook w:val="04A0" w:firstRow="1" w:lastRow="0" w:firstColumn="1" w:lastColumn="0" w:noHBand="0" w:noVBand="1"/>
      </w:tblPr>
      <w:tblGrid>
        <w:gridCol w:w="4179"/>
        <w:gridCol w:w="1021"/>
        <w:gridCol w:w="1023"/>
        <w:gridCol w:w="1022"/>
        <w:gridCol w:w="1024"/>
        <w:gridCol w:w="1091"/>
      </w:tblGrid>
      <w:tr w:rsidR="00473C3B" w:rsidRPr="00671E8F" w14:paraId="14D88B9E" w14:textId="77777777" w:rsidTr="00473C3B">
        <w:trPr>
          <w:trHeight w:val="20"/>
        </w:trPr>
        <w:tc>
          <w:tcPr>
            <w:tcW w:w="2239" w:type="pct"/>
            <w:tcBorders>
              <w:top w:val="single" w:sz="4" w:space="0" w:color="002060"/>
              <w:left w:val="nil"/>
              <w:bottom w:val="single" w:sz="4" w:space="0" w:color="002060"/>
              <w:right w:val="nil"/>
            </w:tcBorders>
            <w:shd w:val="clear" w:color="auto" w:fill="FFFFFF" w:themeFill="background1"/>
            <w:vAlign w:val="center"/>
            <w:hideMark/>
          </w:tcPr>
          <w:p w14:paraId="02212AD7" w14:textId="77777777" w:rsidR="00473C3B" w:rsidRPr="00671E8F" w:rsidRDefault="00473C3B" w:rsidP="00473C3B">
            <w:pPr>
              <w:spacing w:after="0" w:line="240" w:lineRule="auto"/>
              <w:rPr>
                <w:rFonts w:ascii="Calibri" w:eastAsia="Times New Roman" w:hAnsi="Calibri" w:cs="Calibri"/>
                <w:b/>
                <w:bCs/>
                <w:color w:val="002060"/>
                <w:sz w:val="18"/>
                <w:szCs w:val="18"/>
              </w:rPr>
            </w:pPr>
            <w:bookmarkStart w:id="71" w:name="_Hlk180069944"/>
            <w:r w:rsidRPr="00671E8F">
              <w:rPr>
                <w:rFonts w:ascii="Calibri" w:eastAsia="Times New Roman" w:hAnsi="Calibri" w:cs="Calibri"/>
                <w:b/>
                <w:bCs/>
                <w:color w:val="002060"/>
                <w:sz w:val="18"/>
                <w:szCs w:val="18"/>
              </w:rPr>
              <w:t>Кредитори</w:t>
            </w:r>
          </w:p>
        </w:tc>
        <w:tc>
          <w:tcPr>
            <w:tcW w:w="552" w:type="pct"/>
            <w:tcBorders>
              <w:top w:val="single" w:sz="4" w:space="0" w:color="002060"/>
              <w:left w:val="nil"/>
              <w:bottom w:val="single" w:sz="4" w:space="0" w:color="002060"/>
              <w:right w:val="nil"/>
            </w:tcBorders>
            <w:shd w:val="clear" w:color="auto" w:fill="FFFFFF" w:themeFill="background1"/>
            <w:vAlign w:val="center"/>
            <w:hideMark/>
          </w:tcPr>
          <w:p w14:paraId="4D751A0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553" w:type="pct"/>
            <w:tcBorders>
              <w:top w:val="single" w:sz="4" w:space="0" w:color="002060"/>
              <w:left w:val="nil"/>
              <w:bottom w:val="single" w:sz="4" w:space="0" w:color="002060"/>
              <w:right w:val="nil"/>
            </w:tcBorders>
            <w:shd w:val="clear" w:color="auto" w:fill="FFFFFF" w:themeFill="background1"/>
            <w:vAlign w:val="center"/>
            <w:hideMark/>
          </w:tcPr>
          <w:p w14:paraId="2074408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552" w:type="pct"/>
            <w:tcBorders>
              <w:top w:val="single" w:sz="4" w:space="0" w:color="002060"/>
              <w:left w:val="nil"/>
              <w:bottom w:val="single" w:sz="4" w:space="0" w:color="002060"/>
              <w:right w:val="nil"/>
            </w:tcBorders>
            <w:shd w:val="clear" w:color="auto" w:fill="FFFFFF" w:themeFill="background1"/>
            <w:vAlign w:val="center"/>
            <w:hideMark/>
          </w:tcPr>
          <w:p w14:paraId="26DD796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553" w:type="pct"/>
            <w:tcBorders>
              <w:top w:val="single" w:sz="4" w:space="0" w:color="002060"/>
              <w:left w:val="nil"/>
              <w:bottom w:val="single" w:sz="4" w:space="0" w:color="002060"/>
              <w:right w:val="nil"/>
            </w:tcBorders>
            <w:shd w:val="clear" w:color="auto" w:fill="FFFFFF" w:themeFill="background1"/>
            <w:vAlign w:val="center"/>
            <w:hideMark/>
          </w:tcPr>
          <w:p w14:paraId="19873AE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c>
          <w:tcPr>
            <w:tcW w:w="552" w:type="pct"/>
            <w:tcBorders>
              <w:top w:val="single" w:sz="4" w:space="0" w:color="002060"/>
              <w:left w:val="nil"/>
              <w:bottom w:val="single" w:sz="4" w:space="0" w:color="002060"/>
              <w:right w:val="nil"/>
            </w:tcBorders>
            <w:shd w:val="clear" w:color="auto" w:fill="FFFFFF" w:themeFill="background1"/>
            <w:vAlign w:val="center"/>
            <w:hideMark/>
          </w:tcPr>
          <w:p w14:paraId="73EAE17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31.08.2024.</w:t>
            </w:r>
          </w:p>
        </w:tc>
      </w:tr>
      <w:tr w:rsidR="00473C3B" w:rsidRPr="00671E8F" w14:paraId="34D1F983" w14:textId="77777777" w:rsidTr="00473C3B">
        <w:trPr>
          <w:trHeight w:val="20"/>
        </w:trPr>
        <w:tc>
          <w:tcPr>
            <w:tcW w:w="2239" w:type="pct"/>
            <w:tcBorders>
              <w:top w:val="nil"/>
              <w:left w:val="nil"/>
              <w:bottom w:val="nil"/>
              <w:right w:val="nil"/>
            </w:tcBorders>
            <w:shd w:val="clear" w:color="000000" w:fill="FFFFFF"/>
            <w:vAlign w:val="center"/>
            <w:hideMark/>
          </w:tcPr>
          <w:p w14:paraId="5270E9C4" w14:textId="77777777" w:rsidR="00473C3B" w:rsidRPr="00671E8F" w:rsidRDefault="00473C3B" w:rsidP="00473C3B">
            <w:pPr>
              <w:spacing w:after="0" w:line="240" w:lineRule="auto"/>
              <w:jc w:val="left"/>
              <w:rPr>
                <w:rFonts w:ascii="Calibri" w:eastAsia="Times New Roman" w:hAnsi="Calibri" w:cs="Calibri"/>
                <w:color w:val="002060"/>
                <w:sz w:val="18"/>
                <w:szCs w:val="18"/>
              </w:rPr>
            </w:pPr>
            <w:bookmarkStart w:id="72" w:name="_Hlk180069920"/>
            <w:r w:rsidRPr="00671E8F">
              <w:rPr>
                <w:rFonts w:ascii="Calibri" w:eastAsia="Times New Roman" w:hAnsi="Calibri" w:cs="Calibri"/>
                <w:color w:val="002060"/>
                <w:sz w:val="18"/>
                <w:szCs w:val="18"/>
              </w:rPr>
              <w:t>Кредити пословних банака</w:t>
            </w:r>
          </w:p>
        </w:tc>
        <w:tc>
          <w:tcPr>
            <w:tcW w:w="552" w:type="pct"/>
            <w:tcBorders>
              <w:top w:val="nil"/>
              <w:left w:val="nil"/>
              <w:bottom w:val="nil"/>
              <w:right w:val="nil"/>
            </w:tcBorders>
            <w:shd w:val="clear" w:color="000000" w:fill="FFFFFF"/>
            <w:noWrap/>
            <w:vAlign w:val="center"/>
            <w:hideMark/>
          </w:tcPr>
          <w:p w14:paraId="50C4D4F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25,4 </w:t>
            </w:r>
          </w:p>
        </w:tc>
        <w:tc>
          <w:tcPr>
            <w:tcW w:w="553" w:type="pct"/>
            <w:tcBorders>
              <w:top w:val="nil"/>
              <w:left w:val="nil"/>
              <w:bottom w:val="nil"/>
              <w:right w:val="nil"/>
            </w:tcBorders>
            <w:shd w:val="clear" w:color="000000" w:fill="FFFFFF"/>
            <w:noWrap/>
            <w:vAlign w:val="center"/>
            <w:hideMark/>
          </w:tcPr>
          <w:p w14:paraId="2A2B4D5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30,8 </w:t>
            </w:r>
          </w:p>
        </w:tc>
        <w:tc>
          <w:tcPr>
            <w:tcW w:w="552" w:type="pct"/>
            <w:tcBorders>
              <w:top w:val="nil"/>
              <w:left w:val="nil"/>
              <w:bottom w:val="nil"/>
              <w:right w:val="nil"/>
            </w:tcBorders>
            <w:shd w:val="clear" w:color="000000" w:fill="FFFFFF"/>
            <w:noWrap/>
            <w:vAlign w:val="center"/>
            <w:hideMark/>
          </w:tcPr>
          <w:p w14:paraId="5A41F5B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58,2 </w:t>
            </w:r>
          </w:p>
        </w:tc>
        <w:tc>
          <w:tcPr>
            <w:tcW w:w="553" w:type="pct"/>
            <w:tcBorders>
              <w:top w:val="nil"/>
              <w:left w:val="nil"/>
              <w:bottom w:val="nil"/>
              <w:right w:val="nil"/>
            </w:tcBorders>
            <w:shd w:val="clear" w:color="000000" w:fill="FFFFFF"/>
            <w:noWrap/>
            <w:vAlign w:val="center"/>
            <w:hideMark/>
          </w:tcPr>
          <w:p w14:paraId="2F7D414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82,8 </w:t>
            </w:r>
          </w:p>
        </w:tc>
        <w:tc>
          <w:tcPr>
            <w:tcW w:w="552" w:type="pct"/>
            <w:tcBorders>
              <w:top w:val="nil"/>
              <w:left w:val="nil"/>
              <w:bottom w:val="nil"/>
              <w:right w:val="nil"/>
            </w:tcBorders>
            <w:shd w:val="clear" w:color="000000" w:fill="FFFFFF"/>
            <w:noWrap/>
            <w:vAlign w:val="center"/>
            <w:hideMark/>
          </w:tcPr>
          <w:p w14:paraId="733E370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74,0</w:t>
            </w:r>
          </w:p>
        </w:tc>
      </w:tr>
      <w:tr w:rsidR="00473C3B" w:rsidRPr="00671E8F" w14:paraId="3B8129D7" w14:textId="77777777" w:rsidTr="00473C3B">
        <w:trPr>
          <w:trHeight w:val="20"/>
        </w:trPr>
        <w:tc>
          <w:tcPr>
            <w:tcW w:w="2239" w:type="pct"/>
            <w:tcBorders>
              <w:top w:val="nil"/>
              <w:left w:val="nil"/>
              <w:bottom w:val="nil"/>
              <w:right w:val="nil"/>
            </w:tcBorders>
            <w:shd w:val="clear" w:color="000000" w:fill="FFFFFF"/>
            <w:noWrap/>
            <w:vAlign w:val="center"/>
            <w:hideMark/>
          </w:tcPr>
          <w:p w14:paraId="765DD4B4"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Европска банка за обнову и развој (ЕБРД)</w:t>
            </w:r>
          </w:p>
        </w:tc>
        <w:tc>
          <w:tcPr>
            <w:tcW w:w="552" w:type="pct"/>
            <w:tcBorders>
              <w:top w:val="nil"/>
              <w:left w:val="nil"/>
              <w:bottom w:val="nil"/>
              <w:right w:val="nil"/>
            </w:tcBorders>
            <w:shd w:val="clear" w:color="000000" w:fill="FFFFFF"/>
            <w:noWrap/>
            <w:vAlign w:val="center"/>
            <w:hideMark/>
          </w:tcPr>
          <w:p w14:paraId="08B5ED7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47,3 </w:t>
            </w:r>
          </w:p>
        </w:tc>
        <w:tc>
          <w:tcPr>
            <w:tcW w:w="553" w:type="pct"/>
            <w:tcBorders>
              <w:top w:val="nil"/>
              <w:left w:val="nil"/>
              <w:bottom w:val="nil"/>
              <w:right w:val="nil"/>
            </w:tcBorders>
            <w:shd w:val="clear" w:color="000000" w:fill="FFFFFF"/>
            <w:noWrap/>
            <w:vAlign w:val="center"/>
            <w:hideMark/>
          </w:tcPr>
          <w:p w14:paraId="46647DB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40,1 </w:t>
            </w:r>
          </w:p>
        </w:tc>
        <w:tc>
          <w:tcPr>
            <w:tcW w:w="552" w:type="pct"/>
            <w:tcBorders>
              <w:top w:val="nil"/>
              <w:left w:val="nil"/>
              <w:bottom w:val="nil"/>
              <w:right w:val="nil"/>
            </w:tcBorders>
            <w:shd w:val="clear" w:color="000000" w:fill="FFFFFF"/>
            <w:noWrap/>
            <w:vAlign w:val="center"/>
            <w:hideMark/>
          </w:tcPr>
          <w:p w14:paraId="1836F2B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39,4 </w:t>
            </w:r>
          </w:p>
        </w:tc>
        <w:tc>
          <w:tcPr>
            <w:tcW w:w="553" w:type="pct"/>
            <w:tcBorders>
              <w:top w:val="nil"/>
              <w:left w:val="nil"/>
              <w:bottom w:val="nil"/>
              <w:right w:val="nil"/>
            </w:tcBorders>
            <w:shd w:val="clear" w:color="000000" w:fill="FFFFFF"/>
            <w:noWrap/>
            <w:vAlign w:val="center"/>
            <w:hideMark/>
          </w:tcPr>
          <w:p w14:paraId="0F0A93F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54,6 </w:t>
            </w:r>
          </w:p>
        </w:tc>
        <w:tc>
          <w:tcPr>
            <w:tcW w:w="552" w:type="pct"/>
            <w:tcBorders>
              <w:top w:val="nil"/>
              <w:left w:val="nil"/>
              <w:bottom w:val="nil"/>
              <w:right w:val="nil"/>
            </w:tcBorders>
            <w:shd w:val="clear" w:color="000000" w:fill="FFFFFF"/>
            <w:noWrap/>
            <w:vAlign w:val="center"/>
            <w:hideMark/>
          </w:tcPr>
          <w:p w14:paraId="23DB9F76"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58,6 </w:t>
            </w:r>
          </w:p>
        </w:tc>
      </w:tr>
      <w:tr w:rsidR="00473C3B" w:rsidRPr="00671E8F" w14:paraId="71BAED15" w14:textId="77777777" w:rsidTr="00473C3B">
        <w:trPr>
          <w:trHeight w:val="20"/>
        </w:trPr>
        <w:tc>
          <w:tcPr>
            <w:tcW w:w="2239" w:type="pct"/>
            <w:tcBorders>
              <w:top w:val="nil"/>
              <w:left w:val="nil"/>
              <w:bottom w:val="nil"/>
              <w:right w:val="nil"/>
            </w:tcBorders>
            <w:shd w:val="clear" w:color="000000" w:fill="FFFFFF"/>
            <w:noWrap/>
            <w:vAlign w:val="center"/>
            <w:hideMark/>
          </w:tcPr>
          <w:p w14:paraId="652EEAE1"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Европска инвестициона банка (ЕИБ)</w:t>
            </w:r>
          </w:p>
        </w:tc>
        <w:tc>
          <w:tcPr>
            <w:tcW w:w="552" w:type="pct"/>
            <w:tcBorders>
              <w:top w:val="nil"/>
              <w:left w:val="nil"/>
              <w:bottom w:val="nil"/>
              <w:right w:val="nil"/>
            </w:tcBorders>
            <w:shd w:val="clear" w:color="000000" w:fill="FFFFFF"/>
            <w:noWrap/>
            <w:vAlign w:val="center"/>
            <w:hideMark/>
          </w:tcPr>
          <w:p w14:paraId="53F5A86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66,1 </w:t>
            </w:r>
          </w:p>
        </w:tc>
        <w:tc>
          <w:tcPr>
            <w:tcW w:w="553" w:type="pct"/>
            <w:tcBorders>
              <w:top w:val="nil"/>
              <w:left w:val="nil"/>
              <w:bottom w:val="nil"/>
              <w:right w:val="nil"/>
            </w:tcBorders>
            <w:shd w:val="clear" w:color="000000" w:fill="FFFFFF"/>
            <w:noWrap/>
            <w:vAlign w:val="center"/>
            <w:hideMark/>
          </w:tcPr>
          <w:p w14:paraId="124A827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59,7 </w:t>
            </w:r>
          </w:p>
        </w:tc>
        <w:tc>
          <w:tcPr>
            <w:tcW w:w="552" w:type="pct"/>
            <w:tcBorders>
              <w:top w:val="nil"/>
              <w:left w:val="nil"/>
              <w:bottom w:val="nil"/>
              <w:right w:val="nil"/>
            </w:tcBorders>
            <w:shd w:val="clear" w:color="000000" w:fill="FFFFFF"/>
            <w:noWrap/>
            <w:vAlign w:val="center"/>
            <w:hideMark/>
          </w:tcPr>
          <w:p w14:paraId="4F7CADA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53,5 </w:t>
            </w:r>
          </w:p>
        </w:tc>
        <w:tc>
          <w:tcPr>
            <w:tcW w:w="553" w:type="pct"/>
            <w:tcBorders>
              <w:top w:val="nil"/>
              <w:left w:val="nil"/>
              <w:bottom w:val="nil"/>
              <w:right w:val="nil"/>
            </w:tcBorders>
            <w:shd w:val="clear" w:color="000000" w:fill="FFFFFF"/>
            <w:noWrap/>
            <w:vAlign w:val="center"/>
            <w:hideMark/>
          </w:tcPr>
          <w:p w14:paraId="7D1FD5D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47,9 </w:t>
            </w:r>
          </w:p>
        </w:tc>
        <w:tc>
          <w:tcPr>
            <w:tcW w:w="552" w:type="pct"/>
            <w:tcBorders>
              <w:top w:val="nil"/>
              <w:left w:val="nil"/>
              <w:bottom w:val="nil"/>
              <w:right w:val="nil"/>
            </w:tcBorders>
            <w:shd w:val="clear" w:color="000000" w:fill="FFFFFF"/>
            <w:noWrap/>
            <w:vAlign w:val="center"/>
            <w:hideMark/>
          </w:tcPr>
          <w:p w14:paraId="495C371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43,6 </w:t>
            </w:r>
          </w:p>
        </w:tc>
      </w:tr>
      <w:tr w:rsidR="00473C3B" w:rsidRPr="00671E8F" w14:paraId="75605667" w14:textId="77777777" w:rsidTr="00473C3B">
        <w:trPr>
          <w:trHeight w:val="20"/>
        </w:trPr>
        <w:tc>
          <w:tcPr>
            <w:tcW w:w="2239" w:type="pct"/>
            <w:tcBorders>
              <w:top w:val="nil"/>
              <w:left w:val="nil"/>
              <w:bottom w:val="nil"/>
              <w:right w:val="nil"/>
            </w:tcBorders>
            <w:shd w:val="clear" w:color="000000" w:fill="FFFFFF"/>
            <w:noWrap/>
            <w:vAlign w:val="center"/>
          </w:tcPr>
          <w:p w14:paraId="2B263C83"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Немачка развојна банка </w:t>
            </w:r>
          </w:p>
        </w:tc>
        <w:tc>
          <w:tcPr>
            <w:tcW w:w="552" w:type="pct"/>
            <w:tcBorders>
              <w:top w:val="nil"/>
              <w:left w:val="nil"/>
              <w:bottom w:val="nil"/>
              <w:right w:val="nil"/>
            </w:tcBorders>
            <w:shd w:val="clear" w:color="000000" w:fill="FFFFFF"/>
            <w:noWrap/>
            <w:vAlign w:val="center"/>
          </w:tcPr>
          <w:p w14:paraId="74EC270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9,5 </w:t>
            </w:r>
          </w:p>
        </w:tc>
        <w:tc>
          <w:tcPr>
            <w:tcW w:w="553" w:type="pct"/>
            <w:tcBorders>
              <w:top w:val="nil"/>
              <w:left w:val="nil"/>
              <w:bottom w:val="nil"/>
              <w:right w:val="nil"/>
            </w:tcBorders>
            <w:shd w:val="clear" w:color="000000" w:fill="FFFFFF"/>
            <w:noWrap/>
            <w:vAlign w:val="center"/>
          </w:tcPr>
          <w:p w14:paraId="22A3508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7,9 </w:t>
            </w:r>
          </w:p>
        </w:tc>
        <w:tc>
          <w:tcPr>
            <w:tcW w:w="552" w:type="pct"/>
            <w:tcBorders>
              <w:top w:val="nil"/>
              <w:left w:val="nil"/>
              <w:bottom w:val="nil"/>
              <w:right w:val="nil"/>
            </w:tcBorders>
            <w:shd w:val="clear" w:color="000000" w:fill="FFFFFF"/>
            <w:noWrap/>
            <w:vAlign w:val="center"/>
          </w:tcPr>
          <w:p w14:paraId="6E54279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9,3 </w:t>
            </w:r>
          </w:p>
        </w:tc>
        <w:tc>
          <w:tcPr>
            <w:tcW w:w="553" w:type="pct"/>
            <w:tcBorders>
              <w:top w:val="nil"/>
              <w:left w:val="nil"/>
              <w:bottom w:val="nil"/>
              <w:right w:val="nil"/>
            </w:tcBorders>
            <w:shd w:val="clear" w:color="000000" w:fill="FFFFFF"/>
            <w:noWrap/>
            <w:vAlign w:val="center"/>
          </w:tcPr>
          <w:p w14:paraId="2D80F8E5"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10,5 </w:t>
            </w:r>
          </w:p>
        </w:tc>
        <w:tc>
          <w:tcPr>
            <w:tcW w:w="552" w:type="pct"/>
            <w:tcBorders>
              <w:top w:val="nil"/>
              <w:left w:val="nil"/>
              <w:bottom w:val="nil"/>
              <w:right w:val="nil"/>
            </w:tcBorders>
            <w:shd w:val="clear" w:color="000000" w:fill="FFFFFF"/>
            <w:noWrap/>
            <w:vAlign w:val="center"/>
          </w:tcPr>
          <w:p w14:paraId="47D9460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15,6 </w:t>
            </w:r>
          </w:p>
        </w:tc>
      </w:tr>
      <w:tr w:rsidR="00473C3B" w:rsidRPr="00671E8F" w14:paraId="4AEED746" w14:textId="77777777" w:rsidTr="00473C3B">
        <w:trPr>
          <w:trHeight w:val="20"/>
        </w:trPr>
        <w:tc>
          <w:tcPr>
            <w:tcW w:w="2239" w:type="pct"/>
            <w:tcBorders>
              <w:top w:val="nil"/>
              <w:left w:val="nil"/>
              <w:bottom w:val="nil"/>
              <w:right w:val="nil"/>
            </w:tcBorders>
            <w:shd w:val="clear" w:color="000000" w:fill="FFFFFF"/>
            <w:noWrap/>
            <w:vAlign w:val="center"/>
            <w:hideMark/>
          </w:tcPr>
          <w:p w14:paraId="0BDFA1C9"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Јапанска агенција за међународну сарадњу</w:t>
            </w:r>
          </w:p>
        </w:tc>
        <w:tc>
          <w:tcPr>
            <w:tcW w:w="552" w:type="pct"/>
            <w:tcBorders>
              <w:top w:val="nil"/>
              <w:left w:val="nil"/>
              <w:bottom w:val="nil"/>
              <w:right w:val="nil"/>
            </w:tcBorders>
            <w:shd w:val="clear" w:color="000000" w:fill="FFFFFF"/>
            <w:noWrap/>
            <w:vAlign w:val="center"/>
            <w:hideMark/>
          </w:tcPr>
          <w:p w14:paraId="1D4E52F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10,5 </w:t>
            </w:r>
          </w:p>
        </w:tc>
        <w:tc>
          <w:tcPr>
            <w:tcW w:w="553" w:type="pct"/>
            <w:tcBorders>
              <w:top w:val="nil"/>
              <w:left w:val="nil"/>
              <w:bottom w:val="nil"/>
              <w:right w:val="nil"/>
            </w:tcBorders>
            <w:shd w:val="clear" w:color="000000" w:fill="FFFFFF"/>
            <w:noWrap/>
            <w:vAlign w:val="center"/>
            <w:hideMark/>
          </w:tcPr>
          <w:p w14:paraId="60D0C6D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16,0 </w:t>
            </w:r>
          </w:p>
        </w:tc>
        <w:tc>
          <w:tcPr>
            <w:tcW w:w="552" w:type="pct"/>
            <w:tcBorders>
              <w:top w:val="nil"/>
              <w:left w:val="nil"/>
              <w:bottom w:val="nil"/>
              <w:right w:val="nil"/>
            </w:tcBorders>
            <w:shd w:val="clear" w:color="000000" w:fill="FFFFFF"/>
            <w:noWrap/>
            <w:vAlign w:val="center"/>
            <w:hideMark/>
          </w:tcPr>
          <w:p w14:paraId="4469C18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17,1 </w:t>
            </w:r>
          </w:p>
        </w:tc>
        <w:tc>
          <w:tcPr>
            <w:tcW w:w="553" w:type="pct"/>
            <w:tcBorders>
              <w:top w:val="nil"/>
              <w:left w:val="nil"/>
              <w:bottom w:val="nil"/>
              <w:right w:val="nil"/>
            </w:tcBorders>
            <w:shd w:val="clear" w:color="000000" w:fill="FFFFFF"/>
            <w:noWrap/>
            <w:vAlign w:val="center"/>
            <w:hideMark/>
          </w:tcPr>
          <w:p w14:paraId="28336A69"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13,7 </w:t>
            </w:r>
          </w:p>
        </w:tc>
        <w:tc>
          <w:tcPr>
            <w:tcW w:w="552" w:type="pct"/>
            <w:tcBorders>
              <w:top w:val="nil"/>
              <w:left w:val="nil"/>
              <w:bottom w:val="nil"/>
              <w:right w:val="nil"/>
            </w:tcBorders>
            <w:shd w:val="clear" w:color="000000" w:fill="FFFFFF"/>
            <w:noWrap/>
            <w:vAlign w:val="center"/>
            <w:hideMark/>
          </w:tcPr>
          <w:p w14:paraId="5786015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11,2 </w:t>
            </w:r>
          </w:p>
        </w:tc>
      </w:tr>
      <w:tr w:rsidR="00473C3B" w:rsidRPr="00671E8F" w14:paraId="3DEDB32B" w14:textId="77777777" w:rsidTr="00473C3B">
        <w:trPr>
          <w:trHeight w:val="20"/>
        </w:trPr>
        <w:tc>
          <w:tcPr>
            <w:tcW w:w="2239" w:type="pct"/>
            <w:tcBorders>
              <w:top w:val="nil"/>
              <w:left w:val="nil"/>
              <w:bottom w:val="nil"/>
              <w:right w:val="nil"/>
            </w:tcBorders>
            <w:shd w:val="clear" w:color="000000" w:fill="FFFFFF"/>
            <w:noWrap/>
            <w:vAlign w:val="center"/>
            <w:hideMark/>
          </w:tcPr>
          <w:p w14:paraId="47C582C1"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Остали</w:t>
            </w:r>
          </w:p>
        </w:tc>
        <w:tc>
          <w:tcPr>
            <w:tcW w:w="552" w:type="pct"/>
            <w:tcBorders>
              <w:top w:val="nil"/>
              <w:left w:val="nil"/>
              <w:bottom w:val="nil"/>
              <w:right w:val="nil"/>
            </w:tcBorders>
            <w:shd w:val="clear" w:color="000000" w:fill="FFFFFF"/>
            <w:noWrap/>
            <w:vAlign w:val="center"/>
            <w:hideMark/>
          </w:tcPr>
          <w:p w14:paraId="7F35F64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8,5 </w:t>
            </w:r>
          </w:p>
        </w:tc>
        <w:tc>
          <w:tcPr>
            <w:tcW w:w="553" w:type="pct"/>
            <w:tcBorders>
              <w:top w:val="nil"/>
              <w:left w:val="nil"/>
              <w:bottom w:val="nil"/>
              <w:right w:val="nil"/>
            </w:tcBorders>
            <w:shd w:val="clear" w:color="000000" w:fill="FFFFFF"/>
            <w:noWrap/>
            <w:vAlign w:val="center"/>
            <w:hideMark/>
          </w:tcPr>
          <w:p w14:paraId="543635F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8,0 </w:t>
            </w:r>
          </w:p>
        </w:tc>
        <w:tc>
          <w:tcPr>
            <w:tcW w:w="552" w:type="pct"/>
            <w:tcBorders>
              <w:top w:val="nil"/>
              <w:left w:val="nil"/>
              <w:bottom w:val="nil"/>
              <w:right w:val="nil"/>
            </w:tcBorders>
            <w:shd w:val="clear" w:color="000000" w:fill="FFFFFF"/>
            <w:noWrap/>
            <w:vAlign w:val="center"/>
            <w:hideMark/>
          </w:tcPr>
          <w:p w14:paraId="3EC24BA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4,0 </w:t>
            </w:r>
          </w:p>
        </w:tc>
        <w:tc>
          <w:tcPr>
            <w:tcW w:w="553" w:type="pct"/>
            <w:tcBorders>
              <w:top w:val="nil"/>
              <w:left w:val="nil"/>
              <w:bottom w:val="nil"/>
              <w:right w:val="nil"/>
            </w:tcBorders>
            <w:shd w:val="clear" w:color="000000" w:fill="FFFFFF"/>
            <w:noWrap/>
            <w:vAlign w:val="center"/>
            <w:hideMark/>
          </w:tcPr>
          <w:p w14:paraId="3EDC511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3,3 </w:t>
            </w:r>
          </w:p>
        </w:tc>
        <w:tc>
          <w:tcPr>
            <w:tcW w:w="552" w:type="pct"/>
            <w:tcBorders>
              <w:top w:val="nil"/>
              <w:left w:val="nil"/>
              <w:bottom w:val="nil"/>
              <w:right w:val="nil"/>
            </w:tcBorders>
            <w:shd w:val="clear" w:color="000000" w:fill="FFFFFF"/>
            <w:noWrap/>
            <w:vAlign w:val="center"/>
            <w:hideMark/>
          </w:tcPr>
          <w:p w14:paraId="251F543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 xml:space="preserve"> 2,7</w:t>
            </w:r>
          </w:p>
        </w:tc>
      </w:tr>
      <w:bookmarkEnd w:id="72"/>
      <w:tr w:rsidR="00473C3B" w:rsidRPr="00671E8F" w14:paraId="35C4B59A" w14:textId="77777777" w:rsidTr="00473C3B">
        <w:trPr>
          <w:trHeight w:val="20"/>
        </w:trPr>
        <w:tc>
          <w:tcPr>
            <w:tcW w:w="2239" w:type="pct"/>
            <w:tcBorders>
              <w:top w:val="single" w:sz="4" w:space="0" w:color="002060"/>
              <w:left w:val="nil"/>
              <w:bottom w:val="single" w:sz="4" w:space="0" w:color="002060"/>
              <w:right w:val="nil"/>
            </w:tcBorders>
            <w:shd w:val="clear" w:color="auto" w:fill="FFFFFF" w:themeFill="background1"/>
            <w:noWrap/>
            <w:vAlign w:val="center"/>
            <w:hideMark/>
          </w:tcPr>
          <w:p w14:paraId="62FF4A84" w14:textId="77777777" w:rsidR="00473C3B" w:rsidRPr="00671E8F" w:rsidRDefault="00473C3B" w:rsidP="00473C3B">
            <w:pPr>
              <w:spacing w:after="0" w:line="240" w:lineRule="auto"/>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Укупно</w:t>
            </w:r>
          </w:p>
        </w:tc>
        <w:tc>
          <w:tcPr>
            <w:tcW w:w="552" w:type="pct"/>
            <w:tcBorders>
              <w:top w:val="single" w:sz="4" w:space="0" w:color="002060"/>
              <w:left w:val="nil"/>
              <w:bottom w:val="single" w:sz="4" w:space="0" w:color="002060"/>
              <w:right w:val="nil"/>
            </w:tcBorders>
            <w:shd w:val="clear" w:color="auto" w:fill="FFFFFF" w:themeFill="background1"/>
            <w:noWrap/>
            <w:vAlign w:val="center"/>
            <w:hideMark/>
          </w:tcPr>
          <w:p w14:paraId="76DA983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167,3 </w:t>
            </w:r>
          </w:p>
        </w:tc>
        <w:tc>
          <w:tcPr>
            <w:tcW w:w="553" w:type="pct"/>
            <w:tcBorders>
              <w:top w:val="single" w:sz="4" w:space="0" w:color="002060"/>
              <w:left w:val="nil"/>
              <w:bottom w:val="single" w:sz="4" w:space="0" w:color="002060"/>
              <w:right w:val="nil"/>
            </w:tcBorders>
            <w:shd w:val="clear" w:color="auto" w:fill="FFFFFF" w:themeFill="background1"/>
            <w:noWrap/>
            <w:vAlign w:val="center"/>
            <w:hideMark/>
          </w:tcPr>
          <w:p w14:paraId="3B0F911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162,5 </w:t>
            </w:r>
          </w:p>
        </w:tc>
        <w:tc>
          <w:tcPr>
            <w:tcW w:w="552" w:type="pct"/>
            <w:tcBorders>
              <w:top w:val="single" w:sz="4" w:space="0" w:color="002060"/>
              <w:left w:val="nil"/>
              <w:bottom w:val="single" w:sz="4" w:space="0" w:color="002060"/>
              <w:right w:val="nil"/>
            </w:tcBorders>
            <w:shd w:val="clear" w:color="auto" w:fill="FFFFFF" w:themeFill="background1"/>
            <w:noWrap/>
            <w:vAlign w:val="center"/>
            <w:hideMark/>
          </w:tcPr>
          <w:p w14:paraId="5F3ED27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181,4 </w:t>
            </w:r>
          </w:p>
        </w:tc>
        <w:tc>
          <w:tcPr>
            <w:tcW w:w="553" w:type="pct"/>
            <w:tcBorders>
              <w:top w:val="single" w:sz="4" w:space="0" w:color="002060"/>
              <w:left w:val="nil"/>
              <w:bottom w:val="single" w:sz="4" w:space="0" w:color="002060"/>
              <w:right w:val="nil"/>
            </w:tcBorders>
            <w:shd w:val="clear" w:color="auto" w:fill="FFFFFF" w:themeFill="background1"/>
            <w:noWrap/>
            <w:vAlign w:val="center"/>
            <w:hideMark/>
          </w:tcPr>
          <w:p w14:paraId="081DCDC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212,8 </w:t>
            </w:r>
          </w:p>
        </w:tc>
        <w:tc>
          <w:tcPr>
            <w:tcW w:w="552" w:type="pct"/>
            <w:tcBorders>
              <w:top w:val="single" w:sz="4" w:space="0" w:color="002060"/>
              <w:left w:val="nil"/>
              <w:bottom w:val="single" w:sz="4" w:space="0" w:color="002060"/>
              <w:right w:val="nil"/>
            </w:tcBorders>
            <w:shd w:val="clear" w:color="auto" w:fill="FFFFFF" w:themeFill="background1"/>
            <w:noWrap/>
            <w:vAlign w:val="center"/>
            <w:hideMark/>
          </w:tcPr>
          <w:p w14:paraId="7A6CAA0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 xml:space="preserve">205,7 </w:t>
            </w:r>
          </w:p>
        </w:tc>
      </w:tr>
    </w:tbl>
    <w:bookmarkEnd w:id="71"/>
    <w:p w14:paraId="5677989B" w14:textId="77777777" w:rsidR="00473C3B" w:rsidRPr="00671E8F" w:rsidRDefault="00473C3B" w:rsidP="00473C3B">
      <w:pPr>
        <w:spacing w:after="120" w:line="276" w:lineRule="auto"/>
        <w:rPr>
          <w:rFonts w:eastAsia="MS PGothic" w:cstheme="minorHAnsi"/>
          <w:sz w:val="16"/>
          <w:szCs w:val="16"/>
          <w:lang w:eastAsia="ja-JP"/>
        </w:rPr>
      </w:pPr>
      <w:r w:rsidRPr="00671E8F">
        <w:rPr>
          <w:rFonts w:eastAsia="MS PGothic" w:cstheme="minorHAnsi"/>
          <w:sz w:val="16"/>
          <w:szCs w:val="16"/>
          <w:lang w:eastAsia="ja-JP"/>
        </w:rPr>
        <w:t>Извор: Министарство финансија</w:t>
      </w:r>
    </w:p>
    <w:bookmarkEnd w:id="70"/>
    <w:p w14:paraId="45264CF9" w14:textId="77777777" w:rsidR="00473C3B" w:rsidRPr="00671E8F" w:rsidRDefault="00473C3B" w:rsidP="00473C3B">
      <w:pPr>
        <w:spacing w:afterLines="120" w:after="288"/>
        <w:rPr>
          <w:rFonts w:eastAsia="MS PGothic" w:cstheme="minorHAnsi"/>
          <w:szCs w:val="20"/>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6963BE0D"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lastRenderedPageBreak/>
        <w:t>Главнице по основу гарантованих кредита, сервисиране из буџета Републике Србије у 2023. години износиле су 27,2 млрд динара (2022. година 21,3 млрд динара), од чега 23,8 млрд динара утиче на дефицит. Рачуноводствена методологија, до 2014. године, није у расходе укључивала отплате по основу гаранција.</w:t>
      </w:r>
    </w:p>
    <w:p w14:paraId="327EF182" w14:textId="77777777" w:rsidR="00473C3B" w:rsidRPr="00671E8F" w:rsidRDefault="00473C3B" w:rsidP="00473C3B">
      <w:pPr>
        <w:spacing w:afterLines="120" w:after="288"/>
        <w:rPr>
          <w:rFonts w:eastAsia="MS PGothic" w:cstheme="minorHAnsi"/>
          <w:szCs w:val="20"/>
          <w:lang w:eastAsia="ja-JP"/>
        </w:rPr>
      </w:pPr>
      <w:r w:rsidRPr="00671E8F">
        <w:rPr>
          <w:rFonts w:eastAsia="MS PGothic" w:cstheme="minorHAnsi"/>
          <w:szCs w:val="20"/>
          <w:lang w:eastAsia="ja-JP"/>
        </w:rPr>
        <w:t>Од 2014. године део ових расхода је укључен у расходе буџета. Независно од буџетског и рачуноводственог приказа, дуг који уместо главног дужника плаћа држава повећава укупне потребе за задуживањем.</w:t>
      </w:r>
    </w:p>
    <w:p w14:paraId="4B03DA93" w14:textId="77777777" w:rsidR="00473C3B" w:rsidRPr="00671E8F" w:rsidRDefault="00473C3B" w:rsidP="00473C3B">
      <w:pPr>
        <w:spacing w:after="0" w:line="276" w:lineRule="auto"/>
        <w:jc w:val="center"/>
        <w:rPr>
          <w:rFonts w:eastAsia="MS PGothic" w:cstheme="minorHAnsi"/>
          <w:b/>
          <w:color w:val="002060"/>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6DE504C7" w14:textId="77777777" w:rsidR="00473C3B" w:rsidRPr="00671E8F" w:rsidRDefault="00473C3B" w:rsidP="00473C3B">
      <w:pPr>
        <w:spacing w:after="40" w:line="276" w:lineRule="auto"/>
        <w:jc w:val="center"/>
        <w:rPr>
          <w:rFonts w:eastAsia="MS PGothic" w:cstheme="minorHAnsi"/>
          <w:b/>
          <w:color w:val="002060"/>
          <w:szCs w:val="20"/>
          <w:lang w:eastAsia="ja-JP"/>
        </w:rPr>
        <w:sectPr w:rsidR="00473C3B" w:rsidRPr="00671E8F" w:rsidSect="00F45C01">
          <w:type w:val="continuous"/>
          <w:pgSz w:w="12240" w:h="15840"/>
          <w:pgMar w:top="1440" w:right="1440" w:bottom="1440" w:left="1440" w:header="720" w:footer="720" w:gutter="0"/>
          <w:cols w:space="720"/>
          <w:docGrid w:linePitch="360"/>
        </w:sectPr>
      </w:pPr>
      <w:r w:rsidRPr="00671E8F">
        <w:rPr>
          <w:rFonts w:eastAsia="MS PGothic" w:cstheme="minorHAnsi"/>
          <w:b/>
          <w:color w:val="002060"/>
          <w:szCs w:val="20"/>
          <w:lang w:eastAsia="ja-JP"/>
        </w:rPr>
        <w:t>Укупна отплата по основу гаранција сервисираних из буџета Републике Србије, млрд динара</w:t>
      </w:r>
      <w:r w:rsidRPr="00671E8F">
        <w:rPr>
          <w:noProof/>
          <w:lang w:val="en-US"/>
        </w:rPr>
        <w:drawing>
          <wp:inline distT="0" distB="0" distL="0" distR="0" wp14:anchorId="70C921B3" wp14:editId="6F1EC463">
            <wp:extent cx="5943600" cy="2639695"/>
            <wp:effectExtent l="0" t="0" r="0" b="8255"/>
            <wp:docPr id="406805635" name="Chart 1">
              <a:extLst xmlns:a="http://schemas.openxmlformats.org/drawingml/2006/main">
                <a:ext uri="{FF2B5EF4-FFF2-40B4-BE49-F238E27FC236}">
                  <a16:creationId xmlns:a16="http://schemas.microsoft.com/office/drawing/2014/main" id="{00000000-0008-0000-01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p>
    <w:p w14:paraId="05F53C29"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План отплате по основу гаранција (укупно главница и камата) у Закону о буџету Републике Србије за 2024. годину износи 41,3 млрд динара, од чега се у расходе који утичу на резултат укључује 28,5 млрд динара за отплату главнице по гаранцијама.</w:t>
      </w:r>
    </w:p>
    <w:p w14:paraId="2C1199BB" w14:textId="77777777" w:rsidR="00473C3B" w:rsidRPr="00671E8F" w:rsidRDefault="00473C3B" w:rsidP="00473C3B">
      <w:pPr>
        <w:spacing w:after="120" w:line="257" w:lineRule="auto"/>
        <w:rPr>
          <w:rFonts w:eastAsia="MS PGothic" w:cstheme="minorHAnsi"/>
          <w:szCs w:val="20"/>
          <w:lang w:eastAsia="ja-JP"/>
        </w:rPr>
      </w:pPr>
      <w:r w:rsidRPr="00671E8F">
        <w:rPr>
          <w:rFonts w:eastAsia="MS PGothic" w:cstheme="minorHAnsi"/>
          <w:szCs w:val="20"/>
          <w:lang w:eastAsia="ja-JP"/>
        </w:rPr>
        <w:t xml:space="preserve">Индиректни дуг, те укључивање дела отплата по основу гаранција у буџетске расходе, и повећање дефицита по том основу, повећали су свест о растућим фискалним ризицима који произилазе по основу издатих гаранција. Стога су предузете активности које ограничавају издавање нових гаранција. Изменама Закона о јавном дугу, чланом 16. става 3, Република Србија може дати гаранције само ако се средствима кредита за који се даје гаранција финансирају капитална улагања дужника. Република Србија не може дати гаранције ако се средствима кредита за који се даје гаранција финансира текуће пословање дужника односно за потребе ликвидности дужника. Изменама Закона о Фонду за развој Републике Србије онемогућено је даље давање </w:t>
      </w:r>
      <w:r w:rsidRPr="00671E8F">
        <w:rPr>
          <w:rFonts w:eastAsia="MS PGothic" w:cstheme="minorHAnsi"/>
          <w:szCs w:val="20"/>
          <w:lang w:eastAsia="ja-JP"/>
        </w:rPr>
        <w:t>контрагаранција за гаранције издате од стране Фонда за развој Републике Србије.</w:t>
      </w:r>
    </w:p>
    <w:p w14:paraId="3A43748C" w14:textId="77777777" w:rsidR="00473C3B" w:rsidRPr="00671E8F" w:rsidRDefault="00473C3B" w:rsidP="00473C3B">
      <w:pPr>
        <w:spacing w:after="120" w:line="257" w:lineRule="auto"/>
        <w:rPr>
          <w:rFonts w:eastAsia="MS PGothic" w:cstheme="minorHAnsi"/>
          <w:szCs w:val="20"/>
          <w:lang w:eastAsia="ja-JP"/>
        </w:rPr>
      </w:pPr>
      <w:r w:rsidRPr="00671E8F">
        <w:rPr>
          <w:rFonts w:eastAsia="MS PGothic" w:cstheme="minorHAnsi"/>
          <w:szCs w:val="20"/>
          <w:lang w:eastAsia="ja-JP"/>
        </w:rPr>
        <w:t>Поред ограничења у издавању државних гаранција кључни корак у смањењу и отклањању фискалних ризика по овом основу је у реформи државних предузећа, корисника гаранција, како би били способни да отплаћују своје кредите. Већи број предузећа, која су и највећи корисници гаранција, налазе се у процесу реструктурирања, односно спровођења планова реструктурирања урађених у сарадњи са међународним финансијским институцијама.</w:t>
      </w:r>
    </w:p>
    <w:p w14:paraId="48DB01FD" w14:textId="77777777" w:rsidR="00473C3B" w:rsidRPr="00671E8F" w:rsidRDefault="00473C3B" w:rsidP="00473C3B">
      <w:pPr>
        <w:spacing w:after="240" w:line="257" w:lineRule="auto"/>
        <w:rPr>
          <w:rFonts w:eastAsia="MS PGothic" w:cstheme="minorHAnsi"/>
          <w:szCs w:val="20"/>
          <w:lang w:eastAsia="ja-JP"/>
        </w:rPr>
      </w:pPr>
      <w:r w:rsidRPr="00671E8F">
        <w:rPr>
          <w:rFonts w:eastAsia="MS PGothic" w:cstheme="minorHAnsi"/>
          <w:szCs w:val="20"/>
          <w:lang w:eastAsia="ja-JP"/>
        </w:rPr>
        <w:t>Законом о буџету Републике Србије за 2024. годину, члан 3А, планирано је издавање гаранција највише до 405 млрд динара. Чланом 42. Закона о буџету Републике Србије омогућено је да се обим издатих гаранција повећа, ради очувања и јачања финансијске стабилности или спречавања наступања или отклањања последица ванредних околности које могу да угрозе живот и здравље људи или да проузрокују штету већих размера, у износу до 20 млрд динара, а на предлог министарства надлежног за послове финансија.</w:t>
      </w:r>
    </w:p>
    <w:p w14:paraId="14E82CAA" w14:textId="77777777" w:rsidR="00473C3B" w:rsidRPr="00671E8F" w:rsidRDefault="00473C3B" w:rsidP="00473C3B">
      <w:pPr>
        <w:spacing w:after="240" w:line="257" w:lineRule="auto"/>
        <w:rPr>
          <w:rFonts w:eastAsia="MS PGothic" w:cstheme="minorHAnsi"/>
          <w:b/>
          <w:color w:val="002060"/>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2A0642DC" w14:textId="1B26D0AE"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lastRenderedPageBreak/>
        <w:t>Табела 1</w:t>
      </w:r>
      <w:r w:rsidR="00FC5CD7" w:rsidRPr="00671E8F">
        <w:rPr>
          <w:rFonts w:eastAsia="MS PGothic" w:cstheme="minorHAnsi"/>
          <w:b/>
          <w:color w:val="002060"/>
          <w:szCs w:val="20"/>
          <w:lang w:eastAsia="ja-JP"/>
        </w:rPr>
        <w:t>4</w:t>
      </w:r>
      <w:r w:rsidRPr="00671E8F">
        <w:rPr>
          <w:rFonts w:eastAsia="MS PGothic" w:cstheme="minorHAnsi"/>
          <w:b/>
          <w:color w:val="002060"/>
          <w:szCs w:val="20"/>
          <w:lang w:eastAsia="ja-JP"/>
        </w:rPr>
        <w:t>. План издавања гаранција у 2024. години, млрд динара</w:t>
      </w:r>
    </w:p>
    <w:tbl>
      <w:tblPr>
        <w:tblW w:w="5225" w:type="pct"/>
        <w:jc w:val="center"/>
        <w:tblLayout w:type="fixed"/>
        <w:tblCellMar>
          <w:left w:w="0" w:type="dxa"/>
          <w:right w:w="0" w:type="dxa"/>
        </w:tblCellMar>
        <w:tblLook w:val="04A0" w:firstRow="1" w:lastRow="0" w:firstColumn="1" w:lastColumn="0" w:noHBand="0" w:noVBand="1"/>
      </w:tblPr>
      <w:tblGrid>
        <w:gridCol w:w="2126"/>
        <w:gridCol w:w="708"/>
        <w:gridCol w:w="853"/>
        <w:gridCol w:w="1135"/>
        <w:gridCol w:w="1279"/>
        <w:gridCol w:w="847"/>
        <w:gridCol w:w="855"/>
        <w:gridCol w:w="497"/>
        <w:gridCol w:w="497"/>
        <w:gridCol w:w="984"/>
      </w:tblGrid>
      <w:tr w:rsidR="00473C3B" w:rsidRPr="00671E8F" w14:paraId="4F2B3FEF" w14:textId="77777777" w:rsidTr="00473C3B">
        <w:trPr>
          <w:trHeight w:val="20"/>
          <w:jc w:val="center"/>
        </w:trPr>
        <w:tc>
          <w:tcPr>
            <w:tcW w:w="1087" w:type="pct"/>
            <w:tcBorders>
              <w:top w:val="single" w:sz="4" w:space="0" w:color="002060"/>
              <w:left w:val="nil"/>
              <w:bottom w:val="single" w:sz="4" w:space="0" w:color="002060"/>
              <w:right w:val="nil"/>
            </w:tcBorders>
            <w:shd w:val="clear" w:color="auto" w:fill="auto"/>
            <w:vAlign w:val="center"/>
            <w:hideMark/>
          </w:tcPr>
          <w:p w14:paraId="4D3FC83D" w14:textId="77777777" w:rsidR="00473C3B" w:rsidRPr="00671E8F" w:rsidRDefault="00473C3B" w:rsidP="00473C3B">
            <w:pPr>
              <w:spacing w:after="0" w:line="240" w:lineRule="auto"/>
              <w:jc w:val="left"/>
              <w:rPr>
                <w:rFonts w:eastAsia="Times New Roman" w:cstheme="minorHAnsi"/>
                <w:b/>
                <w:bCs/>
                <w:color w:val="002060"/>
                <w:sz w:val="16"/>
                <w:szCs w:val="16"/>
              </w:rPr>
            </w:pPr>
            <w:r w:rsidRPr="00671E8F">
              <w:rPr>
                <w:rFonts w:eastAsia="Times New Roman" w:cstheme="minorHAnsi"/>
                <w:b/>
                <w:bCs/>
                <w:color w:val="002060"/>
                <w:sz w:val="16"/>
                <w:szCs w:val="16"/>
              </w:rPr>
              <w:t>Корисници</w:t>
            </w:r>
          </w:p>
        </w:tc>
        <w:tc>
          <w:tcPr>
            <w:tcW w:w="362" w:type="pct"/>
            <w:tcBorders>
              <w:top w:val="single" w:sz="4" w:space="0" w:color="002060"/>
              <w:left w:val="nil"/>
              <w:bottom w:val="single" w:sz="4" w:space="0" w:color="002060"/>
              <w:right w:val="nil"/>
            </w:tcBorders>
            <w:shd w:val="clear" w:color="auto" w:fill="auto"/>
            <w:vAlign w:val="center"/>
            <w:hideMark/>
          </w:tcPr>
          <w:p w14:paraId="22F1AF98"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Број пројеката</w:t>
            </w:r>
          </w:p>
        </w:tc>
        <w:tc>
          <w:tcPr>
            <w:tcW w:w="436" w:type="pct"/>
            <w:tcBorders>
              <w:top w:val="single" w:sz="4" w:space="0" w:color="002060"/>
              <w:left w:val="nil"/>
              <w:bottom w:val="single" w:sz="4" w:space="0" w:color="002060"/>
              <w:right w:val="nil"/>
            </w:tcBorders>
            <w:shd w:val="clear" w:color="auto" w:fill="auto"/>
            <w:vAlign w:val="center"/>
            <w:hideMark/>
          </w:tcPr>
          <w:p w14:paraId="2CEA0F1F"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Домаће и стране пословне банке</w:t>
            </w:r>
          </w:p>
        </w:tc>
        <w:tc>
          <w:tcPr>
            <w:tcW w:w="580" w:type="pct"/>
            <w:tcBorders>
              <w:top w:val="single" w:sz="4" w:space="0" w:color="002060"/>
              <w:left w:val="nil"/>
              <w:bottom w:val="single" w:sz="4" w:space="0" w:color="002060"/>
              <w:right w:val="nil"/>
            </w:tcBorders>
            <w:shd w:val="clear" w:color="auto" w:fill="auto"/>
            <w:vAlign w:val="center"/>
            <w:hideMark/>
          </w:tcPr>
          <w:p w14:paraId="2A52D4E1"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Европска инвестициона банка</w:t>
            </w:r>
          </w:p>
        </w:tc>
        <w:tc>
          <w:tcPr>
            <w:tcW w:w="654" w:type="pct"/>
            <w:tcBorders>
              <w:top w:val="single" w:sz="4" w:space="0" w:color="002060"/>
              <w:left w:val="nil"/>
              <w:bottom w:val="single" w:sz="4" w:space="0" w:color="002060"/>
              <w:right w:val="nil"/>
            </w:tcBorders>
            <w:shd w:val="clear" w:color="auto" w:fill="auto"/>
            <w:vAlign w:val="center"/>
            <w:hideMark/>
          </w:tcPr>
          <w:p w14:paraId="46BD938E"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Азијска инфраструктурна инвестициона банка</w:t>
            </w:r>
          </w:p>
        </w:tc>
        <w:tc>
          <w:tcPr>
            <w:tcW w:w="433" w:type="pct"/>
            <w:tcBorders>
              <w:top w:val="single" w:sz="4" w:space="0" w:color="002060"/>
              <w:left w:val="nil"/>
              <w:bottom w:val="single" w:sz="4" w:space="0" w:color="002060"/>
              <w:right w:val="nil"/>
            </w:tcBorders>
            <w:shd w:val="clear" w:color="auto" w:fill="auto"/>
            <w:vAlign w:val="center"/>
            <w:hideMark/>
          </w:tcPr>
          <w:p w14:paraId="71D283ED"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Европска банка за обнову и развој</w:t>
            </w:r>
          </w:p>
        </w:tc>
        <w:tc>
          <w:tcPr>
            <w:tcW w:w="437" w:type="pct"/>
            <w:tcBorders>
              <w:top w:val="single" w:sz="4" w:space="0" w:color="002060"/>
              <w:left w:val="nil"/>
              <w:bottom w:val="single" w:sz="4" w:space="0" w:color="002060"/>
              <w:right w:val="nil"/>
            </w:tcBorders>
            <w:shd w:val="clear" w:color="auto" w:fill="auto"/>
            <w:noWrap/>
            <w:vAlign w:val="center"/>
            <w:hideMark/>
          </w:tcPr>
          <w:p w14:paraId="341C1708"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ЕУРОФИМА</w:t>
            </w:r>
          </w:p>
        </w:tc>
        <w:tc>
          <w:tcPr>
            <w:tcW w:w="254" w:type="pct"/>
            <w:tcBorders>
              <w:top w:val="single" w:sz="4" w:space="0" w:color="002060"/>
              <w:left w:val="nil"/>
              <w:bottom w:val="single" w:sz="4" w:space="0" w:color="002060"/>
              <w:right w:val="nil"/>
            </w:tcBorders>
            <w:shd w:val="clear" w:color="auto" w:fill="auto"/>
            <w:vAlign w:val="center"/>
            <w:hideMark/>
          </w:tcPr>
          <w:p w14:paraId="34AC522B"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KfW</w:t>
            </w:r>
          </w:p>
        </w:tc>
        <w:tc>
          <w:tcPr>
            <w:tcW w:w="254" w:type="pct"/>
            <w:tcBorders>
              <w:top w:val="single" w:sz="4" w:space="0" w:color="002060"/>
              <w:left w:val="nil"/>
              <w:bottom w:val="single" w:sz="4" w:space="0" w:color="002060"/>
              <w:right w:val="nil"/>
            </w:tcBorders>
            <w:shd w:val="clear" w:color="auto" w:fill="auto"/>
            <w:vAlign w:val="center"/>
            <w:hideMark/>
          </w:tcPr>
          <w:p w14:paraId="51D9014E"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АФД</w:t>
            </w:r>
          </w:p>
        </w:tc>
        <w:tc>
          <w:tcPr>
            <w:tcW w:w="504" w:type="pct"/>
            <w:tcBorders>
              <w:top w:val="single" w:sz="4" w:space="0" w:color="002060"/>
              <w:left w:val="nil"/>
              <w:bottom w:val="single" w:sz="4" w:space="0" w:color="002060"/>
              <w:right w:val="nil"/>
            </w:tcBorders>
            <w:shd w:val="clear" w:color="auto" w:fill="auto"/>
            <w:vAlign w:val="center"/>
            <w:hideMark/>
          </w:tcPr>
          <w:p w14:paraId="0D13E455"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Укупно по предузећима</w:t>
            </w:r>
          </w:p>
        </w:tc>
      </w:tr>
      <w:tr w:rsidR="00473C3B" w:rsidRPr="00671E8F" w14:paraId="54BE47C9"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4940905C"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„Електропривреда Србије” ад</w:t>
            </w:r>
          </w:p>
        </w:tc>
        <w:tc>
          <w:tcPr>
            <w:tcW w:w="362" w:type="pct"/>
            <w:tcBorders>
              <w:top w:val="nil"/>
              <w:left w:val="nil"/>
              <w:bottom w:val="nil"/>
              <w:right w:val="nil"/>
            </w:tcBorders>
            <w:shd w:val="clear" w:color="auto" w:fill="auto"/>
            <w:noWrap/>
            <w:vAlign w:val="center"/>
            <w:hideMark/>
          </w:tcPr>
          <w:p w14:paraId="4CEEFFC6"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9</w:t>
            </w:r>
          </w:p>
        </w:tc>
        <w:tc>
          <w:tcPr>
            <w:tcW w:w="436" w:type="pct"/>
            <w:tcBorders>
              <w:top w:val="nil"/>
              <w:left w:val="nil"/>
              <w:bottom w:val="nil"/>
              <w:right w:val="nil"/>
            </w:tcBorders>
            <w:shd w:val="clear" w:color="auto" w:fill="auto"/>
            <w:noWrap/>
            <w:vAlign w:val="center"/>
            <w:hideMark/>
          </w:tcPr>
          <w:p w14:paraId="07D72D6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297,1</w:t>
            </w:r>
          </w:p>
        </w:tc>
        <w:tc>
          <w:tcPr>
            <w:tcW w:w="580" w:type="pct"/>
            <w:tcBorders>
              <w:top w:val="nil"/>
              <w:left w:val="nil"/>
              <w:bottom w:val="nil"/>
              <w:right w:val="nil"/>
            </w:tcBorders>
            <w:shd w:val="clear" w:color="auto" w:fill="auto"/>
            <w:noWrap/>
            <w:vAlign w:val="center"/>
            <w:hideMark/>
          </w:tcPr>
          <w:p w14:paraId="64F61738"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654" w:type="pct"/>
            <w:tcBorders>
              <w:top w:val="nil"/>
              <w:left w:val="nil"/>
              <w:bottom w:val="nil"/>
              <w:right w:val="nil"/>
            </w:tcBorders>
            <w:shd w:val="clear" w:color="auto" w:fill="auto"/>
            <w:noWrap/>
            <w:vAlign w:val="center"/>
            <w:hideMark/>
          </w:tcPr>
          <w:p w14:paraId="4FE5A5C5"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15,9</w:t>
            </w:r>
          </w:p>
        </w:tc>
        <w:tc>
          <w:tcPr>
            <w:tcW w:w="433" w:type="pct"/>
            <w:tcBorders>
              <w:top w:val="nil"/>
              <w:left w:val="nil"/>
              <w:bottom w:val="nil"/>
              <w:right w:val="nil"/>
            </w:tcBorders>
            <w:shd w:val="clear" w:color="auto" w:fill="auto"/>
            <w:noWrap/>
            <w:vAlign w:val="center"/>
            <w:hideMark/>
          </w:tcPr>
          <w:p w14:paraId="38155C05"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7,9</w:t>
            </w:r>
          </w:p>
        </w:tc>
        <w:tc>
          <w:tcPr>
            <w:tcW w:w="437" w:type="pct"/>
            <w:tcBorders>
              <w:top w:val="nil"/>
              <w:left w:val="nil"/>
              <w:bottom w:val="nil"/>
              <w:right w:val="nil"/>
            </w:tcBorders>
            <w:shd w:val="clear" w:color="auto" w:fill="auto"/>
            <w:noWrap/>
            <w:vAlign w:val="center"/>
            <w:hideMark/>
          </w:tcPr>
          <w:p w14:paraId="26780369"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254" w:type="pct"/>
            <w:tcBorders>
              <w:top w:val="nil"/>
              <w:left w:val="nil"/>
              <w:bottom w:val="nil"/>
              <w:right w:val="nil"/>
            </w:tcBorders>
            <w:shd w:val="clear" w:color="auto" w:fill="auto"/>
            <w:noWrap/>
            <w:vAlign w:val="center"/>
            <w:hideMark/>
          </w:tcPr>
          <w:p w14:paraId="65279395"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3,5</w:t>
            </w:r>
          </w:p>
        </w:tc>
        <w:tc>
          <w:tcPr>
            <w:tcW w:w="254" w:type="pct"/>
            <w:tcBorders>
              <w:top w:val="nil"/>
              <w:left w:val="nil"/>
              <w:bottom w:val="nil"/>
              <w:right w:val="nil"/>
            </w:tcBorders>
            <w:shd w:val="clear" w:color="auto" w:fill="auto"/>
            <w:noWrap/>
            <w:vAlign w:val="center"/>
            <w:hideMark/>
          </w:tcPr>
          <w:p w14:paraId="3A559D10"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504" w:type="pct"/>
            <w:tcBorders>
              <w:top w:val="nil"/>
              <w:left w:val="nil"/>
              <w:bottom w:val="nil"/>
              <w:right w:val="nil"/>
            </w:tcBorders>
            <w:shd w:val="clear" w:color="auto" w:fill="auto"/>
            <w:noWrap/>
            <w:vAlign w:val="center"/>
            <w:hideMark/>
          </w:tcPr>
          <w:p w14:paraId="017731CD"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324,4</w:t>
            </w:r>
          </w:p>
        </w:tc>
      </w:tr>
      <w:tr w:rsidR="00473C3B" w:rsidRPr="00671E8F" w14:paraId="1C7F0157"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22D4BA59"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„Електродистрибуција Србије” доо</w:t>
            </w:r>
          </w:p>
        </w:tc>
        <w:tc>
          <w:tcPr>
            <w:tcW w:w="362" w:type="pct"/>
            <w:tcBorders>
              <w:top w:val="nil"/>
              <w:left w:val="nil"/>
              <w:bottom w:val="nil"/>
              <w:right w:val="nil"/>
            </w:tcBorders>
            <w:shd w:val="clear" w:color="auto" w:fill="auto"/>
            <w:noWrap/>
            <w:vAlign w:val="center"/>
            <w:hideMark/>
          </w:tcPr>
          <w:p w14:paraId="55FD9C7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w:t>
            </w:r>
          </w:p>
        </w:tc>
        <w:tc>
          <w:tcPr>
            <w:tcW w:w="436" w:type="pct"/>
            <w:tcBorders>
              <w:top w:val="nil"/>
              <w:left w:val="nil"/>
              <w:bottom w:val="nil"/>
              <w:right w:val="nil"/>
            </w:tcBorders>
            <w:shd w:val="clear" w:color="auto" w:fill="auto"/>
            <w:noWrap/>
            <w:vAlign w:val="center"/>
            <w:hideMark/>
          </w:tcPr>
          <w:p w14:paraId="7D6904B4"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11,5</w:t>
            </w:r>
          </w:p>
        </w:tc>
        <w:tc>
          <w:tcPr>
            <w:tcW w:w="580" w:type="pct"/>
            <w:tcBorders>
              <w:top w:val="nil"/>
              <w:left w:val="nil"/>
              <w:bottom w:val="nil"/>
              <w:right w:val="nil"/>
            </w:tcBorders>
            <w:shd w:val="clear" w:color="auto" w:fill="auto"/>
            <w:noWrap/>
            <w:vAlign w:val="center"/>
            <w:hideMark/>
          </w:tcPr>
          <w:p w14:paraId="40E66E6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21,2</w:t>
            </w:r>
          </w:p>
        </w:tc>
        <w:tc>
          <w:tcPr>
            <w:tcW w:w="654" w:type="pct"/>
            <w:tcBorders>
              <w:top w:val="nil"/>
              <w:left w:val="nil"/>
              <w:bottom w:val="nil"/>
              <w:right w:val="nil"/>
            </w:tcBorders>
            <w:shd w:val="clear" w:color="auto" w:fill="auto"/>
            <w:noWrap/>
            <w:vAlign w:val="center"/>
            <w:hideMark/>
          </w:tcPr>
          <w:p w14:paraId="6326D09E"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433" w:type="pct"/>
            <w:tcBorders>
              <w:top w:val="nil"/>
              <w:left w:val="nil"/>
              <w:bottom w:val="nil"/>
              <w:right w:val="nil"/>
            </w:tcBorders>
            <w:shd w:val="clear" w:color="auto" w:fill="auto"/>
            <w:noWrap/>
            <w:vAlign w:val="center"/>
            <w:hideMark/>
          </w:tcPr>
          <w:p w14:paraId="631E1DC1"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7" w:type="pct"/>
            <w:tcBorders>
              <w:top w:val="nil"/>
              <w:left w:val="nil"/>
              <w:bottom w:val="nil"/>
              <w:right w:val="nil"/>
            </w:tcBorders>
            <w:shd w:val="clear" w:color="auto" w:fill="auto"/>
            <w:noWrap/>
            <w:vAlign w:val="center"/>
            <w:hideMark/>
          </w:tcPr>
          <w:p w14:paraId="15686595"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610DD141"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6A21996E" w14:textId="77777777" w:rsidR="00473C3B" w:rsidRPr="00671E8F" w:rsidRDefault="00473C3B" w:rsidP="00473C3B">
            <w:pPr>
              <w:spacing w:after="0" w:line="240" w:lineRule="auto"/>
              <w:jc w:val="center"/>
              <w:rPr>
                <w:rFonts w:eastAsia="Times New Roman" w:cstheme="minorHAnsi"/>
                <w:color w:val="auto"/>
                <w:sz w:val="16"/>
                <w:szCs w:val="16"/>
              </w:rPr>
            </w:pPr>
          </w:p>
        </w:tc>
        <w:tc>
          <w:tcPr>
            <w:tcW w:w="504" w:type="pct"/>
            <w:tcBorders>
              <w:top w:val="nil"/>
              <w:left w:val="nil"/>
              <w:bottom w:val="nil"/>
              <w:right w:val="nil"/>
            </w:tcBorders>
            <w:shd w:val="clear" w:color="auto" w:fill="auto"/>
            <w:noWrap/>
            <w:vAlign w:val="center"/>
            <w:hideMark/>
          </w:tcPr>
          <w:p w14:paraId="2608039A"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32,7</w:t>
            </w:r>
          </w:p>
        </w:tc>
      </w:tr>
      <w:tr w:rsidR="00473C3B" w:rsidRPr="00671E8F" w14:paraId="431D2CB3"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4F632AA4"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ЈП „Србијагас”</w:t>
            </w:r>
          </w:p>
        </w:tc>
        <w:tc>
          <w:tcPr>
            <w:tcW w:w="362" w:type="pct"/>
            <w:tcBorders>
              <w:top w:val="nil"/>
              <w:left w:val="nil"/>
              <w:bottom w:val="nil"/>
              <w:right w:val="nil"/>
            </w:tcBorders>
            <w:shd w:val="clear" w:color="auto" w:fill="auto"/>
            <w:noWrap/>
            <w:vAlign w:val="center"/>
            <w:hideMark/>
          </w:tcPr>
          <w:p w14:paraId="2A67ACB9"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w:t>
            </w:r>
          </w:p>
        </w:tc>
        <w:tc>
          <w:tcPr>
            <w:tcW w:w="436" w:type="pct"/>
            <w:tcBorders>
              <w:top w:val="nil"/>
              <w:left w:val="nil"/>
              <w:bottom w:val="nil"/>
              <w:right w:val="nil"/>
            </w:tcBorders>
            <w:shd w:val="clear" w:color="auto" w:fill="auto"/>
            <w:noWrap/>
            <w:vAlign w:val="center"/>
            <w:hideMark/>
          </w:tcPr>
          <w:p w14:paraId="6659F232"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27,1</w:t>
            </w:r>
          </w:p>
        </w:tc>
        <w:tc>
          <w:tcPr>
            <w:tcW w:w="580" w:type="pct"/>
            <w:tcBorders>
              <w:top w:val="nil"/>
              <w:left w:val="nil"/>
              <w:bottom w:val="nil"/>
              <w:right w:val="nil"/>
            </w:tcBorders>
            <w:shd w:val="clear" w:color="auto" w:fill="auto"/>
            <w:noWrap/>
            <w:vAlign w:val="center"/>
            <w:hideMark/>
          </w:tcPr>
          <w:p w14:paraId="23AD62D3"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654" w:type="pct"/>
            <w:tcBorders>
              <w:top w:val="nil"/>
              <w:left w:val="nil"/>
              <w:bottom w:val="nil"/>
              <w:right w:val="nil"/>
            </w:tcBorders>
            <w:shd w:val="clear" w:color="auto" w:fill="auto"/>
            <w:noWrap/>
            <w:vAlign w:val="center"/>
            <w:hideMark/>
          </w:tcPr>
          <w:p w14:paraId="4DB4F964"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3" w:type="pct"/>
            <w:tcBorders>
              <w:top w:val="nil"/>
              <w:left w:val="nil"/>
              <w:bottom w:val="nil"/>
              <w:right w:val="nil"/>
            </w:tcBorders>
            <w:shd w:val="clear" w:color="auto" w:fill="auto"/>
            <w:noWrap/>
            <w:vAlign w:val="center"/>
            <w:hideMark/>
          </w:tcPr>
          <w:p w14:paraId="32D048C5"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7" w:type="pct"/>
            <w:tcBorders>
              <w:top w:val="nil"/>
              <w:left w:val="nil"/>
              <w:bottom w:val="nil"/>
              <w:right w:val="nil"/>
            </w:tcBorders>
            <w:shd w:val="clear" w:color="auto" w:fill="auto"/>
            <w:noWrap/>
            <w:vAlign w:val="center"/>
            <w:hideMark/>
          </w:tcPr>
          <w:p w14:paraId="7B84866E"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26261423"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1DDF4507" w14:textId="77777777" w:rsidR="00473C3B" w:rsidRPr="00671E8F" w:rsidRDefault="00473C3B" w:rsidP="00473C3B">
            <w:pPr>
              <w:spacing w:after="0" w:line="240" w:lineRule="auto"/>
              <w:jc w:val="center"/>
              <w:rPr>
                <w:rFonts w:eastAsia="Times New Roman" w:cstheme="minorHAnsi"/>
                <w:color w:val="auto"/>
                <w:sz w:val="16"/>
                <w:szCs w:val="16"/>
              </w:rPr>
            </w:pPr>
          </w:p>
        </w:tc>
        <w:tc>
          <w:tcPr>
            <w:tcW w:w="504" w:type="pct"/>
            <w:tcBorders>
              <w:top w:val="nil"/>
              <w:left w:val="nil"/>
              <w:bottom w:val="nil"/>
              <w:right w:val="nil"/>
            </w:tcBorders>
            <w:shd w:val="clear" w:color="auto" w:fill="auto"/>
            <w:noWrap/>
            <w:vAlign w:val="center"/>
            <w:hideMark/>
          </w:tcPr>
          <w:p w14:paraId="1967EDDE"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27,1</w:t>
            </w:r>
          </w:p>
        </w:tc>
      </w:tr>
      <w:tr w:rsidR="00473C3B" w:rsidRPr="00671E8F" w14:paraId="30A291CE"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51489AB4"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„Србијавоз” ад</w:t>
            </w:r>
          </w:p>
        </w:tc>
        <w:tc>
          <w:tcPr>
            <w:tcW w:w="362" w:type="pct"/>
            <w:tcBorders>
              <w:top w:val="nil"/>
              <w:left w:val="nil"/>
              <w:bottom w:val="nil"/>
              <w:right w:val="nil"/>
            </w:tcBorders>
            <w:shd w:val="clear" w:color="auto" w:fill="auto"/>
            <w:noWrap/>
            <w:vAlign w:val="center"/>
            <w:hideMark/>
          </w:tcPr>
          <w:p w14:paraId="6963D6C3"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w:t>
            </w:r>
          </w:p>
        </w:tc>
        <w:tc>
          <w:tcPr>
            <w:tcW w:w="436" w:type="pct"/>
            <w:tcBorders>
              <w:top w:val="nil"/>
              <w:left w:val="nil"/>
              <w:bottom w:val="nil"/>
              <w:right w:val="nil"/>
            </w:tcBorders>
            <w:shd w:val="clear" w:color="auto" w:fill="auto"/>
            <w:noWrap/>
            <w:vAlign w:val="center"/>
            <w:hideMark/>
          </w:tcPr>
          <w:p w14:paraId="3632DBD8"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580" w:type="pct"/>
            <w:tcBorders>
              <w:top w:val="nil"/>
              <w:left w:val="nil"/>
              <w:bottom w:val="nil"/>
              <w:right w:val="nil"/>
            </w:tcBorders>
            <w:shd w:val="clear" w:color="auto" w:fill="auto"/>
            <w:noWrap/>
            <w:vAlign w:val="center"/>
            <w:hideMark/>
          </w:tcPr>
          <w:p w14:paraId="5828C19D" w14:textId="77777777" w:rsidR="00473C3B" w:rsidRPr="00671E8F" w:rsidRDefault="00473C3B" w:rsidP="00473C3B">
            <w:pPr>
              <w:spacing w:after="0" w:line="240" w:lineRule="auto"/>
              <w:jc w:val="center"/>
              <w:rPr>
                <w:rFonts w:eastAsia="Times New Roman" w:cstheme="minorHAnsi"/>
                <w:color w:val="auto"/>
                <w:sz w:val="16"/>
                <w:szCs w:val="16"/>
              </w:rPr>
            </w:pPr>
          </w:p>
        </w:tc>
        <w:tc>
          <w:tcPr>
            <w:tcW w:w="654" w:type="pct"/>
            <w:tcBorders>
              <w:top w:val="nil"/>
              <w:left w:val="nil"/>
              <w:bottom w:val="nil"/>
              <w:right w:val="nil"/>
            </w:tcBorders>
            <w:shd w:val="clear" w:color="auto" w:fill="auto"/>
            <w:noWrap/>
            <w:vAlign w:val="center"/>
            <w:hideMark/>
          </w:tcPr>
          <w:p w14:paraId="2E987D34"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3" w:type="pct"/>
            <w:tcBorders>
              <w:top w:val="nil"/>
              <w:left w:val="nil"/>
              <w:bottom w:val="nil"/>
              <w:right w:val="nil"/>
            </w:tcBorders>
            <w:shd w:val="clear" w:color="auto" w:fill="auto"/>
            <w:noWrap/>
            <w:vAlign w:val="center"/>
            <w:hideMark/>
          </w:tcPr>
          <w:p w14:paraId="2B07ED36"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3,0</w:t>
            </w:r>
          </w:p>
        </w:tc>
        <w:tc>
          <w:tcPr>
            <w:tcW w:w="437" w:type="pct"/>
            <w:tcBorders>
              <w:top w:val="nil"/>
              <w:left w:val="nil"/>
              <w:bottom w:val="nil"/>
              <w:right w:val="nil"/>
            </w:tcBorders>
            <w:shd w:val="clear" w:color="auto" w:fill="auto"/>
            <w:noWrap/>
            <w:vAlign w:val="center"/>
            <w:hideMark/>
          </w:tcPr>
          <w:p w14:paraId="6A2408B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10,6</w:t>
            </w:r>
          </w:p>
        </w:tc>
        <w:tc>
          <w:tcPr>
            <w:tcW w:w="254" w:type="pct"/>
            <w:tcBorders>
              <w:top w:val="nil"/>
              <w:left w:val="nil"/>
              <w:bottom w:val="nil"/>
              <w:right w:val="nil"/>
            </w:tcBorders>
            <w:shd w:val="clear" w:color="auto" w:fill="auto"/>
            <w:noWrap/>
            <w:vAlign w:val="center"/>
            <w:hideMark/>
          </w:tcPr>
          <w:p w14:paraId="036FDF27"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254" w:type="pct"/>
            <w:tcBorders>
              <w:top w:val="nil"/>
              <w:left w:val="nil"/>
              <w:bottom w:val="nil"/>
              <w:right w:val="nil"/>
            </w:tcBorders>
            <w:shd w:val="clear" w:color="auto" w:fill="auto"/>
            <w:noWrap/>
            <w:vAlign w:val="center"/>
            <w:hideMark/>
          </w:tcPr>
          <w:p w14:paraId="75D0A040" w14:textId="77777777" w:rsidR="00473C3B" w:rsidRPr="00671E8F" w:rsidRDefault="00473C3B" w:rsidP="00473C3B">
            <w:pPr>
              <w:spacing w:after="0" w:line="240" w:lineRule="auto"/>
              <w:jc w:val="center"/>
              <w:rPr>
                <w:rFonts w:eastAsia="Times New Roman" w:cstheme="minorHAnsi"/>
                <w:color w:val="auto"/>
                <w:sz w:val="16"/>
                <w:szCs w:val="16"/>
              </w:rPr>
            </w:pPr>
          </w:p>
        </w:tc>
        <w:tc>
          <w:tcPr>
            <w:tcW w:w="504" w:type="pct"/>
            <w:tcBorders>
              <w:top w:val="nil"/>
              <w:left w:val="nil"/>
              <w:bottom w:val="nil"/>
              <w:right w:val="nil"/>
            </w:tcBorders>
            <w:shd w:val="clear" w:color="auto" w:fill="auto"/>
            <w:noWrap/>
            <w:vAlign w:val="center"/>
            <w:hideMark/>
          </w:tcPr>
          <w:p w14:paraId="5FA0A338"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13,6</w:t>
            </w:r>
          </w:p>
        </w:tc>
      </w:tr>
      <w:tr w:rsidR="00473C3B" w:rsidRPr="00671E8F" w14:paraId="35A22757" w14:textId="77777777" w:rsidTr="00473C3B">
        <w:trPr>
          <w:trHeight w:val="20"/>
          <w:jc w:val="center"/>
        </w:trPr>
        <w:tc>
          <w:tcPr>
            <w:tcW w:w="1087" w:type="pct"/>
            <w:tcBorders>
              <w:top w:val="nil"/>
              <w:left w:val="nil"/>
              <w:bottom w:val="nil"/>
              <w:right w:val="nil"/>
            </w:tcBorders>
            <w:shd w:val="clear" w:color="auto" w:fill="auto"/>
            <w:noWrap/>
            <w:vAlign w:val="center"/>
            <w:hideMark/>
          </w:tcPr>
          <w:p w14:paraId="67C06C57"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„Електромрежа Србије” ад</w:t>
            </w:r>
          </w:p>
        </w:tc>
        <w:tc>
          <w:tcPr>
            <w:tcW w:w="362" w:type="pct"/>
            <w:tcBorders>
              <w:top w:val="nil"/>
              <w:left w:val="nil"/>
              <w:bottom w:val="nil"/>
              <w:right w:val="nil"/>
            </w:tcBorders>
            <w:shd w:val="clear" w:color="auto" w:fill="auto"/>
            <w:noWrap/>
            <w:vAlign w:val="center"/>
            <w:hideMark/>
          </w:tcPr>
          <w:p w14:paraId="5C094402"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2</w:t>
            </w:r>
          </w:p>
        </w:tc>
        <w:tc>
          <w:tcPr>
            <w:tcW w:w="436" w:type="pct"/>
            <w:tcBorders>
              <w:top w:val="nil"/>
              <w:left w:val="nil"/>
              <w:bottom w:val="nil"/>
              <w:right w:val="nil"/>
            </w:tcBorders>
            <w:shd w:val="clear" w:color="auto" w:fill="auto"/>
            <w:noWrap/>
            <w:vAlign w:val="center"/>
            <w:hideMark/>
          </w:tcPr>
          <w:p w14:paraId="6A82EAF9"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580" w:type="pct"/>
            <w:tcBorders>
              <w:top w:val="nil"/>
              <w:left w:val="nil"/>
              <w:bottom w:val="nil"/>
              <w:right w:val="nil"/>
            </w:tcBorders>
            <w:shd w:val="clear" w:color="auto" w:fill="auto"/>
            <w:noWrap/>
            <w:vAlign w:val="center"/>
            <w:hideMark/>
          </w:tcPr>
          <w:p w14:paraId="3B7D4207" w14:textId="77777777" w:rsidR="00473C3B" w:rsidRPr="00671E8F" w:rsidRDefault="00473C3B" w:rsidP="00473C3B">
            <w:pPr>
              <w:spacing w:after="0" w:line="240" w:lineRule="auto"/>
              <w:jc w:val="center"/>
              <w:rPr>
                <w:rFonts w:eastAsia="Times New Roman" w:cstheme="minorHAnsi"/>
                <w:color w:val="auto"/>
                <w:sz w:val="16"/>
                <w:szCs w:val="16"/>
              </w:rPr>
            </w:pPr>
          </w:p>
        </w:tc>
        <w:tc>
          <w:tcPr>
            <w:tcW w:w="654" w:type="pct"/>
            <w:tcBorders>
              <w:top w:val="nil"/>
              <w:left w:val="nil"/>
              <w:bottom w:val="nil"/>
              <w:right w:val="nil"/>
            </w:tcBorders>
            <w:shd w:val="clear" w:color="auto" w:fill="auto"/>
            <w:noWrap/>
            <w:vAlign w:val="center"/>
            <w:hideMark/>
          </w:tcPr>
          <w:p w14:paraId="4F5ACBC7"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3" w:type="pct"/>
            <w:tcBorders>
              <w:top w:val="nil"/>
              <w:left w:val="nil"/>
              <w:bottom w:val="nil"/>
              <w:right w:val="nil"/>
            </w:tcBorders>
            <w:shd w:val="clear" w:color="auto" w:fill="auto"/>
            <w:noWrap/>
            <w:vAlign w:val="center"/>
            <w:hideMark/>
          </w:tcPr>
          <w:p w14:paraId="694864D6" w14:textId="77777777" w:rsidR="00473C3B" w:rsidRPr="00671E8F" w:rsidRDefault="00473C3B" w:rsidP="00473C3B">
            <w:pPr>
              <w:spacing w:after="0" w:line="240" w:lineRule="auto"/>
              <w:jc w:val="center"/>
              <w:rPr>
                <w:rFonts w:eastAsia="Times New Roman" w:cstheme="minorHAnsi"/>
                <w:color w:val="auto"/>
                <w:sz w:val="16"/>
                <w:szCs w:val="16"/>
              </w:rPr>
            </w:pPr>
          </w:p>
        </w:tc>
        <w:tc>
          <w:tcPr>
            <w:tcW w:w="437" w:type="pct"/>
            <w:tcBorders>
              <w:top w:val="nil"/>
              <w:left w:val="nil"/>
              <w:bottom w:val="nil"/>
              <w:right w:val="nil"/>
            </w:tcBorders>
            <w:shd w:val="clear" w:color="auto" w:fill="auto"/>
            <w:noWrap/>
            <w:vAlign w:val="center"/>
            <w:hideMark/>
          </w:tcPr>
          <w:p w14:paraId="195153E4" w14:textId="77777777" w:rsidR="00473C3B" w:rsidRPr="00671E8F" w:rsidRDefault="00473C3B" w:rsidP="00473C3B">
            <w:pPr>
              <w:spacing w:after="0" w:line="240" w:lineRule="auto"/>
              <w:jc w:val="center"/>
              <w:rPr>
                <w:rFonts w:eastAsia="Times New Roman" w:cstheme="minorHAnsi"/>
                <w:color w:val="auto"/>
                <w:sz w:val="16"/>
                <w:szCs w:val="16"/>
              </w:rPr>
            </w:pPr>
          </w:p>
        </w:tc>
        <w:tc>
          <w:tcPr>
            <w:tcW w:w="254" w:type="pct"/>
            <w:tcBorders>
              <w:top w:val="nil"/>
              <w:left w:val="nil"/>
              <w:bottom w:val="nil"/>
              <w:right w:val="nil"/>
            </w:tcBorders>
            <w:shd w:val="clear" w:color="auto" w:fill="auto"/>
            <w:noWrap/>
            <w:vAlign w:val="center"/>
            <w:hideMark/>
          </w:tcPr>
          <w:p w14:paraId="600C05C0"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4,1</w:t>
            </w:r>
          </w:p>
        </w:tc>
        <w:tc>
          <w:tcPr>
            <w:tcW w:w="254" w:type="pct"/>
            <w:tcBorders>
              <w:top w:val="nil"/>
              <w:left w:val="nil"/>
              <w:bottom w:val="nil"/>
              <w:right w:val="nil"/>
            </w:tcBorders>
            <w:shd w:val="clear" w:color="auto" w:fill="auto"/>
            <w:noWrap/>
            <w:vAlign w:val="center"/>
            <w:hideMark/>
          </w:tcPr>
          <w:p w14:paraId="4845923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1,4</w:t>
            </w:r>
          </w:p>
        </w:tc>
        <w:tc>
          <w:tcPr>
            <w:tcW w:w="504" w:type="pct"/>
            <w:tcBorders>
              <w:top w:val="nil"/>
              <w:left w:val="nil"/>
              <w:bottom w:val="nil"/>
              <w:right w:val="nil"/>
            </w:tcBorders>
            <w:shd w:val="clear" w:color="auto" w:fill="auto"/>
            <w:noWrap/>
            <w:vAlign w:val="center"/>
            <w:hideMark/>
          </w:tcPr>
          <w:p w14:paraId="3007C876"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5,5</w:t>
            </w:r>
          </w:p>
        </w:tc>
      </w:tr>
      <w:tr w:rsidR="00473C3B" w:rsidRPr="00671E8F" w14:paraId="26B7BB82" w14:textId="77777777" w:rsidTr="00473C3B">
        <w:trPr>
          <w:trHeight w:val="20"/>
          <w:jc w:val="center"/>
        </w:trPr>
        <w:tc>
          <w:tcPr>
            <w:tcW w:w="1087" w:type="pct"/>
            <w:tcBorders>
              <w:top w:val="nil"/>
              <w:left w:val="nil"/>
              <w:bottom w:val="single" w:sz="4" w:space="0" w:color="002060"/>
              <w:right w:val="nil"/>
            </w:tcBorders>
            <w:shd w:val="clear" w:color="auto" w:fill="auto"/>
            <w:noWrap/>
            <w:vAlign w:val="center"/>
            <w:hideMark/>
          </w:tcPr>
          <w:p w14:paraId="28CC1198" w14:textId="77777777" w:rsidR="00473C3B" w:rsidRPr="00671E8F" w:rsidRDefault="00473C3B" w:rsidP="00473C3B">
            <w:pPr>
              <w:spacing w:after="0" w:line="240" w:lineRule="auto"/>
              <w:jc w:val="left"/>
              <w:rPr>
                <w:rFonts w:eastAsia="Times New Roman" w:cstheme="minorHAnsi"/>
                <w:color w:val="002060"/>
                <w:sz w:val="16"/>
                <w:szCs w:val="16"/>
              </w:rPr>
            </w:pPr>
            <w:r w:rsidRPr="00671E8F">
              <w:rPr>
                <w:rFonts w:eastAsia="Times New Roman" w:cstheme="minorHAnsi"/>
                <w:color w:val="002060"/>
                <w:sz w:val="16"/>
                <w:szCs w:val="16"/>
              </w:rPr>
              <w:t>„Србија Карго” ад</w:t>
            </w:r>
          </w:p>
        </w:tc>
        <w:tc>
          <w:tcPr>
            <w:tcW w:w="362" w:type="pct"/>
            <w:tcBorders>
              <w:top w:val="nil"/>
              <w:left w:val="nil"/>
              <w:bottom w:val="single" w:sz="4" w:space="0" w:color="002060"/>
              <w:right w:val="nil"/>
            </w:tcBorders>
            <w:shd w:val="clear" w:color="auto" w:fill="auto"/>
            <w:noWrap/>
            <w:vAlign w:val="center"/>
            <w:hideMark/>
          </w:tcPr>
          <w:p w14:paraId="37CBB7A8"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w:t>
            </w:r>
          </w:p>
        </w:tc>
        <w:tc>
          <w:tcPr>
            <w:tcW w:w="436" w:type="pct"/>
            <w:tcBorders>
              <w:top w:val="nil"/>
              <w:left w:val="nil"/>
              <w:bottom w:val="single" w:sz="4" w:space="0" w:color="002060"/>
              <w:right w:val="nil"/>
            </w:tcBorders>
            <w:shd w:val="clear" w:color="auto" w:fill="auto"/>
            <w:noWrap/>
            <w:vAlign w:val="center"/>
            <w:hideMark/>
          </w:tcPr>
          <w:p w14:paraId="1D516DCB"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1,8</w:t>
            </w:r>
          </w:p>
        </w:tc>
        <w:tc>
          <w:tcPr>
            <w:tcW w:w="580" w:type="pct"/>
            <w:tcBorders>
              <w:top w:val="nil"/>
              <w:left w:val="nil"/>
              <w:bottom w:val="single" w:sz="4" w:space="0" w:color="002060"/>
              <w:right w:val="nil"/>
            </w:tcBorders>
            <w:shd w:val="clear" w:color="auto" w:fill="auto"/>
            <w:noWrap/>
            <w:vAlign w:val="center"/>
            <w:hideMark/>
          </w:tcPr>
          <w:p w14:paraId="57EDBC57"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654" w:type="pct"/>
            <w:tcBorders>
              <w:top w:val="nil"/>
              <w:left w:val="nil"/>
              <w:bottom w:val="single" w:sz="4" w:space="0" w:color="002060"/>
              <w:right w:val="nil"/>
            </w:tcBorders>
            <w:shd w:val="clear" w:color="auto" w:fill="auto"/>
            <w:noWrap/>
            <w:vAlign w:val="center"/>
            <w:hideMark/>
          </w:tcPr>
          <w:p w14:paraId="565F4D44"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433" w:type="pct"/>
            <w:tcBorders>
              <w:top w:val="nil"/>
              <w:left w:val="nil"/>
              <w:bottom w:val="single" w:sz="4" w:space="0" w:color="002060"/>
              <w:right w:val="nil"/>
            </w:tcBorders>
            <w:shd w:val="clear" w:color="auto" w:fill="auto"/>
            <w:noWrap/>
            <w:vAlign w:val="center"/>
            <w:hideMark/>
          </w:tcPr>
          <w:p w14:paraId="2124069E"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437" w:type="pct"/>
            <w:tcBorders>
              <w:top w:val="nil"/>
              <w:left w:val="nil"/>
              <w:bottom w:val="single" w:sz="4" w:space="0" w:color="002060"/>
              <w:right w:val="nil"/>
            </w:tcBorders>
            <w:shd w:val="clear" w:color="auto" w:fill="auto"/>
            <w:noWrap/>
            <w:vAlign w:val="center"/>
            <w:hideMark/>
          </w:tcPr>
          <w:p w14:paraId="7E1E97DD"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254" w:type="pct"/>
            <w:tcBorders>
              <w:top w:val="nil"/>
              <w:left w:val="nil"/>
              <w:bottom w:val="single" w:sz="4" w:space="0" w:color="002060"/>
              <w:right w:val="nil"/>
            </w:tcBorders>
            <w:shd w:val="clear" w:color="auto" w:fill="auto"/>
            <w:noWrap/>
            <w:vAlign w:val="center"/>
            <w:hideMark/>
          </w:tcPr>
          <w:p w14:paraId="76B4E986"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254" w:type="pct"/>
            <w:tcBorders>
              <w:top w:val="nil"/>
              <w:left w:val="nil"/>
              <w:bottom w:val="single" w:sz="4" w:space="0" w:color="002060"/>
              <w:right w:val="nil"/>
            </w:tcBorders>
            <w:shd w:val="clear" w:color="auto" w:fill="auto"/>
            <w:noWrap/>
            <w:vAlign w:val="center"/>
            <w:hideMark/>
          </w:tcPr>
          <w:p w14:paraId="156FBDC8" w14:textId="77777777" w:rsidR="00473C3B" w:rsidRPr="00671E8F" w:rsidRDefault="00473C3B" w:rsidP="00473C3B">
            <w:pPr>
              <w:spacing w:after="0" w:line="240" w:lineRule="auto"/>
              <w:jc w:val="center"/>
              <w:rPr>
                <w:rFonts w:eastAsia="Times New Roman" w:cstheme="minorHAnsi"/>
                <w:color w:val="002060"/>
                <w:sz w:val="16"/>
                <w:szCs w:val="16"/>
              </w:rPr>
            </w:pPr>
          </w:p>
        </w:tc>
        <w:tc>
          <w:tcPr>
            <w:tcW w:w="504" w:type="pct"/>
            <w:tcBorders>
              <w:top w:val="nil"/>
              <w:left w:val="nil"/>
              <w:bottom w:val="single" w:sz="4" w:space="0" w:color="002060"/>
              <w:right w:val="nil"/>
            </w:tcBorders>
            <w:shd w:val="clear" w:color="auto" w:fill="auto"/>
            <w:noWrap/>
            <w:vAlign w:val="center"/>
            <w:hideMark/>
          </w:tcPr>
          <w:p w14:paraId="7AD05E1F" w14:textId="77777777" w:rsidR="00473C3B" w:rsidRPr="00671E8F" w:rsidRDefault="00473C3B" w:rsidP="00473C3B">
            <w:pPr>
              <w:spacing w:after="0" w:line="240" w:lineRule="auto"/>
              <w:jc w:val="center"/>
              <w:rPr>
                <w:rFonts w:eastAsia="Times New Roman" w:cstheme="minorHAnsi"/>
                <w:color w:val="002060"/>
                <w:sz w:val="16"/>
                <w:szCs w:val="16"/>
              </w:rPr>
            </w:pPr>
            <w:r w:rsidRPr="00671E8F">
              <w:rPr>
                <w:rFonts w:eastAsia="Times New Roman" w:cstheme="minorHAnsi"/>
                <w:color w:val="002060"/>
                <w:sz w:val="16"/>
                <w:szCs w:val="16"/>
              </w:rPr>
              <w:t>1,8</w:t>
            </w:r>
          </w:p>
        </w:tc>
      </w:tr>
      <w:tr w:rsidR="00473C3B" w:rsidRPr="00671E8F" w14:paraId="7C2C23BA" w14:textId="77777777" w:rsidTr="00473C3B">
        <w:trPr>
          <w:trHeight w:val="20"/>
          <w:jc w:val="center"/>
        </w:trPr>
        <w:tc>
          <w:tcPr>
            <w:tcW w:w="1087" w:type="pct"/>
            <w:tcBorders>
              <w:top w:val="nil"/>
              <w:left w:val="nil"/>
              <w:bottom w:val="single" w:sz="4" w:space="0" w:color="002060"/>
              <w:right w:val="nil"/>
            </w:tcBorders>
            <w:shd w:val="clear" w:color="auto" w:fill="auto"/>
            <w:noWrap/>
            <w:vAlign w:val="center"/>
            <w:hideMark/>
          </w:tcPr>
          <w:p w14:paraId="71A12199" w14:textId="77777777" w:rsidR="00473C3B" w:rsidRPr="00671E8F" w:rsidRDefault="00473C3B" w:rsidP="00473C3B">
            <w:pPr>
              <w:spacing w:after="0" w:line="240" w:lineRule="auto"/>
              <w:jc w:val="left"/>
              <w:rPr>
                <w:rFonts w:eastAsia="Times New Roman" w:cstheme="minorHAnsi"/>
                <w:b/>
                <w:bCs/>
                <w:color w:val="002060"/>
                <w:sz w:val="16"/>
                <w:szCs w:val="16"/>
              </w:rPr>
            </w:pPr>
            <w:r w:rsidRPr="00671E8F">
              <w:rPr>
                <w:rFonts w:eastAsia="Times New Roman" w:cstheme="minorHAnsi"/>
                <w:b/>
                <w:bCs/>
                <w:color w:val="002060"/>
                <w:sz w:val="16"/>
                <w:szCs w:val="16"/>
              </w:rPr>
              <w:t>Укупно по банкама</w:t>
            </w:r>
          </w:p>
        </w:tc>
        <w:tc>
          <w:tcPr>
            <w:tcW w:w="362" w:type="pct"/>
            <w:tcBorders>
              <w:top w:val="nil"/>
              <w:left w:val="nil"/>
              <w:bottom w:val="single" w:sz="4" w:space="0" w:color="002060"/>
              <w:right w:val="nil"/>
            </w:tcBorders>
            <w:shd w:val="clear" w:color="auto" w:fill="auto"/>
            <w:noWrap/>
            <w:vAlign w:val="center"/>
            <w:hideMark/>
          </w:tcPr>
          <w:p w14:paraId="4D92CD56"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18</w:t>
            </w:r>
          </w:p>
        </w:tc>
        <w:tc>
          <w:tcPr>
            <w:tcW w:w="436" w:type="pct"/>
            <w:tcBorders>
              <w:top w:val="nil"/>
              <w:left w:val="nil"/>
              <w:bottom w:val="single" w:sz="4" w:space="0" w:color="002060"/>
              <w:right w:val="nil"/>
            </w:tcBorders>
            <w:shd w:val="clear" w:color="auto" w:fill="auto"/>
            <w:noWrap/>
            <w:vAlign w:val="center"/>
            <w:hideMark/>
          </w:tcPr>
          <w:p w14:paraId="13DC45AB"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337,4</w:t>
            </w:r>
          </w:p>
        </w:tc>
        <w:tc>
          <w:tcPr>
            <w:tcW w:w="580" w:type="pct"/>
            <w:tcBorders>
              <w:top w:val="nil"/>
              <w:left w:val="nil"/>
              <w:bottom w:val="single" w:sz="4" w:space="0" w:color="002060"/>
              <w:right w:val="nil"/>
            </w:tcBorders>
            <w:shd w:val="clear" w:color="auto" w:fill="auto"/>
            <w:noWrap/>
            <w:vAlign w:val="center"/>
            <w:hideMark/>
          </w:tcPr>
          <w:p w14:paraId="04697A68"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21,2</w:t>
            </w:r>
          </w:p>
        </w:tc>
        <w:tc>
          <w:tcPr>
            <w:tcW w:w="654" w:type="pct"/>
            <w:tcBorders>
              <w:top w:val="nil"/>
              <w:left w:val="nil"/>
              <w:bottom w:val="single" w:sz="4" w:space="0" w:color="002060"/>
              <w:right w:val="nil"/>
            </w:tcBorders>
            <w:shd w:val="clear" w:color="auto" w:fill="auto"/>
            <w:noWrap/>
            <w:vAlign w:val="center"/>
            <w:hideMark/>
          </w:tcPr>
          <w:p w14:paraId="5D898D9E"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15,9</w:t>
            </w:r>
          </w:p>
        </w:tc>
        <w:tc>
          <w:tcPr>
            <w:tcW w:w="433" w:type="pct"/>
            <w:tcBorders>
              <w:top w:val="nil"/>
              <w:left w:val="nil"/>
              <w:bottom w:val="single" w:sz="4" w:space="0" w:color="002060"/>
              <w:right w:val="nil"/>
            </w:tcBorders>
            <w:shd w:val="clear" w:color="auto" w:fill="auto"/>
            <w:noWrap/>
            <w:vAlign w:val="center"/>
            <w:hideMark/>
          </w:tcPr>
          <w:p w14:paraId="010ADC31"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10,9</w:t>
            </w:r>
          </w:p>
        </w:tc>
        <w:tc>
          <w:tcPr>
            <w:tcW w:w="437" w:type="pct"/>
            <w:tcBorders>
              <w:top w:val="nil"/>
              <w:left w:val="nil"/>
              <w:bottom w:val="single" w:sz="4" w:space="0" w:color="002060"/>
              <w:right w:val="nil"/>
            </w:tcBorders>
            <w:shd w:val="clear" w:color="auto" w:fill="auto"/>
            <w:noWrap/>
            <w:vAlign w:val="center"/>
            <w:hideMark/>
          </w:tcPr>
          <w:p w14:paraId="18ADE599"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10,6</w:t>
            </w:r>
          </w:p>
        </w:tc>
        <w:tc>
          <w:tcPr>
            <w:tcW w:w="254" w:type="pct"/>
            <w:tcBorders>
              <w:top w:val="nil"/>
              <w:left w:val="nil"/>
              <w:bottom w:val="single" w:sz="4" w:space="0" w:color="002060"/>
              <w:right w:val="nil"/>
            </w:tcBorders>
            <w:shd w:val="clear" w:color="auto" w:fill="auto"/>
            <w:noWrap/>
            <w:vAlign w:val="center"/>
            <w:hideMark/>
          </w:tcPr>
          <w:p w14:paraId="624DCEFC"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7,6</w:t>
            </w:r>
          </w:p>
        </w:tc>
        <w:tc>
          <w:tcPr>
            <w:tcW w:w="254" w:type="pct"/>
            <w:tcBorders>
              <w:top w:val="nil"/>
              <w:left w:val="nil"/>
              <w:bottom w:val="single" w:sz="4" w:space="0" w:color="002060"/>
              <w:right w:val="nil"/>
            </w:tcBorders>
            <w:shd w:val="clear" w:color="auto" w:fill="auto"/>
            <w:noWrap/>
            <w:vAlign w:val="center"/>
            <w:hideMark/>
          </w:tcPr>
          <w:p w14:paraId="5E0A8BEC"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1,4</w:t>
            </w:r>
          </w:p>
        </w:tc>
        <w:tc>
          <w:tcPr>
            <w:tcW w:w="504" w:type="pct"/>
            <w:tcBorders>
              <w:top w:val="nil"/>
              <w:left w:val="nil"/>
              <w:bottom w:val="single" w:sz="4" w:space="0" w:color="002060"/>
              <w:right w:val="nil"/>
            </w:tcBorders>
            <w:shd w:val="clear" w:color="auto" w:fill="auto"/>
            <w:noWrap/>
            <w:vAlign w:val="center"/>
            <w:hideMark/>
          </w:tcPr>
          <w:p w14:paraId="55A6D452" w14:textId="77777777" w:rsidR="00473C3B" w:rsidRPr="00671E8F" w:rsidRDefault="00473C3B" w:rsidP="00473C3B">
            <w:pPr>
              <w:spacing w:after="0" w:line="240" w:lineRule="auto"/>
              <w:jc w:val="center"/>
              <w:rPr>
                <w:rFonts w:eastAsia="Times New Roman" w:cstheme="minorHAnsi"/>
                <w:b/>
                <w:bCs/>
                <w:color w:val="002060"/>
                <w:sz w:val="16"/>
                <w:szCs w:val="16"/>
              </w:rPr>
            </w:pPr>
            <w:r w:rsidRPr="00671E8F">
              <w:rPr>
                <w:rFonts w:eastAsia="Times New Roman" w:cstheme="minorHAnsi"/>
                <w:b/>
                <w:bCs/>
                <w:color w:val="002060"/>
                <w:sz w:val="16"/>
                <w:szCs w:val="16"/>
              </w:rPr>
              <w:t>405</w:t>
            </w:r>
          </w:p>
        </w:tc>
      </w:tr>
    </w:tbl>
    <w:p w14:paraId="4463A3E3" w14:textId="77777777" w:rsidR="00473C3B" w:rsidRPr="00671E8F" w:rsidRDefault="00473C3B" w:rsidP="00473C3B">
      <w:pPr>
        <w:spacing w:after="0" w:line="276" w:lineRule="auto"/>
        <w:rPr>
          <w:rFonts w:eastAsia="MS PGothic" w:cstheme="minorHAnsi"/>
          <w:sz w:val="16"/>
          <w:szCs w:val="18"/>
          <w:lang w:eastAsia="ja-JP"/>
        </w:rPr>
      </w:pPr>
      <w:r w:rsidRPr="00671E8F">
        <w:rPr>
          <w:rFonts w:eastAsia="MS PGothic" w:cstheme="minorHAnsi"/>
          <w:sz w:val="16"/>
          <w:szCs w:val="18"/>
          <w:lang w:eastAsia="ja-JP"/>
        </w:rPr>
        <w:t>Извор: Закон о буџету Републике Србије за 2024. годину</w:t>
      </w:r>
    </w:p>
    <w:p w14:paraId="3D93051F" w14:textId="77777777" w:rsidR="00473C3B" w:rsidRPr="00671E8F" w:rsidRDefault="00473C3B" w:rsidP="00473C3B">
      <w:pPr>
        <w:spacing w:after="0" w:line="276" w:lineRule="auto"/>
        <w:rPr>
          <w:highlight w:val="yellow"/>
          <w:lang w:eastAsia="ja-JP"/>
        </w:rPr>
      </w:pPr>
    </w:p>
    <w:p w14:paraId="4C383EF1" w14:textId="77777777" w:rsidR="00473C3B" w:rsidRPr="00671E8F" w:rsidRDefault="00473C3B" w:rsidP="00473C3B">
      <w:pPr>
        <w:spacing w:afterLines="80" w:after="192"/>
        <w:rPr>
          <w:lang w:eastAsia="ja-JP"/>
        </w:rPr>
        <w:sectPr w:rsidR="00473C3B" w:rsidRPr="00671E8F" w:rsidSect="00F45C01">
          <w:type w:val="continuous"/>
          <w:pgSz w:w="12240" w:h="15840"/>
          <w:pgMar w:top="1440" w:right="1440" w:bottom="1440" w:left="1440" w:header="720" w:footer="720" w:gutter="0"/>
          <w:cols w:space="720"/>
          <w:docGrid w:linePitch="360"/>
        </w:sectPr>
      </w:pPr>
    </w:p>
    <w:p w14:paraId="24D384BC"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Од укупно планираних гаранција за 2024. годину, Законом је предвиђено да се „Електропривреди Србије” ад обезбедe гаранције у износу до 324,4 млрд динара (80% укупно планираних гаранција) за подршку 9 инвестиционих пројеката од којих су најзначајнији Изградња само-балансираних соларних електрана капацитета 1 GW са батеријским системима за складиштење електричне енергије (224,2 млрд динара) ХЕС Горња Дрина – ХЕ Бук Бјела (29,5 млрд динара), Ревитализација хидроелектране Ђердап 2 (25,1 – млрд динара), изградња соларне електране Кленовник (15,9 млрд динара) и други.</w:t>
      </w:r>
    </w:p>
    <w:p w14:paraId="6197EA53"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„Електродистрибуција Србије” доо у 2024. години планира значајна инвестициона улагања, тако је Законом предвиђено издавање гаранција до износа од 32,7 млрд динара (8,1% укупно планираних гаранција) за пројекте Унапређење дистрибутивне мреже 11,8 млрд динара, Пројекат аутоматизације средњенапонске дистрибутивне мреже 11,5 млрд динара и Пројекат паметна бројила 9,4 млрд динара.</w:t>
      </w:r>
    </w:p>
    <w:p w14:paraId="1C055DAD"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ЈП „Србијагас” у 2024. години планира да настави са инвестиционим улагањима у дистрибутивну мрежу, тако да је планирано издавање гаранције за капиталне инвестиције за развој дистрибутивне мреже, укључујући мерне станице као и рехабилитацију гасоводног система и јачање транспортних капацитета гасовода у Републици Србији у укупном износу 27,1 млрд динара (6,7% укупно планираних гаранција).</w:t>
      </w:r>
    </w:p>
    <w:p w14:paraId="14E7826D"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 xml:space="preserve">Структурне реформе државних предузећа, њихово оспособљавање за тржишну утакмицу и финансијску одрживост, с једне стране, и </w:t>
      </w:r>
      <w:r w:rsidRPr="00671E8F">
        <w:rPr>
          <w:rFonts w:eastAsia="MS PGothic" w:cstheme="minorHAnsi"/>
          <w:szCs w:val="20"/>
          <w:lang w:eastAsia="ja-JP"/>
        </w:rPr>
        <w:t>ограничено и циљано издавање нових гаранција, с друге стране, допринеће умањењу фискалних ризика по овом основу и одржавању расхода у планираним, тј. пројектованим оквирима у наредном средњорочном периоду.</w:t>
      </w:r>
    </w:p>
    <w:bookmarkEnd w:id="67"/>
    <w:p w14:paraId="10835B81"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Државна предузећа (ДП)</w:t>
      </w:r>
    </w:p>
    <w:p w14:paraId="1A5A176B" w14:textId="77777777" w:rsidR="00473C3B" w:rsidRPr="00671E8F" w:rsidRDefault="00473C3B" w:rsidP="00473C3B">
      <w:pPr>
        <w:spacing w:afterLines="80" w:after="192"/>
        <w:rPr>
          <w:rFonts w:eastAsia="MS PGothic" w:cstheme="minorHAnsi"/>
          <w:szCs w:val="20"/>
          <w:lang w:eastAsia="ja-JP"/>
        </w:rPr>
      </w:pPr>
      <w:r w:rsidRPr="00671E8F">
        <w:rPr>
          <w:rFonts w:eastAsia="MS PGothic" w:cstheme="minorHAnsi"/>
          <w:szCs w:val="20"/>
          <w:lang w:eastAsia="ja-JP"/>
        </w:rPr>
        <w:t>Пословање државних предузећа представља значајан извор фискалних ризика, како на страни буџетских прихода, тако и на страни расхода. Државна предузећа се у пословању суочавају са бројним проблемима, од наплате потраживања, до редовног измиривања обавеза према повериоцима, држави и запосленима и сл. Држава као оснивач и њихов једини власник је одговорна за пословање и њихов је најважнији ослонац у случају неликвидности. Постоји неколико канала кроз које се могу материјализовати фискални ризици везани за пословање државних предузећа. Највећи, али не и једини ризик, су државне гаранције дате за кредите државних предузећа. Одрживост, ефикасност и профитабилност државних предузећа утичу на приходе буџета, односно на износ добити коју уплаћују у буџет. Квалитет производа и услуга које обезбеђују државна предузећа утичу на ефикасност и профитабилност приватног сектора и у крајњој инстанци на ниво пореза који уплаћују у буџет.</w:t>
      </w:r>
    </w:p>
    <w:p w14:paraId="0D411627" w14:textId="4AD0212F" w:rsidR="00473C3B" w:rsidRPr="00671E8F" w:rsidRDefault="00473C3B" w:rsidP="00473C3B">
      <w:pPr>
        <w:spacing w:after="360"/>
        <w:rPr>
          <w:rFonts w:eastAsia="MS PGothic" w:cstheme="minorHAnsi"/>
          <w:szCs w:val="20"/>
          <w:lang w:eastAsia="ja-JP"/>
        </w:rPr>
      </w:pPr>
      <w:r w:rsidRPr="00671E8F">
        <w:rPr>
          <w:rFonts w:eastAsia="MS PGothic" w:cstheme="minorHAnsi"/>
          <w:szCs w:val="20"/>
          <w:lang w:eastAsia="ja-JP"/>
        </w:rPr>
        <w:t xml:space="preserve">Сектор за праћење фискалних ризика прати рад 36 стратешких предузећа која су у већинском власништву РС и која представљају значајан сегмент српске привреде. Ова предузећа су на крају другог квартала 2024. године запошљавала око 66 хиљада људи. Њихов рад уређен је Законом о јавним предузећима, који је усвојен у фебруару </w:t>
      </w:r>
      <w:r w:rsidRPr="00671E8F">
        <w:rPr>
          <w:rFonts w:eastAsia="MS PGothic" w:cstheme="minorHAnsi"/>
          <w:szCs w:val="20"/>
          <w:lang w:eastAsia="ja-JP"/>
        </w:rPr>
        <w:lastRenderedPageBreak/>
        <w:t xml:space="preserve">2016. године, Законом о управљању привредним друштвима која су у власништву Републике Србије, а који је усвојен у септембру </w:t>
      </w:r>
      <w:r w:rsidRPr="00671E8F">
        <w:rPr>
          <w:rFonts w:eastAsia="MS PGothic" w:cstheme="minorHAnsi"/>
          <w:spacing w:val="-4"/>
          <w:szCs w:val="20"/>
          <w:lang w:eastAsia="ja-JP"/>
        </w:rPr>
        <w:t xml:space="preserve">2023. године, као и подсекторским законима који дефинишу </w:t>
      </w:r>
      <w:r w:rsidRPr="00671E8F">
        <w:rPr>
          <w:rFonts w:eastAsia="MS PGothic" w:cstheme="minorHAnsi"/>
          <w:spacing w:val="-4"/>
          <w:szCs w:val="20"/>
          <w:lang w:eastAsia="ja-JP"/>
        </w:rPr>
        <w:t>специфична подручја која нису обухваћена Законом о јавним предузећима (Закон о енергетици, Закон о привредним друштвима и др).</w:t>
      </w:r>
    </w:p>
    <w:p w14:paraId="14FB8513" w14:textId="77777777" w:rsidR="00473C3B" w:rsidRPr="00671E8F" w:rsidRDefault="00473C3B" w:rsidP="00473C3B">
      <w:pPr>
        <w:spacing w:after="0" w:line="276" w:lineRule="auto"/>
        <w:jc w:val="center"/>
        <w:rPr>
          <w:rFonts w:eastAsia="MS PGothic" w:cstheme="minorHAnsi"/>
          <w:b/>
          <w:bCs/>
          <w:color w:val="002060"/>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102CF881" w14:textId="18AC3D08"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1</w:t>
      </w:r>
      <w:r w:rsidR="00FC5CD7" w:rsidRPr="00671E8F">
        <w:rPr>
          <w:rFonts w:eastAsia="MS PGothic" w:cstheme="minorHAnsi"/>
          <w:b/>
          <w:color w:val="002060"/>
          <w:szCs w:val="20"/>
          <w:lang w:eastAsia="ja-JP"/>
        </w:rPr>
        <w:t>5</w:t>
      </w:r>
      <w:r w:rsidRPr="00671E8F">
        <w:rPr>
          <w:rFonts w:eastAsia="MS PGothic" w:cstheme="minorHAnsi"/>
          <w:b/>
          <w:color w:val="002060"/>
          <w:szCs w:val="20"/>
          <w:lang w:eastAsia="ja-JP"/>
        </w:rPr>
        <w:t>. Преглед највећих предузећа по основу остварених укупних прихода на крају 2023. године, млрд динара</w:t>
      </w:r>
    </w:p>
    <w:tbl>
      <w:tblPr>
        <w:tblW w:w="5000" w:type="pct"/>
        <w:tblLook w:val="04A0" w:firstRow="1" w:lastRow="0" w:firstColumn="1" w:lastColumn="0" w:noHBand="0" w:noVBand="1"/>
      </w:tblPr>
      <w:tblGrid>
        <w:gridCol w:w="3286"/>
        <w:gridCol w:w="2411"/>
        <w:gridCol w:w="1117"/>
        <w:gridCol w:w="794"/>
        <w:gridCol w:w="862"/>
        <w:gridCol w:w="890"/>
      </w:tblGrid>
      <w:tr w:rsidR="00473C3B" w:rsidRPr="00671E8F" w14:paraId="6399CB86" w14:textId="77777777" w:rsidTr="00473C3B">
        <w:trPr>
          <w:trHeight w:val="20"/>
        </w:trPr>
        <w:tc>
          <w:tcPr>
            <w:tcW w:w="1741" w:type="pct"/>
            <w:tcBorders>
              <w:top w:val="single" w:sz="4" w:space="0" w:color="002060"/>
              <w:left w:val="nil"/>
              <w:bottom w:val="single" w:sz="4" w:space="0" w:color="002060"/>
              <w:right w:val="nil"/>
            </w:tcBorders>
            <w:shd w:val="clear" w:color="auto" w:fill="auto"/>
            <w:noWrap/>
            <w:vAlign w:val="center"/>
            <w:hideMark/>
          </w:tcPr>
          <w:p w14:paraId="28463519"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Јавна предузећа</w:t>
            </w:r>
          </w:p>
        </w:tc>
        <w:tc>
          <w:tcPr>
            <w:tcW w:w="1329" w:type="pct"/>
            <w:tcBorders>
              <w:top w:val="single" w:sz="4" w:space="0" w:color="002060"/>
              <w:left w:val="nil"/>
              <w:bottom w:val="single" w:sz="4" w:space="0" w:color="002060"/>
              <w:right w:val="nil"/>
            </w:tcBorders>
            <w:shd w:val="clear" w:color="auto" w:fill="auto"/>
            <w:noWrap/>
            <w:vAlign w:val="center"/>
            <w:hideMark/>
          </w:tcPr>
          <w:p w14:paraId="286FB775"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Сектор</w:t>
            </w:r>
          </w:p>
        </w:tc>
        <w:tc>
          <w:tcPr>
            <w:tcW w:w="543" w:type="pct"/>
            <w:tcBorders>
              <w:top w:val="single" w:sz="4" w:space="0" w:color="002060"/>
              <w:left w:val="nil"/>
              <w:bottom w:val="single" w:sz="4" w:space="0" w:color="002060"/>
              <w:right w:val="nil"/>
            </w:tcBorders>
            <w:shd w:val="clear" w:color="auto" w:fill="auto"/>
            <w:vAlign w:val="center"/>
            <w:hideMark/>
          </w:tcPr>
          <w:p w14:paraId="60DDBFE5"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Број запослених</w:t>
            </w:r>
          </w:p>
        </w:tc>
        <w:tc>
          <w:tcPr>
            <w:tcW w:w="462" w:type="pct"/>
            <w:tcBorders>
              <w:top w:val="single" w:sz="4" w:space="0" w:color="002060"/>
              <w:left w:val="nil"/>
              <w:bottom w:val="single" w:sz="4" w:space="0" w:color="002060"/>
              <w:right w:val="nil"/>
            </w:tcBorders>
            <w:shd w:val="clear" w:color="auto" w:fill="auto"/>
            <w:vAlign w:val="center"/>
            <w:hideMark/>
          </w:tcPr>
          <w:p w14:paraId="36179D77"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Укупан приход</w:t>
            </w:r>
          </w:p>
        </w:tc>
        <w:tc>
          <w:tcPr>
            <w:tcW w:w="462" w:type="pct"/>
            <w:tcBorders>
              <w:top w:val="single" w:sz="4" w:space="0" w:color="002060"/>
              <w:left w:val="nil"/>
              <w:bottom w:val="single" w:sz="4" w:space="0" w:color="002060"/>
              <w:right w:val="nil"/>
            </w:tcBorders>
            <w:shd w:val="clear" w:color="auto" w:fill="auto"/>
            <w:vAlign w:val="center"/>
            <w:hideMark/>
          </w:tcPr>
          <w:p w14:paraId="4300BFF0"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Укупни расходи</w:t>
            </w:r>
          </w:p>
        </w:tc>
        <w:tc>
          <w:tcPr>
            <w:tcW w:w="462" w:type="pct"/>
            <w:tcBorders>
              <w:top w:val="single" w:sz="4" w:space="0" w:color="002060"/>
              <w:left w:val="nil"/>
              <w:bottom w:val="single" w:sz="4" w:space="0" w:color="002060"/>
              <w:right w:val="nil"/>
            </w:tcBorders>
            <w:shd w:val="clear" w:color="auto" w:fill="auto"/>
            <w:vAlign w:val="center"/>
            <w:hideMark/>
          </w:tcPr>
          <w:p w14:paraId="0ED02EA3"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Нето резултат</w:t>
            </w:r>
          </w:p>
        </w:tc>
      </w:tr>
      <w:tr w:rsidR="00473C3B" w:rsidRPr="00671E8F" w14:paraId="002FC363" w14:textId="77777777" w:rsidTr="00473C3B">
        <w:trPr>
          <w:trHeight w:val="20"/>
        </w:trPr>
        <w:tc>
          <w:tcPr>
            <w:tcW w:w="1741" w:type="pct"/>
            <w:tcBorders>
              <w:top w:val="nil"/>
              <w:left w:val="nil"/>
              <w:bottom w:val="nil"/>
              <w:right w:val="nil"/>
            </w:tcBorders>
            <w:shd w:val="clear" w:color="auto" w:fill="auto"/>
            <w:noWrap/>
            <w:hideMark/>
          </w:tcPr>
          <w:p w14:paraId="1E21C93F"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„Електропривреда Србије” ад</w:t>
            </w:r>
          </w:p>
        </w:tc>
        <w:tc>
          <w:tcPr>
            <w:tcW w:w="1329" w:type="pct"/>
            <w:tcBorders>
              <w:top w:val="nil"/>
              <w:left w:val="nil"/>
              <w:bottom w:val="nil"/>
              <w:right w:val="nil"/>
            </w:tcBorders>
            <w:shd w:val="clear" w:color="auto" w:fill="auto"/>
            <w:hideMark/>
          </w:tcPr>
          <w:p w14:paraId="11322924"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Енергетика</w:t>
            </w:r>
          </w:p>
        </w:tc>
        <w:tc>
          <w:tcPr>
            <w:tcW w:w="543" w:type="pct"/>
            <w:tcBorders>
              <w:top w:val="nil"/>
              <w:left w:val="nil"/>
              <w:bottom w:val="nil"/>
              <w:right w:val="nil"/>
            </w:tcBorders>
            <w:shd w:val="clear" w:color="auto" w:fill="auto"/>
            <w:noWrap/>
            <w:hideMark/>
          </w:tcPr>
          <w:p w14:paraId="4C6106D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19.595</w:t>
            </w:r>
          </w:p>
        </w:tc>
        <w:tc>
          <w:tcPr>
            <w:tcW w:w="462" w:type="pct"/>
            <w:tcBorders>
              <w:top w:val="nil"/>
              <w:left w:val="nil"/>
              <w:bottom w:val="nil"/>
              <w:right w:val="nil"/>
            </w:tcBorders>
            <w:shd w:val="clear" w:color="auto" w:fill="auto"/>
            <w:noWrap/>
            <w:hideMark/>
          </w:tcPr>
          <w:p w14:paraId="4150723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513,5</w:t>
            </w:r>
          </w:p>
        </w:tc>
        <w:tc>
          <w:tcPr>
            <w:tcW w:w="462" w:type="pct"/>
            <w:tcBorders>
              <w:top w:val="nil"/>
              <w:left w:val="nil"/>
              <w:bottom w:val="nil"/>
              <w:right w:val="nil"/>
            </w:tcBorders>
            <w:shd w:val="clear" w:color="auto" w:fill="auto"/>
            <w:noWrap/>
            <w:hideMark/>
          </w:tcPr>
          <w:p w14:paraId="463AC1C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385,8</w:t>
            </w:r>
          </w:p>
        </w:tc>
        <w:tc>
          <w:tcPr>
            <w:tcW w:w="462" w:type="pct"/>
            <w:tcBorders>
              <w:top w:val="nil"/>
              <w:left w:val="nil"/>
              <w:bottom w:val="nil"/>
              <w:right w:val="nil"/>
            </w:tcBorders>
            <w:shd w:val="clear" w:color="auto" w:fill="auto"/>
            <w:noWrap/>
            <w:hideMark/>
          </w:tcPr>
          <w:p w14:paraId="5729F88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112,4</w:t>
            </w:r>
          </w:p>
        </w:tc>
      </w:tr>
      <w:tr w:rsidR="00473C3B" w:rsidRPr="00671E8F" w14:paraId="6F7156D2" w14:textId="77777777" w:rsidTr="00473C3B">
        <w:trPr>
          <w:trHeight w:val="20"/>
        </w:trPr>
        <w:tc>
          <w:tcPr>
            <w:tcW w:w="1741" w:type="pct"/>
            <w:tcBorders>
              <w:top w:val="nil"/>
              <w:left w:val="nil"/>
              <w:bottom w:val="nil"/>
              <w:right w:val="nil"/>
            </w:tcBorders>
            <w:shd w:val="clear" w:color="auto" w:fill="auto"/>
            <w:noWrap/>
            <w:hideMark/>
          </w:tcPr>
          <w:p w14:paraId="436761DD"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„Србијагас”</w:t>
            </w:r>
          </w:p>
        </w:tc>
        <w:tc>
          <w:tcPr>
            <w:tcW w:w="1329" w:type="pct"/>
            <w:tcBorders>
              <w:top w:val="nil"/>
              <w:left w:val="nil"/>
              <w:bottom w:val="nil"/>
              <w:right w:val="nil"/>
            </w:tcBorders>
            <w:shd w:val="clear" w:color="auto" w:fill="auto"/>
            <w:hideMark/>
          </w:tcPr>
          <w:p w14:paraId="70223E44"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Енергетика</w:t>
            </w:r>
          </w:p>
        </w:tc>
        <w:tc>
          <w:tcPr>
            <w:tcW w:w="543" w:type="pct"/>
            <w:tcBorders>
              <w:top w:val="nil"/>
              <w:left w:val="nil"/>
              <w:bottom w:val="nil"/>
              <w:right w:val="nil"/>
            </w:tcBorders>
            <w:shd w:val="clear" w:color="auto" w:fill="auto"/>
            <w:noWrap/>
            <w:hideMark/>
          </w:tcPr>
          <w:p w14:paraId="6CBB9CE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910</w:t>
            </w:r>
          </w:p>
        </w:tc>
        <w:tc>
          <w:tcPr>
            <w:tcW w:w="462" w:type="pct"/>
            <w:tcBorders>
              <w:top w:val="nil"/>
              <w:left w:val="nil"/>
              <w:bottom w:val="nil"/>
              <w:right w:val="nil"/>
            </w:tcBorders>
            <w:shd w:val="clear" w:color="auto" w:fill="auto"/>
            <w:noWrap/>
            <w:hideMark/>
          </w:tcPr>
          <w:p w14:paraId="747F40D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181,9</w:t>
            </w:r>
          </w:p>
        </w:tc>
        <w:tc>
          <w:tcPr>
            <w:tcW w:w="462" w:type="pct"/>
            <w:tcBorders>
              <w:top w:val="nil"/>
              <w:left w:val="nil"/>
              <w:bottom w:val="nil"/>
              <w:right w:val="nil"/>
            </w:tcBorders>
            <w:shd w:val="clear" w:color="auto" w:fill="auto"/>
            <w:noWrap/>
            <w:hideMark/>
          </w:tcPr>
          <w:p w14:paraId="50E6E90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168,3</w:t>
            </w:r>
          </w:p>
        </w:tc>
        <w:tc>
          <w:tcPr>
            <w:tcW w:w="462" w:type="pct"/>
            <w:tcBorders>
              <w:top w:val="nil"/>
              <w:left w:val="nil"/>
              <w:bottom w:val="nil"/>
              <w:right w:val="nil"/>
            </w:tcBorders>
            <w:shd w:val="clear" w:color="auto" w:fill="auto"/>
            <w:noWrap/>
            <w:hideMark/>
          </w:tcPr>
          <w:p w14:paraId="458737B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12,0</w:t>
            </w:r>
          </w:p>
        </w:tc>
      </w:tr>
      <w:tr w:rsidR="00473C3B" w:rsidRPr="00671E8F" w14:paraId="2B5BF6F9" w14:textId="77777777" w:rsidTr="00473C3B">
        <w:trPr>
          <w:trHeight w:val="20"/>
        </w:trPr>
        <w:tc>
          <w:tcPr>
            <w:tcW w:w="1741" w:type="pct"/>
            <w:tcBorders>
              <w:top w:val="nil"/>
              <w:left w:val="nil"/>
              <w:bottom w:val="nil"/>
              <w:right w:val="nil"/>
            </w:tcBorders>
            <w:shd w:val="clear" w:color="auto" w:fill="auto"/>
            <w:noWrap/>
            <w:hideMark/>
          </w:tcPr>
          <w:p w14:paraId="6A1CB358"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„Електродистрибуција Србије” доо</w:t>
            </w:r>
          </w:p>
        </w:tc>
        <w:tc>
          <w:tcPr>
            <w:tcW w:w="1329" w:type="pct"/>
            <w:tcBorders>
              <w:top w:val="nil"/>
              <w:left w:val="nil"/>
              <w:bottom w:val="nil"/>
              <w:right w:val="nil"/>
            </w:tcBorders>
            <w:shd w:val="clear" w:color="auto" w:fill="auto"/>
            <w:hideMark/>
          </w:tcPr>
          <w:p w14:paraId="6A1916F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Енергетика</w:t>
            </w:r>
          </w:p>
        </w:tc>
        <w:tc>
          <w:tcPr>
            <w:tcW w:w="543" w:type="pct"/>
            <w:tcBorders>
              <w:top w:val="nil"/>
              <w:left w:val="nil"/>
              <w:bottom w:val="nil"/>
              <w:right w:val="nil"/>
            </w:tcBorders>
            <w:shd w:val="clear" w:color="auto" w:fill="auto"/>
            <w:noWrap/>
            <w:hideMark/>
          </w:tcPr>
          <w:p w14:paraId="5F925C4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8.686</w:t>
            </w:r>
          </w:p>
        </w:tc>
        <w:tc>
          <w:tcPr>
            <w:tcW w:w="462" w:type="pct"/>
            <w:tcBorders>
              <w:top w:val="nil"/>
              <w:left w:val="nil"/>
              <w:bottom w:val="nil"/>
              <w:right w:val="nil"/>
            </w:tcBorders>
            <w:shd w:val="clear" w:color="auto" w:fill="auto"/>
            <w:noWrap/>
            <w:hideMark/>
          </w:tcPr>
          <w:p w14:paraId="0CEA7D7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116,9</w:t>
            </w:r>
          </w:p>
        </w:tc>
        <w:tc>
          <w:tcPr>
            <w:tcW w:w="462" w:type="pct"/>
            <w:tcBorders>
              <w:top w:val="nil"/>
              <w:left w:val="nil"/>
              <w:bottom w:val="nil"/>
              <w:right w:val="nil"/>
            </w:tcBorders>
            <w:shd w:val="clear" w:color="auto" w:fill="auto"/>
            <w:noWrap/>
            <w:hideMark/>
          </w:tcPr>
          <w:p w14:paraId="1ADAF84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117,9</w:t>
            </w:r>
          </w:p>
        </w:tc>
        <w:tc>
          <w:tcPr>
            <w:tcW w:w="462" w:type="pct"/>
            <w:tcBorders>
              <w:top w:val="nil"/>
              <w:left w:val="nil"/>
              <w:bottom w:val="nil"/>
              <w:right w:val="nil"/>
            </w:tcBorders>
            <w:shd w:val="clear" w:color="auto" w:fill="auto"/>
            <w:noWrap/>
            <w:hideMark/>
          </w:tcPr>
          <w:p w14:paraId="5D734CF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w:t>
            </w:r>
          </w:p>
        </w:tc>
      </w:tr>
      <w:tr w:rsidR="00473C3B" w:rsidRPr="00671E8F" w14:paraId="01D405AB" w14:textId="77777777" w:rsidTr="00473C3B">
        <w:trPr>
          <w:trHeight w:val="20"/>
        </w:trPr>
        <w:tc>
          <w:tcPr>
            <w:tcW w:w="1741" w:type="pct"/>
            <w:tcBorders>
              <w:top w:val="nil"/>
              <w:left w:val="nil"/>
              <w:bottom w:val="nil"/>
              <w:right w:val="nil"/>
            </w:tcBorders>
            <w:shd w:val="clear" w:color="auto" w:fill="auto"/>
            <w:noWrap/>
            <w:hideMark/>
          </w:tcPr>
          <w:p w14:paraId="021E692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„Путеви Србије”</w:t>
            </w:r>
          </w:p>
        </w:tc>
        <w:tc>
          <w:tcPr>
            <w:tcW w:w="1329" w:type="pct"/>
            <w:tcBorders>
              <w:top w:val="nil"/>
              <w:left w:val="nil"/>
              <w:bottom w:val="nil"/>
              <w:right w:val="nil"/>
            </w:tcBorders>
            <w:shd w:val="clear" w:color="auto" w:fill="auto"/>
            <w:hideMark/>
          </w:tcPr>
          <w:p w14:paraId="63B3D314"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Грађевинарство</w:t>
            </w:r>
          </w:p>
        </w:tc>
        <w:tc>
          <w:tcPr>
            <w:tcW w:w="543" w:type="pct"/>
            <w:tcBorders>
              <w:top w:val="nil"/>
              <w:left w:val="nil"/>
              <w:bottom w:val="nil"/>
              <w:right w:val="nil"/>
            </w:tcBorders>
            <w:shd w:val="clear" w:color="auto" w:fill="auto"/>
            <w:noWrap/>
            <w:hideMark/>
          </w:tcPr>
          <w:p w14:paraId="04B59A0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2.190</w:t>
            </w:r>
          </w:p>
        </w:tc>
        <w:tc>
          <w:tcPr>
            <w:tcW w:w="462" w:type="pct"/>
            <w:tcBorders>
              <w:top w:val="nil"/>
              <w:left w:val="nil"/>
              <w:bottom w:val="nil"/>
              <w:right w:val="nil"/>
            </w:tcBorders>
            <w:shd w:val="clear" w:color="auto" w:fill="auto"/>
            <w:noWrap/>
            <w:hideMark/>
          </w:tcPr>
          <w:p w14:paraId="45E307B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64,2</w:t>
            </w:r>
          </w:p>
        </w:tc>
        <w:tc>
          <w:tcPr>
            <w:tcW w:w="462" w:type="pct"/>
            <w:tcBorders>
              <w:top w:val="nil"/>
              <w:left w:val="nil"/>
              <w:bottom w:val="nil"/>
              <w:right w:val="nil"/>
            </w:tcBorders>
            <w:shd w:val="clear" w:color="auto" w:fill="auto"/>
            <w:noWrap/>
            <w:hideMark/>
          </w:tcPr>
          <w:p w14:paraId="31ACA78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71,0</w:t>
            </w:r>
          </w:p>
        </w:tc>
        <w:tc>
          <w:tcPr>
            <w:tcW w:w="462" w:type="pct"/>
            <w:tcBorders>
              <w:top w:val="nil"/>
              <w:left w:val="nil"/>
              <w:bottom w:val="nil"/>
              <w:right w:val="nil"/>
            </w:tcBorders>
            <w:shd w:val="clear" w:color="auto" w:fill="auto"/>
            <w:noWrap/>
            <w:hideMark/>
          </w:tcPr>
          <w:p w14:paraId="47A436B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-6,8</w:t>
            </w:r>
          </w:p>
        </w:tc>
      </w:tr>
      <w:tr w:rsidR="00473C3B" w:rsidRPr="00671E8F" w14:paraId="1BE91333" w14:textId="77777777" w:rsidTr="00473C3B">
        <w:trPr>
          <w:trHeight w:val="20"/>
        </w:trPr>
        <w:tc>
          <w:tcPr>
            <w:tcW w:w="1741" w:type="pct"/>
            <w:tcBorders>
              <w:top w:val="nil"/>
              <w:left w:val="nil"/>
              <w:bottom w:val="nil"/>
              <w:right w:val="nil"/>
            </w:tcBorders>
            <w:shd w:val="clear" w:color="auto" w:fill="auto"/>
            <w:noWrap/>
            <w:hideMark/>
          </w:tcPr>
          <w:p w14:paraId="3DEA15E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„Електромрежа Србије” ад</w:t>
            </w:r>
          </w:p>
        </w:tc>
        <w:tc>
          <w:tcPr>
            <w:tcW w:w="1329" w:type="pct"/>
            <w:tcBorders>
              <w:top w:val="nil"/>
              <w:left w:val="nil"/>
              <w:bottom w:val="nil"/>
              <w:right w:val="nil"/>
            </w:tcBorders>
            <w:shd w:val="clear" w:color="auto" w:fill="auto"/>
            <w:hideMark/>
          </w:tcPr>
          <w:p w14:paraId="58576C9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Енергетика</w:t>
            </w:r>
          </w:p>
        </w:tc>
        <w:tc>
          <w:tcPr>
            <w:tcW w:w="543" w:type="pct"/>
            <w:tcBorders>
              <w:top w:val="nil"/>
              <w:left w:val="nil"/>
              <w:bottom w:val="nil"/>
              <w:right w:val="nil"/>
            </w:tcBorders>
            <w:shd w:val="clear" w:color="auto" w:fill="auto"/>
            <w:noWrap/>
            <w:hideMark/>
          </w:tcPr>
          <w:p w14:paraId="2CEE427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1.391</w:t>
            </w:r>
          </w:p>
        </w:tc>
        <w:tc>
          <w:tcPr>
            <w:tcW w:w="462" w:type="pct"/>
            <w:tcBorders>
              <w:top w:val="nil"/>
              <w:left w:val="nil"/>
              <w:bottom w:val="nil"/>
              <w:right w:val="nil"/>
            </w:tcBorders>
            <w:shd w:val="clear" w:color="auto" w:fill="auto"/>
            <w:noWrap/>
            <w:hideMark/>
          </w:tcPr>
          <w:p w14:paraId="4B778B2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43,2</w:t>
            </w:r>
          </w:p>
        </w:tc>
        <w:tc>
          <w:tcPr>
            <w:tcW w:w="462" w:type="pct"/>
            <w:tcBorders>
              <w:top w:val="nil"/>
              <w:left w:val="nil"/>
              <w:bottom w:val="nil"/>
              <w:right w:val="nil"/>
            </w:tcBorders>
            <w:shd w:val="clear" w:color="auto" w:fill="auto"/>
            <w:noWrap/>
            <w:hideMark/>
          </w:tcPr>
          <w:p w14:paraId="4421D6B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39,5</w:t>
            </w:r>
          </w:p>
        </w:tc>
        <w:tc>
          <w:tcPr>
            <w:tcW w:w="462" w:type="pct"/>
            <w:tcBorders>
              <w:top w:val="nil"/>
              <w:left w:val="nil"/>
              <w:bottom w:val="nil"/>
              <w:right w:val="nil"/>
            </w:tcBorders>
            <w:shd w:val="clear" w:color="auto" w:fill="auto"/>
            <w:noWrap/>
            <w:hideMark/>
          </w:tcPr>
          <w:p w14:paraId="6137273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3,0</w:t>
            </w:r>
          </w:p>
        </w:tc>
      </w:tr>
      <w:tr w:rsidR="00473C3B" w:rsidRPr="00671E8F" w14:paraId="44E5F9C9" w14:textId="77777777" w:rsidTr="00473C3B">
        <w:trPr>
          <w:trHeight w:val="20"/>
        </w:trPr>
        <w:tc>
          <w:tcPr>
            <w:tcW w:w="1741" w:type="pct"/>
            <w:tcBorders>
              <w:top w:val="nil"/>
              <w:left w:val="nil"/>
              <w:bottom w:val="nil"/>
              <w:right w:val="nil"/>
            </w:tcBorders>
            <w:shd w:val="clear" w:color="auto" w:fill="auto"/>
            <w:noWrap/>
            <w:hideMark/>
          </w:tcPr>
          <w:p w14:paraId="57923C4E"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„Пошта Србије”</w:t>
            </w:r>
          </w:p>
        </w:tc>
        <w:tc>
          <w:tcPr>
            <w:tcW w:w="1329" w:type="pct"/>
            <w:tcBorders>
              <w:top w:val="nil"/>
              <w:left w:val="nil"/>
              <w:bottom w:val="nil"/>
              <w:right w:val="nil"/>
            </w:tcBorders>
            <w:shd w:val="clear" w:color="auto" w:fill="auto"/>
            <w:hideMark/>
          </w:tcPr>
          <w:p w14:paraId="20205FB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Саобраћај и складиштење</w:t>
            </w:r>
          </w:p>
        </w:tc>
        <w:tc>
          <w:tcPr>
            <w:tcW w:w="543" w:type="pct"/>
            <w:tcBorders>
              <w:top w:val="nil"/>
              <w:left w:val="nil"/>
              <w:bottom w:val="nil"/>
              <w:right w:val="nil"/>
            </w:tcBorders>
            <w:shd w:val="clear" w:color="auto" w:fill="auto"/>
            <w:noWrap/>
            <w:hideMark/>
          </w:tcPr>
          <w:p w14:paraId="1503DD9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14.307</w:t>
            </w:r>
          </w:p>
        </w:tc>
        <w:tc>
          <w:tcPr>
            <w:tcW w:w="462" w:type="pct"/>
            <w:tcBorders>
              <w:top w:val="nil"/>
              <w:left w:val="nil"/>
              <w:bottom w:val="nil"/>
              <w:right w:val="nil"/>
            </w:tcBorders>
            <w:shd w:val="clear" w:color="auto" w:fill="auto"/>
            <w:noWrap/>
            <w:hideMark/>
          </w:tcPr>
          <w:p w14:paraId="5058F75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35,3</w:t>
            </w:r>
          </w:p>
        </w:tc>
        <w:tc>
          <w:tcPr>
            <w:tcW w:w="462" w:type="pct"/>
            <w:tcBorders>
              <w:top w:val="nil"/>
              <w:left w:val="nil"/>
              <w:bottom w:val="nil"/>
              <w:right w:val="nil"/>
            </w:tcBorders>
            <w:shd w:val="clear" w:color="auto" w:fill="auto"/>
            <w:noWrap/>
            <w:hideMark/>
          </w:tcPr>
          <w:p w14:paraId="0014DC3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31,5</w:t>
            </w:r>
          </w:p>
        </w:tc>
        <w:tc>
          <w:tcPr>
            <w:tcW w:w="462" w:type="pct"/>
            <w:tcBorders>
              <w:top w:val="nil"/>
              <w:left w:val="nil"/>
              <w:bottom w:val="nil"/>
              <w:right w:val="nil"/>
            </w:tcBorders>
            <w:shd w:val="clear" w:color="auto" w:fill="auto"/>
            <w:noWrap/>
            <w:hideMark/>
          </w:tcPr>
          <w:p w14:paraId="3B519C4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3,2</w:t>
            </w:r>
          </w:p>
        </w:tc>
      </w:tr>
      <w:tr w:rsidR="00473C3B" w:rsidRPr="00671E8F" w14:paraId="6C85F775" w14:textId="77777777" w:rsidTr="00473C3B">
        <w:trPr>
          <w:trHeight w:val="20"/>
        </w:trPr>
        <w:tc>
          <w:tcPr>
            <w:tcW w:w="1741" w:type="pct"/>
            <w:tcBorders>
              <w:top w:val="nil"/>
              <w:left w:val="nil"/>
              <w:bottom w:val="nil"/>
              <w:right w:val="nil"/>
            </w:tcBorders>
            <w:shd w:val="clear" w:color="auto" w:fill="auto"/>
            <w:noWrap/>
            <w:hideMark/>
          </w:tcPr>
          <w:p w14:paraId="45AC63E5"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„Инфраструктура железнице Србије” ад</w:t>
            </w:r>
          </w:p>
        </w:tc>
        <w:tc>
          <w:tcPr>
            <w:tcW w:w="1329" w:type="pct"/>
            <w:tcBorders>
              <w:top w:val="nil"/>
              <w:left w:val="nil"/>
              <w:bottom w:val="nil"/>
              <w:right w:val="nil"/>
            </w:tcBorders>
            <w:shd w:val="clear" w:color="auto" w:fill="auto"/>
            <w:hideMark/>
          </w:tcPr>
          <w:p w14:paraId="018113CC"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Саобраћај и складиштење</w:t>
            </w:r>
          </w:p>
        </w:tc>
        <w:tc>
          <w:tcPr>
            <w:tcW w:w="543" w:type="pct"/>
            <w:tcBorders>
              <w:top w:val="nil"/>
              <w:left w:val="nil"/>
              <w:bottom w:val="nil"/>
              <w:right w:val="nil"/>
            </w:tcBorders>
            <w:shd w:val="clear" w:color="auto" w:fill="auto"/>
            <w:noWrap/>
            <w:hideMark/>
          </w:tcPr>
          <w:p w14:paraId="4FE1372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5.716</w:t>
            </w:r>
          </w:p>
        </w:tc>
        <w:tc>
          <w:tcPr>
            <w:tcW w:w="462" w:type="pct"/>
            <w:tcBorders>
              <w:top w:val="nil"/>
              <w:left w:val="nil"/>
              <w:bottom w:val="nil"/>
              <w:right w:val="nil"/>
            </w:tcBorders>
            <w:shd w:val="clear" w:color="auto" w:fill="auto"/>
            <w:noWrap/>
            <w:hideMark/>
          </w:tcPr>
          <w:p w14:paraId="0E0D95E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18,2</w:t>
            </w:r>
          </w:p>
        </w:tc>
        <w:tc>
          <w:tcPr>
            <w:tcW w:w="462" w:type="pct"/>
            <w:tcBorders>
              <w:top w:val="nil"/>
              <w:left w:val="nil"/>
              <w:bottom w:val="nil"/>
              <w:right w:val="nil"/>
            </w:tcBorders>
            <w:shd w:val="clear" w:color="auto" w:fill="auto"/>
            <w:noWrap/>
            <w:hideMark/>
          </w:tcPr>
          <w:p w14:paraId="3A3DAAB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25,6</w:t>
            </w:r>
          </w:p>
        </w:tc>
        <w:tc>
          <w:tcPr>
            <w:tcW w:w="462" w:type="pct"/>
            <w:tcBorders>
              <w:top w:val="nil"/>
              <w:left w:val="nil"/>
              <w:bottom w:val="nil"/>
              <w:right w:val="nil"/>
            </w:tcBorders>
            <w:shd w:val="clear" w:color="auto" w:fill="auto"/>
            <w:noWrap/>
            <w:hideMark/>
          </w:tcPr>
          <w:p w14:paraId="6ACA435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-7,2</w:t>
            </w:r>
          </w:p>
        </w:tc>
      </w:tr>
      <w:tr w:rsidR="00473C3B" w:rsidRPr="00671E8F" w14:paraId="4AB94890" w14:textId="77777777" w:rsidTr="00473C3B">
        <w:trPr>
          <w:trHeight w:val="20"/>
        </w:trPr>
        <w:tc>
          <w:tcPr>
            <w:tcW w:w="1741" w:type="pct"/>
            <w:tcBorders>
              <w:top w:val="nil"/>
              <w:left w:val="nil"/>
              <w:bottom w:val="nil"/>
              <w:right w:val="nil"/>
            </w:tcBorders>
            <w:shd w:val="clear" w:color="auto" w:fill="auto"/>
            <w:noWrap/>
            <w:hideMark/>
          </w:tcPr>
          <w:p w14:paraId="6A732CC7"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„Југоимпорт-СДПР”</w:t>
            </w:r>
          </w:p>
        </w:tc>
        <w:tc>
          <w:tcPr>
            <w:tcW w:w="1329" w:type="pct"/>
            <w:tcBorders>
              <w:top w:val="nil"/>
              <w:left w:val="nil"/>
              <w:bottom w:val="nil"/>
              <w:right w:val="nil"/>
            </w:tcBorders>
            <w:shd w:val="clear" w:color="auto" w:fill="auto"/>
            <w:hideMark/>
          </w:tcPr>
          <w:p w14:paraId="5F89B01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Трговина на велико и трговина на мало</w:t>
            </w:r>
          </w:p>
        </w:tc>
        <w:tc>
          <w:tcPr>
            <w:tcW w:w="543" w:type="pct"/>
            <w:tcBorders>
              <w:top w:val="nil"/>
              <w:left w:val="nil"/>
              <w:bottom w:val="nil"/>
              <w:right w:val="nil"/>
            </w:tcBorders>
            <w:shd w:val="clear" w:color="auto" w:fill="auto"/>
            <w:noWrap/>
            <w:hideMark/>
          </w:tcPr>
          <w:p w14:paraId="4034A45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355</w:t>
            </w:r>
          </w:p>
        </w:tc>
        <w:tc>
          <w:tcPr>
            <w:tcW w:w="462" w:type="pct"/>
            <w:tcBorders>
              <w:top w:val="nil"/>
              <w:left w:val="nil"/>
              <w:bottom w:val="nil"/>
              <w:right w:val="nil"/>
            </w:tcBorders>
            <w:shd w:val="clear" w:color="auto" w:fill="auto"/>
            <w:noWrap/>
            <w:hideMark/>
          </w:tcPr>
          <w:p w14:paraId="3E9081F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17,6</w:t>
            </w:r>
          </w:p>
        </w:tc>
        <w:tc>
          <w:tcPr>
            <w:tcW w:w="462" w:type="pct"/>
            <w:tcBorders>
              <w:top w:val="nil"/>
              <w:left w:val="nil"/>
              <w:bottom w:val="nil"/>
              <w:right w:val="nil"/>
            </w:tcBorders>
            <w:shd w:val="clear" w:color="auto" w:fill="auto"/>
            <w:noWrap/>
            <w:hideMark/>
          </w:tcPr>
          <w:p w14:paraId="48D749C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16,9</w:t>
            </w:r>
          </w:p>
        </w:tc>
        <w:tc>
          <w:tcPr>
            <w:tcW w:w="462" w:type="pct"/>
            <w:tcBorders>
              <w:top w:val="nil"/>
              <w:left w:val="nil"/>
              <w:bottom w:val="nil"/>
              <w:right w:val="nil"/>
            </w:tcBorders>
            <w:shd w:val="clear" w:color="auto" w:fill="auto"/>
            <w:noWrap/>
            <w:hideMark/>
          </w:tcPr>
          <w:p w14:paraId="06356D9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0,6</w:t>
            </w:r>
          </w:p>
        </w:tc>
      </w:tr>
      <w:tr w:rsidR="00473C3B" w:rsidRPr="00671E8F" w14:paraId="5F477E79" w14:textId="77777777" w:rsidTr="00473C3B">
        <w:trPr>
          <w:trHeight w:val="20"/>
        </w:trPr>
        <w:tc>
          <w:tcPr>
            <w:tcW w:w="1741" w:type="pct"/>
            <w:tcBorders>
              <w:top w:val="nil"/>
              <w:left w:val="nil"/>
              <w:bottom w:val="nil"/>
              <w:right w:val="nil"/>
            </w:tcBorders>
            <w:shd w:val="clear" w:color="auto" w:fill="auto"/>
            <w:noWrap/>
            <w:hideMark/>
          </w:tcPr>
          <w:p w14:paraId="4121A3F0"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„Србија Карго” ад</w:t>
            </w:r>
          </w:p>
        </w:tc>
        <w:tc>
          <w:tcPr>
            <w:tcW w:w="1329" w:type="pct"/>
            <w:tcBorders>
              <w:top w:val="nil"/>
              <w:left w:val="nil"/>
              <w:bottom w:val="nil"/>
              <w:right w:val="nil"/>
            </w:tcBorders>
            <w:shd w:val="clear" w:color="auto" w:fill="auto"/>
            <w:hideMark/>
          </w:tcPr>
          <w:p w14:paraId="429B100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Саобраћај и складиштење</w:t>
            </w:r>
          </w:p>
        </w:tc>
        <w:tc>
          <w:tcPr>
            <w:tcW w:w="543" w:type="pct"/>
            <w:tcBorders>
              <w:top w:val="nil"/>
              <w:left w:val="nil"/>
              <w:bottom w:val="nil"/>
              <w:right w:val="nil"/>
            </w:tcBorders>
            <w:shd w:val="clear" w:color="auto" w:fill="auto"/>
            <w:noWrap/>
            <w:hideMark/>
          </w:tcPr>
          <w:p w14:paraId="51C3586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2.089</w:t>
            </w:r>
          </w:p>
        </w:tc>
        <w:tc>
          <w:tcPr>
            <w:tcW w:w="462" w:type="pct"/>
            <w:tcBorders>
              <w:top w:val="nil"/>
              <w:left w:val="nil"/>
              <w:bottom w:val="nil"/>
              <w:right w:val="nil"/>
            </w:tcBorders>
            <w:shd w:val="clear" w:color="auto" w:fill="auto"/>
            <w:noWrap/>
            <w:hideMark/>
          </w:tcPr>
          <w:p w14:paraId="4E2247A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12,7</w:t>
            </w:r>
          </w:p>
        </w:tc>
        <w:tc>
          <w:tcPr>
            <w:tcW w:w="462" w:type="pct"/>
            <w:tcBorders>
              <w:top w:val="nil"/>
              <w:left w:val="nil"/>
              <w:bottom w:val="nil"/>
              <w:right w:val="nil"/>
            </w:tcBorders>
            <w:shd w:val="clear" w:color="auto" w:fill="auto"/>
            <w:noWrap/>
            <w:hideMark/>
          </w:tcPr>
          <w:p w14:paraId="1424617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14,4</w:t>
            </w:r>
          </w:p>
        </w:tc>
        <w:tc>
          <w:tcPr>
            <w:tcW w:w="462" w:type="pct"/>
            <w:tcBorders>
              <w:top w:val="nil"/>
              <w:left w:val="nil"/>
              <w:bottom w:val="nil"/>
              <w:right w:val="nil"/>
            </w:tcBorders>
            <w:shd w:val="clear" w:color="auto" w:fill="auto"/>
            <w:noWrap/>
            <w:hideMark/>
          </w:tcPr>
          <w:p w14:paraId="52BAB1E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-1,7</w:t>
            </w:r>
          </w:p>
        </w:tc>
      </w:tr>
      <w:tr w:rsidR="00473C3B" w:rsidRPr="00671E8F" w14:paraId="2A61FF57" w14:textId="77777777" w:rsidTr="00473C3B">
        <w:trPr>
          <w:trHeight w:val="20"/>
        </w:trPr>
        <w:tc>
          <w:tcPr>
            <w:tcW w:w="1741" w:type="pct"/>
            <w:tcBorders>
              <w:top w:val="nil"/>
              <w:left w:val="nil"/>
              <w:bottom w:val="nil"/>
              <w:right w:val="nil"/>
            </w:tcBorders>
            <w:shd w:val="clear" w:color="auto" w:fill="auto"/>
            <w:noWrap/>
            <w:hideMark/>
          </w:tcPr>
          <w:p w14:paraId="54CBD175"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„Србијашуме”</w:t>
            </w:r>
          </w:p>
        </w:tc>
        <w:tc>
          <w:tcPr>
            <w:tcW w:w="1329" w:type="pct"/>
            <w:tcBorders>
              <w:top w:val="nil"/>
              <w:left w:val="nil"/>
              <w:bottom w:val="nil"/>
              <w:right w:val="nil"/>
            </w:tcBorders>
            <w:shd w:val="clear" w:color="auto" w:fill="auto"/>
            <w:hideMark/>
          </w:tcPr>
          <w:p w14:paraId="2A2F45C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Пољопривреда, шумарство, рибарство</w:t>
            </w:r>
          </w:p>
        </w:tc>
        <w:tc>
          <w:tcPr>
            <w:tcW w:w="543" w:type="pct"/>
            <w:tcBorders>
              <w:top w:val="nil"/>
              <w:left w:val="nil"/>
              <w:bottom w:val="nil"/>
              <w:right w:val="nil"/>
            </w:tcBorders>
            <w:shd w:val="clear" w:color="auto" w:fill="auto"/>
            <w:noWrap/>
            <w:hideMark/>
          </w:tcPr>
          <w:p w14:paraId="7293C53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3.168</w:t>
            </w:r>
          </w:p>
        </w:tc>
        <w:tc>
          <w:tcPr>
            <w:tcW w:w="462" w:type="pct"/>
            <w:tcBorders>
              <w:top w:val="nil"/>
              <w:left w:val="nil"/>
              <w:bottom w:val="nil"/>
              <w:right w:val="nil"/>
            </w:tcBorders>
            <w:shd w:val="clear" w:color="auto" w:fill="auto"/>
            <w:noWrap/>
            <w:hideMark/>
          </w:tcPr>
          <w:p w14:paraId="2A00DEF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11,4</w:t>
            </w:r>
          </w:p>
        </w:tc>
        <w:tc>
          <w:tcPr>
            <w:tcW w:w="462" w:type="pct"/>
            <w:tcBorders>
              <w:top w:val="nil"/>
              <w:left w:val="nil"/>
              <w:bottom w:val="nil"/>
              <w:right w:val="nil"/>
            </w:tcBorders>
            <w:shd w:val="clear" w:color="auto" w:fill="auto"/>
            <w:noWrap/>
            <w:hideMark/>
          </w:tcPr>
          <w:p w14:paraId="7E766E7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10,5</w:t>
            </w:r>
          </w:p>
        </w:tc>
        <w:tc>
          <w:tcPr>
            <w:tcW w:w="462" w:type="pct"/>
            <w:tcBorders>
              <w:top w:val="nil"/>
              <w:left w:val="nil"/>
              <w:bottom w:val="nil"/>
              <w:right w:val="nil"/>
            </w:tcBorders>
            <w:shd w:val="clear" w:color="auto" w:fill="auto"/>
            <w:noWrap/>
            <w:hideMark/>
          </w:tcPr>
          <w:p w14:paraId="2077AE2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0,7</w:t>
            </w:r>
          </w:p>
        </w:tc>
      </w:tr>
      <w:tr w:rsidR="00473C3B" w:rsidRPr="00671E8F" w14:paraId="22C7C4A4" w14:textId="77777777" w:rsidTr="00473C3B">
        <w:trPr>
          <w:trHeight w:val="20"/>
        </w:trPr>
        <w:tc>
          <w:tcPr>
            <w:tcW w:w="1741" w:type="pct"/>
            <w:tcBorders>
              <w:top w:val="nil"/>
              <w:left w:val="nil"/>
              <w:bottom w:val="single" w:sz="4" w:space="0" w:color="002060"/>
              <w:right w:val="nil"/>
            </w:tcBorders>
            <w:shd w:val="clear" w:color="auto" w:fill="auto"/>
            <w:noWrap/>
            <w:hideMark/>
          </w:tcPr>
          <w:p w14:paraId="0C8D8446"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Осталих 26 предузећа</w:t>
            </w:r>
          </w:p>
        </w:tc>
        <w:tc>
          <w:tcPr>
            <w:tcW w:w="1329" w:type="pct"/>
            <w:tcBorders>
              <w:top w:val="nil"/>
              <w:left w:val="nil"/>
              <w:bottom w:val="single" w:sz="4" w:space="0" w:color="002060"/>
              <w:right w:val="nil"/>
            </w:tcBorders>
            <w:shd w:val="clear" w:color="auto" w:fill="auto"/>
            <w:hideMark/>
          </w:tcPr>
          <w:p w14:paraId="2C1838D7"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Остало</w:t>
            </w:r>
          </w:p>
        </w:tc>
        <w:tc>
          <w:tcPr>
            <w:tcW w:w="543" w:type="pct"/>
            <w:tcBorders>
              <w:top w:val="nil"/>
              <w:left w:val="nil"/>
              <w:bottom w:val="single" w:sz="4" w:space="0" w:color="002060"/>
              <w:right w:val="nil"/>
            </w:tcBorders>
            <w:shd w:val="clear" w:color="auto" w:fill="auto"/>
            <w:noWrap/>
            <w:hideMark/>
          </w:tcPr>
          <w:p w14:paraId="3849478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8.526</w:t>
            </w:r>
          </w:p>
        </w:tc>
        <w:tc>
          <w:tcPr>
            <w:tcW w:w="462" w:type="pct"/>
            <w:tcBorders>
              <w:top w:val="nil"/>
              <w:left w:val="nil"/>
              <w:bottom w:val="single" w:sz="4" w:space="0" w:color="002060"/>
              <w:right w:val="nil"/>
            </w:tcBorders>
            <w:shd w:val="clear" w:color="auto" w:fill="auto"/>
            <w:noWrap/>
            <w:hideMark/>
          </w:tcPr>
          <w:p w14:paraId="6E4AD5F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42,4</w:t>
            </w:r>
          </w:p>
        </w:tc>
        <w:tc>
          <w:tcPr>
            <w:tcW w:w="462" w:type="pct"/>
            <w:tcBorders>
              <w:top w:val="nil"/>
              <w:left w:val="nil"/>
              <w:bottom w:val="single" w:sz="4" w:space="0" w:color="002060"/>
              <w:right w:val="nil"/>
            </w:tcBorders>
            <w:shd w:val="clear" w:color="auto" w:fill="auto"/>
            <w:noWrap/>
            <w:hideMark/>
          </w:tcPr>
          <w:p w14:paraId="47FE8A1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43,1</w:t>
            </w:r>
          </w:p>
        </w:tc>
        <w:tc>
          <w:tcPr>
            <w:tcW w:w="462" w:type="pct"/>
            <w:tcBorders>
              <w:top w:val="nil"/>
              <w:left w:val="nil"/>
              <w:bottom w:val="single" w:sz="4" w:space="0" w:color="002060"/>
              <w:right w:val="nil"/>
            </w:tcBorders>
            <w:shd w:val="clear" w:color="auto" w:fill="auto"/>
            <w:noWrap/>
            <w:hideMark/>
          </w:tcPr>
          <w:p w14:paraId="0B039069" w14:textId="0C8C6E62" w:rsidR="00473C3B" w:rsidRPr="00671E8F" w:rsidRDefault="005005CA"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w:t>
            </w:r>
          </w:p>
        </w:tc>
      </w:tr>
    </w:tbl>
    <w:p w14:paraId="64CF9FC4" w14:textId="77777777" w:rsidR="00473C3B" w:rsidRPr="00671E8F" w:rsidRDefault="00473C3B" w:rsidP="00473C3B">
      <w:pPr>
        <w:spacing w:after="200" w:line="276" w:lineRule="auto"/>
        <w:rPr>
          <w:rFonts w:ascii="Calibri" w:eastAsia="MS PGothic" w:hAnsi="Calibri" w:cs="Calibri"/>
          <w:color w:val="44546A"/>
          <w:sz w:val="18"/>
          <w:szCs w:val="18"/>
          <w:lang w:eastAsia="ja-JP"/>
        </w:rPr>
        <w:sectPr w:rsidR="00473C3B" w:rsidRPr="00671E8F" w:rsidSect="00F45C01">
          <w:type w:val="continuous"/>
          <w:pgSz w:w="12240" w:h="15840"/>
          <w:pgMar w:top="1440" w:right="1440" w:bottom="1440" w:left="1440" w:header="720" w:footer="720" w:gutter="0"/>
          <w:cols w:space="720"/>
          <w:docGrid w:linePitch="360"/>
        </w:sectPr>
      </w:pPr>
      <w:r w:rsidRPr="00671E8F">
        <w:rPr>
          <w:rFonts w:ascii="Calibri" w:eastAsia="MS PGothic" w:hAnsi="Calibri" w:cs="Calibri"/>
          <w:color w:val="44546A"/>
          <w:sz w:val="18"/>
          <w:szCs w:val="18"/>
          <w:lang w:eastAsia="ja-JP"/>
        </w:rPr>
        <w:t xml:space="preserve"> </w:t>
      </w:r>
      <w:r w:rsidRPr="00671E8F">
        <w:rPr>
          <w:rFonts w:ascii="Calibri" w:eastAsia="MS PGothic" w:hAnsi="Calibri" w:cs="Calibri"/>
          <w:color w:val="44546A"/>
          <w:sz w:val="16"/>
          <w:szCs w:val="16"/>
          <w:lang w:eastAsia="ja-JP"/>
        </w:rPr>
        <w:t>Извор: Финансијски извештаји за 2023. годину (АПР)</w:t>
      </w:r>
    </w:p>
    <w:p w14:paraId="0C311A64"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Државна предузећа која се прате од стране Сектора за праћење фискалних ризика послују у различитим секторима. Ако посматрамо по броју, највише државних предузећа послује у области туризма (пре свега због националних паркова) и саобраћаја (железничка предузећа). Акo се посматра са становишта укупно остварених прихода, као и броја запослених, може се закључити да водећу улогу имају државна предузећа из сектора енергетике. У 2023. години предузећа из овог сектора чинила су 81% укупних прихода остварених од свих 36 државних предузећа.</w:t>
      </w:r>
    </w:p>
    <w:p w14:paraId="52CE2F4A"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Резултати пословања државних предузећа</w:t>
      </w:r>
    </w:p>
    <w:p w14:paraId="4AF9163B"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Укупна имовина државних предузећа на крају 2023. године износила је 3.587 млрд динара, и њу чини углавном стална имовина која учествује са 85,7% с обзиром да већина државних предузећа послује у капитално интензивним гранама. Укупне обавезе обухватају кредите, обавезе према добављачима и обавезе по другим основама и оне су значајно порасле у периоду између 2021. и 2022. године, што је у складу са појавом енергетских шокова на тржишту. Кредитне обавезе на крају 2023. године имале су учешће од </w:t>
      </w:r>
      <w:r w:rsidRPr="00671E8F">
        <w:rPr>
          <w:rFonts w:eastAsia="MS PGothic" w:cstheme="minorHAnsi"/>
          <w:szCs w:val="20"/>
          <w:lang w:eastAsia="ja-JP"/>
        </w:rPr>
        <w:t>38,7% у укупним обавезама предузећа, односно 37.9% на крају другог квартала 2024. године.</w:t>
      </w:r>
    </w:p>
    <w:p w14:paraId="50D6A1EF" w14:textId="6B717FDA"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1</w:t>
      </w:r>
      <w:r w:rsidR="00FC5CD7" w:rsidRPr="00671E8F">
        <w:rPr>
          <w:rFonts w:eastAsia="MS PGothic" w:cstheme="minorHAnsi"/>
          <w:b/>
          <w:color w:val="002060"/>
          <w:szCs w:val="20"/>
          <w:lang w:eastAsia="ja-JP"/>
        </w:rPr>
        <w:t>6</w:t>
      </w:r>
      <w:r w:rsidRPr="00671E8F">
        <w:rPr>
          <w:rFonts w:eastAsia="MS PGothic" w:cstheme="minorHAnsi"/>
          <w:b/>
          <w:color w:val="002060"/>
          <w:szCs w:val="20"/>
          <w:lang w:eastAsia="ja-JP"/>
        </w:rPr>
        <w:t>. Главни финансијски показатељи пословања државних предузећа, млрд динара</w:t>
      </w:r>
    </w:p>
    <w:tbl>
      <w:tblPr>
        <w:tblW w:w="4332" w:type="dxa"/>
        <w:tblLook w:val="04A0" w:firstRow="1" w:lastRow="0" w:firstColumn="1" w:lastColumn="0" w:noHBand="0" w:noVBand="1"/>
      </w:tblPr>
      <w:tblGrid>
        <w:gridCol w:w="1620"/>
        <w:gridCol w:w="627"/>
        <w:gridCol w:w="627"/>
        <w:gridCol w:w="627"/>
        <w:gridCol w:w="912"/>
      </w:tblGrid>
      <w:tr w:rsidR="00473C3B" w:rsidRPr="00671E8F" w14:paraId="42236A97" w14:textId="77777777" w:rsidTr="00473C3B">
        <w:trPr>
          <w:trHeight w:val="20"/>
        </w:trPr>
        <w:tc>
          <w:tcPr>
            <w:tcW w:w="1620" w:type="dxa"/>
            <w:tcBorders>
              <w:top w:val="single" w:sz="4" w:space="0" w:color="002060"/>
              <w:left w:val="nil"/>
              <w:bottom w:val="single" w:sz="4" w:space="0" w:color="002060"/>
              <w:right w:val="nil"/>
            </w:tcBorders>
            <w:shd w:val="clear" w:color="auto" w:fill="FFFFFF" w:themeFill="background1"/>
            <w:noWrap/>
            <w:vAlign w:val="center"/>
            <w:hideMark/>
          </w:tcPr>
          <w:p w14:paraId="550F391F" w14:textId="77777777" w:rsidR="00473C3B" w:rsidRPr="00671E8F" w:rsidRDefault="00473C3B" w:rsidP="00473C3B">
            <w:pPr>
              <w:spacing w:after="0" w:line="240" w:lineRule="auto"/>
              <w:rPr>
                <w:rFonts w:eastAsia="Times New Roman" w:cstheme="minorHAnsi"/>
                <w:b/>
                <w:bCs/>
                <w:color w:val="002060"/>
                <w:sz w:val="18"/>
                <w:szCs w:val="18"/>
              </w:rPr>
            </w:pPr>
            <w:r w:rsidRPr="00671E8F">
              <w:rPr>
                <w:rFonts w:eastAsia="Times New Roman" w:cstheme="minorHAnsi"/>
                <w:b/>
                <w:bCs/>
                <w:color w:val="002060"/>
                <w:sz w:val="18"/>
                <w:szCs w:val="18"/>
              </w:rPr>
              <w:t>Опис</w:t>
            </w:r>
          </w:p>
        </w:tc>
        <w:tc>
          <w:tcPr>
            <w:tcW w:w="626" w:type="dxa"/>
            <w:tcBorders>
              <w:top w:val="single" w:sz="4" w:space="0" w:color="002060"/>
              <w:left w:val="nil"/>
              <w:bottom w:val="single" w:sz="4" w:space="0" w:color="002060"/>
              <w:right w:val="nil"/>
            </w:tcBorders>
            <w:shd w:val="clear" w:color="auto" w:fill="FFFFFF" w:themeFill="background1"/>
            <w:noWrap/>
            <w:vAlign w:val="center"/>
            <w:hideMark/>
          </w:tcPr>
          <w:p w14:paraId="440F384C"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2021</w:t>
            </w:r>
          </w:p>
        </w:tc>
        <w:tc>
          <w:tcPr>
            <w:tcW w:w="626" w:type="dxa"/>
            <w:tcBorders>
              <w:top w:val="single" w:sz="4" w:space="0" w:color="002060"/>
              <w:left w:val="nil"/>
              <w:bottom w:val="single" w:sz="4" w:space="0" w:color="002060"/>
              <w:right w:val="nil"/>
            </w:tcBorders>
            <w:shd w:val="clear" w:color="auto" w:fill="FFFFFF" w:themeFill="background1"/>
            <w:noWrap/>
            <w:vAlign w:val="center"/>
            <w:hideMark/>
          </w:tcPr>
          <w:p w14:paraId="16EF93E1"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2022</w:t>
            </w:r>
          </w:p>
        </w:tc>
        <w:tc>
          <w:tcPr>
            <w:tcW w:w="548" w:type="dxa"/>
            <w:tcBorders>
              <w:top w:val="single" w:sz="4" w:space="0" w:color="002060"/>
              <w:left w:val="nil"/>
              <w:bottom w:val="single" w:sz="4" w:space="0" w:color="002060"/>
              <w:right w:val="nil"/>
            </w:tcBorders>
            <w:shd w:val="clear" w:color="auto" w:fill="FFFFFF" w:themeFill="background1"/>
            <w:noWrap/>
            <w:vAlign w:val="center"/>
            <w:hideMark/>
          </w:tcPr>
          <w:p w14:paraId="0008D12B"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2023</w:t>
            </w:r>
          </w:p>
        </w:tc>
        <w:tc>
          <w:tcPr>
            <w:tcW w:w="912" w:type="dxa"/>
            <w:tcBorders>
              <w:top w:val="single" w:sz="4" w:space="0" w:color="002060"/>
              <w:left w:val="nil"/>
              <w:bottom w:val="single" w:sz="4" w:space="0" w:color="002060"/>
              <w:right w:val="nil"/>
            </w:tcBorders>
            <w:shd w:val="clear" w:color="auto" w:fill="FFFFFF" w:themeFill="background1"/>
            <w:noWrap/>
            <w:vAlign w:val="center"/>
            <w:hideMark/>
          </w:tcPr>
          <w:p w14:paraId="6D4D1B76"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Q2 2024</w:t>
            </w:r>
          </w:p>
        </w:tc>
      </w:tr>
      <w:tr w:rsidR="00473C3B" w:rsidRPr="00671E8F" w14:paraId="0F19A3BB" w14:textId="77777777" w:rsidTr="00473C3B">
        <w:trPr>
          <w:trHeight w:val="20"/>
        </w:trPr>
        <w:tc>
          <w:tcPr>
            <w:tcW w:w="1620" w:type="dxa"/>
            <w:tcBorders>
              <w:top w:val="nil"/>
              <w:left w:val="nil"/>
              <w:bottom w:val="nil"/>
              <w:right w:val="nil"/>
            </w:tcBorders>
            <w:shd w:val="clear" w:color="000000" w:fill="FFFFFF"/>
            <w:noWrap/>
            <w:vAlign w:val="center"/>
            <w:hideMark/>
          </w:tcPr>
          <w:p w14:paraId="63BCF98C" w14:textId="77777777" w:rsidR="00473C3B" w:rsidRPr="00671E8F" w:rsidRDefault="00473C3B" w:rsidP="00473C3B">
            <w:pPr>
              <w:spacing w:after="0" w:line="240" w:lineRule="auto"/>
              <w:rPr>
                <w:rFonts w:eastAsia="Times New Roman" w:cstheme="minorHAnsi"/>
                <w:b/>
                <w:bCs/>
                <w:color w:val="002060"/>
                <w:sz w:val="18"/>
                <w:szCs w:val="18"/>
              </w:rPr>
            </w:pPr>
            <w:r w:rsidRPr="00671E8F">
              <w:rPr>
                <w:rFonts w:eastAsia="Times New Roman" w:cstheme="minorHAnsi"/>
                <w:b/>
                <w:bCs/>
                <w:color w:val="002060"/>
                <w:sz w:val="18"/>
                <w:szCs w:val="18"/>
              </w:rPr>
              <w:t>Укупна имовина</w:t>
            </w:r>
          </w:p>
        </w:tc>
        <w:tc>
          <w:tcPr>
            <w:tcW w:w="626" w:type="dxa"/>
            <w:tcBorders>
              <w:top w:val="nil"/>
              <w:left w:val="nil"/>
              <w:bottom w:val="nil"/>
              <w:right w:val="nil"/>
            </w:tcBorders>
            <w:shd w:val="clear" w:color="000000" w:fill="FFFFFF"/>
            <w:noWrap/>
            <w:vAlign w:val="center"/>
            <w:hideMark/>
          </w:tcPr>
          <w:p w14:paraId="63BE4FC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3.217</w:t>
            </w:r>
          </w:p>
        </w:tc>
        <w:tc>
          <w:tcPr>
            <w:tcW w:w="626" w:type="dxa"/>
            <w:tcBorders>
              <w:top w:val="nil"/>
              <w:left w:val="nil"/>
              <w:bottom w:val="nil"/>
              <w:right w:val="nil"/>
            </w:tcBorders>
            <w:shd w:val="clear" w:color="000000" w:fill="FFFFFF"/>
            <w:noWrap/>
            <w:vAlign w:val="center"/>
            <w:hideMark/>
          </w:tcPr>
          <w:p w14:paraId="1706FF3A" w14:textId="77777777" w:rsidR="00473C3B" w:rsidRPr="00671E8F" w:rsidRDefault="00473C3B" w:rsidP="00473C3B">
            <w:pPr>
              <w:spacing w:after="0" w:line="240" w:lineRule="auto"/>
              <w:rPr>
                <w:rFonts w:eastAsia="Times New Roman" w:cstheme="minorHAnsi"/>
                <w:color w:val="002060"/>
                <w:sz w:val="18"/>
                <w:szCs w:val="18"/>
              </w:rPr>
            </w:pPr>
            <w:r w:rsidRPr="00671E8F">
              <w:rPr>
                <w:rFonts w:eastAsia="Times New Roman" w:cstheme="minorHAnsi"/>
                <w:color w:val="002060"/>
                <w:sz w:val="18"/>
                <w:szCs w:val="18"/>
              </w:rPr>
              <w:t>3.454</w:t>
            </w:r>
          </w:p>
        </w:tc>
        <w:tc>
          <w:tcPr>
            <w:tcW w:w="548" w:type="dxa"/>
            <w:tcBorders>
              <w:top w:val="nil"/>
              <w:left w:val="nil"/>
              <w:bottom w:val="nil"/>
              <w:right w:val="nil"/>
            </w:tcBorders>
            <w:shd w:val="clear" w:color="000000" w:fill="FFFFFF"/>
            <w:noWrap/>
            <w:vAlign w:val="center"/>
            <w:hideMark/>
          </w:tcPr>
          <w:p w14:paraId="027A129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3.587</w:t>
            </w:r>
          </w:p>
        </w:tc>
        <w:tc>
          <w:tcPr>
            <w:tcW w:w="912" w:type="dxa"/>
            <w:tcBorders>
              <w:top w:val="nil"/>
              <w:left w:val="nil"/>
              <w:bottom w:val="nil"/>
              <w:right w:val="nil"/>
            </w:tcBorders>
            <w:shd w:val="clear" w:color="000000" w:fill="FFFFFF"/>
            <w:noWrap/>
            <w:vAlign w:val="center"/>
            <w:hideMark/>
          </w:tcPr>
          <w:p w14:paraId="2026E48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3.606</w:t>
            </w:r>
          </w:p>
        </w:tc>
      </w:tr>
      <w:tr w:rsidR="00473C3B" w:rsidRPr="00671E8F" w14:paraId="56CDD407" w14:textId="77777777" w:rsidTr="00473C3B">
        <w:trPr>
          <w:trHeight w:val="20"/>
        </w:trPr>
        <w:tc>
          <w:tcPr>
            <w:tcW w:w="1620" w:type="dxa"/>
            <w:tcBorders>
              <w:top w:val="nil"/>
              <w:left w:val="nil"/>
              <w:bottom w:val="nil"/>
              <w:right w:val="nil"/>
            </w:tcBorders>
            <w:shd w:val="clear" w:color="000000" w:fill="FFFFFF"/>
            <w:noWrap/>
            <w:vAlign w:val="center"/>
            <w:hideMark/>
          </w:tcPr>
          <w:p w14:paraId="65AAE624" w14:textId="77777777" w:rsidR="00473C3B" w:rsidRPr="00671E8F" w:rsidRDefault="00473C3B" w:rsidP="00473C3B">
            <w:pPr>
              <w:spacing w:after="0" w:line="240" w:lineRule="auto"/>
              <w:rPr>
                <w:rFonts w:eastAsia="Times New Roman" w:cstheme="minorHAnsi"/>
                <w:color w:val="002060"/>
                <w:sz w:val="18"/>
                <w:szCs w:val="18"/>
              </w:rPr>
            </w:pPr>
            <w:r w:rsidRPr="00671E8F">
              <w:rPr>
                <w:rFonts w:eastAsia="Times New Roman" w:cstheme="minorHAnsi"/>
                <w:color w:val="002060"/>
                <w:sz w:val="18"/>
                <w:szCs w:val="18"/>
              </w:rPr>
              <w:t>Стална имовина</w:t>
            </w:r>
          </w:p>
        </w:tc>
        <w:tc>
          <w:tcPr>
            <w:tcW w:w="626" w:type="dxa"/>
            <w:tcBorders>
              <w:top w:val="nil"/>
              <w:left w:val="nil"/>
              <w:bottom w:val="nil"/>
              <w:right w:val="nil"/>
            </w:tcBorders>
            <w:shd w:val="clear" w:color="000000" w:fill="FFFFFF"/>
            <w:noWrap/>
            <w:vAlign w:val="center"/>
            <w:hideMark/>
          </w:tcPr>
          <w:p w14:paraId="684BEF8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2.872</w:t>
            </w:r>
          </w:p>
        </w:tc>
        <w:tc>
          <w:tcPr>
            <w:tcW w:w="626" w:type="dxa"/>
            <w:tcBorders>
              <w:top w:val="nil"/>
              <w:left w:val="nil"/>
              <w:bottom w:val="nil"/>
              <w:right w:val="nil"/>
            </w:tcBorders>
            <w:shd w:val="clear" w:color="000000" w:fill="FFFFFF"/>
            <w:noWrap/>
            <w:vAlign w:val="center"/>
            <w:hideMark/>
          </w:tcPr>
          <w:p w14:paraId="4431294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2.936</w:t>
            </w:r>
          </w:p>
        </w:tc>
        <w:tc>
          <w:tcPr>
            <w:tcW w:w="548" w:type="dxa"/>
            <w:tcBorders>
              <w:top w:val="nil"/>
              <w:left w:val="nil"/>
              <w:bottom w:val="nil"/>
              <w:right w:val="nil"/>
            </w:tcBorders>
            <w:shd w:val="clear" w:color="000000" w:fill="FFFFFF"/>
            <w:noWrap/>
            <w:vAlign w:val="center"/>
            <w:hideMark/>
          </w:tcPr>
          <w:p w14:paraId="2D0A09E0"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3.074</w:t>
            </w:r>
          </w:p>
        </w:tc>
        <w:tc>
          <w:tcPr>
            <w:tcW w:w="912" w:type="dxa"/>
            <w:tcBorders>
              <w:top w:val="nil"/>
              <w:left w:val="nil"/>
              <w:bottom w:val="nil"/>
              <w:right w:val="nil"/>
            </w:tcBorders>
            <w:shd w:val="clear" w:color="000000" w:fill="FFFFFF"/>
            <w:noWrap/>
            <w:vAlign w:val="center"/>
            <w:hideMark/>
          </w:tcPr>
          <w:p w14:paraId="752991D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3.137</w:t>
            </w:r>
          </w:p>
        </w:tc>
      </w:tr>
      <w:tr w:rsidR="00473C3B" w:rsidRPr="00671E8F" w14:paraId="46D64BF8" w14:textId="77777777" w:rsidTr="00473C3B">
        <w:trPr>
          <w:trHeight w:val="20"/>
        </w:trPr>
        <w:tc>
          <w:tcPr>
            <w:tcW w:w="1620" w:type="dxa"/>
            <w:tcBorders>
              <w:top w:val="nil"/>
              <w:left w:val="nil"/>
              <w:bottom w:val="nil"/>
              <w:right w:val="nil"/>
            </w:tcBorders>
            <w:shd w:val="clear" w:color="000000" w:fill="FFFFFF"/>
            <w:noWrap/>
            <w:vAlign w:val="center"/>
            <w:hideMark/>
          </w:tcPr>
          <w:p w14:paraId="314BFD6A" w14:textId="77777777" w:rsidR="00473C3B" w:rsidRPr="00671E8F" w:rsidRDefault="00473C3B" w:rsidP="00473C3B">
            <w:pPr>
              <w:spacing w:after="0" w:line="240" w:lineRule="auto"/>
              <w:rPr>
                <w:rFonts w:eastAsia="Times New Roman" w:cstheme="minorHAnsi"/>
                <w:color w:val="002060"/>
                <w:sz w:val="18"/>
                <w:szCs w:val="18"/>
              </w:rPr>
            </w:pPr>
            <w:r w:rsidRPr="00671E8F">
              <w:rPr>
                <w:rFonts w:eastAsia="Times New Roman" w:cstheme="minorHAnsi"/>
                <w:color w:val="002060"/>
                <w:sz w:val="18"/>
                <w:szCs w:val="18"/>
              </w:rPr>
              <w:t>Обртна имовина</w:t>
            </w:r>
          </w:p>
        </w:tc>
        <w:tc>
          <w:tcPr>
            <w:tcW w:w="626" w:type="dxa"/>
            <w:tcBorders>
              <w:top w:val="nil"/>
              <w:left w:val="nil"/>
              <w:bottom w:val="nil"/>
              <w:right w:val="nil"/>
            </w:tcBorders>
            <w:shd w:val="clear" w:color="000000" w:fill="FFFFFF"/>
            <w:noWrap/>
            <w:vAlign w:val="center"/>
            <w:hideMark/>
          </w:tcPr>
          <w:p w14:paraId="4B45A26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340</w:t>
            </w:r>
          </w:p>
        </w:tc>
        <w:tc>
          <w:tcPr>
            <w:tcW w:w="626" w:type="dxa"/>
            <w:tcBorders>
              <w:top w:val="nil"/>
              <w:left w:val="nil"/>
              <w:bottom w:val="nil"/>
              <w:right w:val="nil"/>
            </w:tcBorders>
            <w:shd w:val="clear" w:color="000000" w:fill="FFFFFF"/>
            <w:noWrap/>
            <w:vAlign w:val="center"/>
            <w:hideMark/>
          </w:tcPr>
          <w:p w14:paraId="4974FE0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513</w:t>
            </w:r>
          </w:p>
        </w:tc>
        <w:tc>
          <w:tcPr>
            <w:tcW w:w="548" w:type="dxa"/>
            <w:tcBorders>
              <w:top w:val="nil"/>
              <w:left w:val="nil"/>
              <w:bottom w:val="nil"/>
              <w:right w:val="nil"/>
            </w:tcBorders>
            <w:shd w:val="clear" w:color="000000" w:fill="FFFFFF"/>
            <w:noWrap/>
            <w:vAlign w:val="center"/>
            <w:hideMark/>
          </w:tcPr>
          <w:p w14:paraId="2842F30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507</w:t>
            </w:r>
          </w:p>
        </w:tc>
        <w:tc>
          <w:tcPr>
            <w:tcW w:w="912" w:type="dxa"/>
            <w:tcBorders>
              <w:top w:val="nil"/>
              <w:left w:val="nil"/>
              <w:bottom w:val="nil"/>
              <w:right w:val="nil"/>
            </w:tcBorders>
            <w:shd w:val="clear" w:color="000000" w:fill="FFFFFF"/>
            <w:noWrap/>
            <w:vAlign w:val="center"/>
            <w:hideMark/>
          </w:tcPr>
          <w:p w14:paraId="2B71C66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465</w:t>
            </w:r>
          </w:p>
        </w:tc>
      </w:tr>
      <w:tr w:rsidR="00473C3B" w:rsidRPr="00671E8F" w14:paraId="2B2D1F1B" w14:textId="77777777" w:rsidTr="00473C3B">
        <w:trPr>
          <w:trHeight w:val="20"/>
        </w:trPr>
        <w:tc>
          <w:tcPr>
            <w:tcW w:w="1620" w:type="dxa"/>
            <w:tcBorders>
              <w:top w:val="nil"/>
              <w:left w:val="nil"/>
              <w:bottom w:val="nil"/>
              <w:right w:val="nil"/>
            </w:tcBorders>
            <w:shd w:val="clear" w:color="000000" w:fill="FFFFFF"/>
            <w:noWrap/>
            <w:vAlign w:val="center"/>
            <w:hideMark/>
          </w:tcPr>
          <w:p w14:paraId="262D330D" w14:textId="77777777" w:rsidR="00473C3B" w:rsidRPr="00671E8F" w:rsidRDefault="00473C3B" w:rsidP="00473C3B">
            <w:pPr>
              <w:spacing w:after="0" w:line="240" w:lineRule="auto"/>
              <w:rPr>
                <w:rFonts w:eastAsia="Times New Roman" w:cstheme="minorHAnsi"/>
                <w:b/>
                <w:bCs/>
                <w:color w:val="002060"/>
                <w:sz w:val="18"/>
                <w:szCs w:val="18"/>
              </w:rPr>
            </w:pPr>
            <w:r w:rsidRPr="00671E8F">
              <w:rPr>
                <w:rFonts w:eastAsia="Times New Roman" w:cstheme="minorHAnsi"/>
                <w:b/>
                <w:bCs/>
                <w:color w:val="002060"/>
                <w:sz w:val="18"/>
                <w:szCs w:val="18"/>
              </w:rPr>
              <w:t>Укупни капитал</w:t>
            </w:r>
          </w:p>
        </w:tc>
        <w:tc>
          <w:tcPr>
            <w:tcW w:w="626" w:type="dxa"/>
            <w:tcBorders>
              <w:top w:val="nil"/>
              <w:left w:val="nil"/>
              <w:bottom w:val="nil"/>
              <w:right w:val="nil"/>
            </w:tcBorders>
            <w:shd w:val="clear" w:color="000000" w:fill="FFFFFF"/>
            <w:noWrap/>
            <w:vAlign w:val="center"/>
            <w:hideMark/>
          </w:tcPr>
          <w:p w14:paraId="2F0C37E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1.963</w:t>
            </w:r>
          </w:p>
        </w:tc>
        <w:tc>
          <w:tcPr>
            <w:tcW w:w="626" w:type="dxa"/>
            <w:tcBorders>
              <w:top w:val="nil"/>
              <w:left w:val="nil"/>
              <w:bottom w:val="nil"/>
              <w:right w:val="nil"/>
            </w:tcBorders>
            <w:shd w:val="clear" w:color="000000" w:fill="FFFFFF"/>
            <w:noWrap/>
            <w:vAlign w:val="center"/>
            <w:hideMark/>
          </w:tcPr>
          <w:p w14:paraId="02C9DCB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1.896</w:t>
            </w:r>
          </w:p>
        </w:tc>
        <w:tc>
          <w:tcPr>
            <w:tcW w:w="548" w:type="dxa"/>
            <w:tcBorders>
              <w:top w:val="nil"/>
              <w:left w:val="nil"/>
              <w:bottom w:val="nil"/>
              <w:right w:val="nil"/>
            </w:tcBorders>
            <w:shd w:val="clear" w:color="000000" w:fill="FFFFFF"/>
            <w:noWrap/>
            <w:vAlign w:val="center"/>
            <w:hideMark/>
          </w:tcPr>
          <w:p w14:paraId="1524D74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2.048</w:t>
            </w:r>
          </w:p>
        </w:tc>
        <w:tc>
          <w:tcPr>
            <w:tcW w:w="912" w:type="dxa"/>
            <w:tcBorders>
              <w:top w:val="nil"/>
              <w:left w:val="nil"/>
              <w:bottom w:val="nil"/>
              <w:right w:val="nil"/>
            </w:tcBorders>
            <w:shd w:val="clear" w:color="000000" w:fill="FFFFFF"/>
            <w:noWrap/>
            <w:vAlign w:val="center"/>
            <w:hideMark/>
          </w:tcPr>
          <w:p w14:paraId="4163C29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2.080</w:t>
            </w:r>
          </w:p>
        </w:tc>
      </w:tr>
      <w:tr w:rsidR="00473C3B" w:rsidRPr="00671E8F" w14:paraId="05AEB542" w14:textId="77777777" w:rsidTr="00473C3B">
        <w:trPr>
          <w:trHeight w:val="20"/>
        </w:trPr>
        <w:tc>
          <w:tcPr>
            <w:tcW w:w="1620" w:type="dxa"/>
            <w:tcBorders>
              <w:top w:val="nil"/>
              <w:left w:val="nil"/>
              <w:bottom w:val="nil"/>
              <w:right w:val="nil"/>
            </w:tcBorders>
            <w:shd w:val="clear" w:color="000000" w:fill="FFFFFF"/>
            <w:noWrap/>
            <w:vAlign w:val="center"/>
            <w:hideMark/>
          </w:tcPr>
          <w:p w14:paraId="7D0F1922" w14:textId="77777777" w:rsidR="00473C3B" w:rsidRPr="00671E8F" w:rsidRDefault="00473C3B" w:rsidP="00473C3B">
            <w:pPr>
              <w:spacing w:after="0" w:line="240" w:lineRule="auto"/>
              <w:rPr>
                <w:rFonts w:eastAsia="Times New Roman" w:cstheme="minorHAnsi"/>
                <w:b/>
                <w:bCs/>
                <w:color w:val="002060"/>
                <w:sz w:val="18"/>
                <w:szCs w:val="18"/>
              </w:rPr>
            </w:pPr>
            <w:r w:rsidRPr="00671E8F">
              <w:rPr>
                <w:rFonts w:eastAsia="Times New Roman" w:cstheme="minorHAnsi"/>
                <w:b/>
                <w:bCs/>
                <w:color w:val="002060"/>
                <w:sz w:val="18"/>
                <w:szCs w:val="18"/>
              </w:rPr>
              <w:t>Укупне обавезе</w:t>
            </w:r>
          </w:p>
        </w:tc>
        <w:tc>
          <w:tcPr>
            <w:tcW w:w="626" w:type="dxa"/>
            <w:tcBorders>
              <w:top w:val="nil"/>
              <w:left w:val="nil"/>
              <w:bottom w:val="nil"/>
              <w:right w:val="nil"/>
            </w:tcBorders>
            <w:shd w:val="clear" w:color="000000" w:fill="FFFFFF"/>
            <w:noWrap/>
            <w:vAlign w:val="center"/>
            <w:hideMark/>
          </w:tcPr>
          <w:p w14:paraId="474434B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1.254</w:t>
            </w:r>
          </w:p>
        </w:tc>
        <w:tc>
          <w:tcPr>
            <w:tcW w:w="626" w:type="dxa"/>
            <w:tcBorders>
              <w:top w:val="nil"/>
              <w:left w:val="nil"/>
              <w:bottom w:val="nil"/>
              <w:right w:val="nil"/>
            </w:tcBorders>
            <w:shd w:val="clear" w:color="000000" w:fill="FFFFFF"/>
            <w:noWrap/>
            <w:vAlign w:val="center"/>
            <w:hideMark/>
          </w:tcPr>
          <w:p w14:paraId="1EA865E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1.558</w:t>
            </w:r>
          </w:p>
        </w:tc>
        <w:tc>
          <w:tcPr>
            <w:tcW w:w="548" w:type="dxa"/>
            <w:tcBorders>
              <w:top w:val="nil"/>
              <w:left w:val="nil"/>
              <w:bottom w:val="nil"/>
              <w:right w:val="nil"/>
            </w:tcBorders>
            <w:shd w:val="clear" w:color="000000" w:fill="FFFFFF"/>
            <w:noWrap/>
            <w:vAlign w:val="center"/>
            <w:hideMark/>
          </w:tcPr>
          <w:p w14:paraId="3D5ABCB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1.539</w:t>
            </w:r>
          </w:p>
        </w:tc>
        <w:tc>
          <w:tcPr>
            <w:tcW w:w="912" w:type="dxa"/>
            <w:tcBorders>
              <w:top w:val="nil"/>
              <w:left w:val="nil"/>
              <w:bottom w:val="nil"/>
              <w:right w:val="nil"/>
            </w:tcBorders>
            <w:shd w:val="clear" w:color="000000" w:fill="FFFFFF"/>
            <w:noWrap/>
            <w:vAlign w:val="center"/>
            <w:hideMark/>
          </w:tcPr>
          <w:p w14:paraId="5D078CB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1.526</w:t>
            </w:r>
          </w:p>
        </w:tc>
      </w:tr>
      <w:tr w:rsidR="00473C3B" w:rsidRPr="00671E8F" w14:paraId="3444F125" w14:textId="77777777" w:rsidTr="00473C3B">
        <w:trPr>
          <w:trHeight w:val="20"/>
        </w:trPr>
        <w:tc>
          <w:tcPr>
            <w:tcW w:w="1620" w:type="dxa"/>
            <w:tcBorders>
              <w:top w:val="nil"/>
              <w:left w:val="nil"/>
              <w:bottom w:val="single" w:sz="4" w:space="0" w:color="002060"/>
              <w:right w:val="nil"/>
            </w:tcBorders>
            <w:shd w:val="clear" w:color="000000" w:fill="FFFFFF"/>
            <w:noWrap/>
            <w:vAlign w:val="center"/>
            <w:hideMark/>
          </w:tcPr>
          <w:p w14:paraId="1A6C57DB" w14:textId="77777777" w:rsidR="00473C3B" w:rsidRPr="00671E8F" w:rsidRDefault="00473C3B" w:rsidP="00473C3B">
            <w:pPr>
              <w:spacing w:after="0" w:line="240" w:lineRule="auto"/>
              <w:rPr>
                <w:rFonts w:eastAsia="Times New Roman" w:cstheme="minorHAnsi"/>
                <w:color w:val="002060"/>
                <w:sz w:val="18"/>
                <w:szCs w:val="18"/>
              </w:rPr>
            </w:pPr>
            <w:r w:rsidRPr="00671E8F">
              <w:rPr>
                <w:rFonts w:eastAsia="Times New Roman" w:cstheme="minorHAnsi"/>
                <w:color w:val="002060"/>
                <w:sz w:val="18"/>
                <w:szCs w:val="18"/>
              </w:rPr>
              <w:t>Кредитне обавезе</w:t>
            </w:r>
          </w:p>
        </w:tc>
        <w:tc>
          <w:tcPr>
            <w:tcW w:w="626" w:type="dxa"/>
            <w:tcBorders>
              <w:top w:val="nil"/>
              <w:left w:val="nil"/>
              <w:bottom w:val="single" w:sz="4" w:space="0" w:color="002060"/>
              <w:right w:val="nil"/>
            </w:tcBorders>
            <w:shd w:val="clear" w:color="000000" w:fill="FFFFFF"/>
            <w:noWrap/>
            <w:vAlign w:val="center"/>
            <w:hideMark/>
          </w:tcPr>
          <w:p w14:paraId="49732CD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500</w:t>
            </w:r>
          </w:p>
        </w:tc>
        <w:tc>
          <w:tcPr>
            <w:tcW w:w="626" w:type="dxa"/>
            <w:tcBorders>
              <w:top w:val="nil"/>
              <w:left w:val="nil"/>
              <w:bottom w:val="single" w:sz="4" w:space="0" w:color="002060"/>
              <w:right w:val="nil"/>
            </w:tcBorders>
            <w:shd w:val="clear" w:color="000000" w:fill="FFFFFF"/>
            <w:noWrap/>
            <w:vAlign w:val="center"/>
            <w:hideMark/>
          </w:tcPr>
          <w:p w14:paraId="628C54D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650</w:t>
            </w:r>
          </w:p>
        </w:tc>
        <w:tc>
          <w:tcPr>
            <w:tcW w:w="548" w:type="dxa"/>
            <w:tcBorders>
              <w:top w:val="nil"/>
              <w:left w:val="nil"/>
              <w:bottom w:val="single" w:sz="4" w:space="0" w:color="002060"/>
              <w:right w:val="nil"/>
            </w:tcBorders>
            <w:shd w:val="clear" w:color="000000" w:fill="FFFFFF"/>
            <w:noWrap/>
            <w:vAlign w:val="center"/>
            <w:hideMark/>
          </w:tcPr>
          <w:p w14:paraId="3C9F143F" w14:textId="77777777" w:rsidR="00473C3B" w:rsidRPr="00671E8F" w:rsidRDefault="00473C3B" w:rsidP="00473C3B">
            <w:pPr>
              <w:spacing w:after="0" w:line="240" w:lineRule="auto"/>
              <w:jc w:val="center"/>
              <w:rPr>
                <w:rFonts w:eastAsia="Times New Roman" w:cstheme="minorHAnsi"/>
                <w:color w:val="002060"/>
                <w:sz w:val="18"/>
                <w:szCs w:val="18"/>
                <w:highlight w:val="yellow"/>
              </w:rPr>
            </w:pPr>
            <w:r w:rsidRPr="00671E8F">
              <w:rPr>
                <w:rFonts w:eastAsia="Times New Roman" w:cstheme="minorHAnsi"/>
                <w:color w:val="002060"/>
                <w:sz w:val="18"/>
                <w:szCs w:val="18"/>
              </w:rPr>
              <w:t>596</w:t>
            </w:r>
          </w:p>
        </w:tc>
        <w:tc>
          <w:tcPr>
            <w:tcW w:w="912" w:type="dxa"/>
            <w:tcBorders>
              <w:top w:val="nil"/>
              <w:left w:val="nil"/>
              <w:bottom w:val="single" w:sz="4" w:space="0" w:color="002060"/>
              <w:right w:val="nil"/>
            </w:tcBorders>
            <w:shd w:val="clear" w:color="000000" w:fill="FFFFFF"/>
            <w:noWrap/>
            <w:vAlign w:val="center"/>
            <w:hideMark/>
          </w:tcPr>
          <w:p w14:paraId="3DD87673" w14:textId="77777777" w:rsidR="00473C3B" w:rsidRPr="00671E8F" w:rsidRDefault="00473C3B" w:rsidP="00473C3B">
            <w:pPr>
              <w:spacing w:after="0" w:line="240" w:lineRule="auto"/>
              <w:jc w:val="center"/>
              <w:rPr>
                <w:rFonts w:eastAsia="Times New Roman" w:cstheme="minorHAnsi"/>
                <w:color w:val="002060"/>
                <w:sz w:val="18"/>
                <w:szCs w:val="18"/>
                <w:highlight w:val="yellow"/>
              </w:rPr>
            </w:pPr>
            <w:r w:rsidRPr="00671E8F">
              <w:rPr>
                <w:rFonts w:eastAsia="Times New Roman" w:cstheme="minorHAnsi"/>
                <w:color w:val="002060"/>
                <w:sz w:val="18"/>
                <w:szCs w:val="18"/>
              </w:rPr>
              <w:t>578</w:t>
            </w:r>
          </w:p>
        </w:tc>
      </w:tr>
    </w:tbl>
    <w:p w14:paraId="53E3EA56" w14:textId="77777777" w:rsidR="00473C3B" w:rsidRPr="00671E8F" w:rsidRDefault="00473C3B" w:rsidP="00473C3B">
      <w:pPr>
        <w:spacing w:before="40" w:after="120" w:line="240" w:lineRule="auto"/>
        <w:rPr>
          <w:rFonts w:ascii="Calibri" w:eastAsia="MS PGothic" w:hAnsi="Calibri" w:cs="Calibri"/>
          <w:color w:val="44546A"/>
          <w:sz w:val="16"/>
          <w:szCs w:val="16"/>
          <w:lang w:eastAsia="ja-JP"/>
        </w:rPr>
      </w:pPr>
      <w:r w:rsidRPr="00671E8F">
        <w:rPr>
          <w:rFonts w:ascii="Calibri" w:eastAsia="MS PGothic" w:hAnsi="Calibri" w:cs="Calibri"/>
          <w:color w:val="44546A"/>
          <w:sz w:val="16"/>
          <w:szCs w:val="16"/>
          <w:lang w:eastAsia="ja-JP"/>
        </w:rPr>
        <w:t>Извор: Финансијски извештаји (АПР) и квартални извештај за 2024. годину</w:t>
      </w:r>
    </w:p>
    <w:p w14:paraId="69A1D389" w14:textId="27A476F8" w:rsidR="00473C3B" w:rsidRPr="00560E5F" w:rsidRDefault="00473C3B" w:rsidP="00473C3B">
      <w:pPr>
        <w:spacing w:before="40" w:after="120" w:line="240" w:lineRule="auto"/>
        <w:rPr>
          <w:rFonts w:ascii="Calibri" w:eastAsia="MS PGothic" w:hAnsi="Calibri" w:cs="Calibri"/>
          <w:color w:val="44546A"/>
          <w:sz w:val="16"/>
          <w:szCs w:val="16"/>
          <w:lang w:val="sr-Cyrl-RS" w:eastAsia="ja-JP"/>
        </w:rPr>
        <w:sectPr w:rsidR="00473C3B" w:rsidRPr="00560E5F" w:rsidSect="00F45C01">
          <w:type w:val="continuous"/>
          <w:pgSz w:w="12240" w:h="15840"/>
          <w:pgMar w:top="1440" w:right="1440" w:bottom="1440" w:left="1440" w:header="720" w:footer="720" w:gutter="0"/>
          <w:cols w:num="2" w:space="720"/>
          <w:docGrid w:linePitch="360"/>
        </w:sectPr>
      </w:pPr>
      <w:r w:rsidRPr="00671E8F">
        <w:rPr>
          <w:rFonts w:eastAsia="MS PGothic" w:cstheme="minorHAnsi"/>
          <w:szCs w:val="20"/>
          <w:lang w:eastAsia="ja-JP"/>
        </w:rPr>
        <w:t>Укупан нето резултат утврђен у другом кварталу 2024. године је добитак у износу од 36,8 млрд динара. Резултат текуће године је прецењен за трошкове амортизације ЈП „Путеви Србије”, јер предузеће ове трошкове књижи тек на крају године у целокупном износу за дату годину. Пословни приходи и укупни приходи код државних предузећа бележе растући тренд и у последње три године најбоље остварење забележено је на крају 2023. године, док је код пословних расхода и укупних расхода дошло до нешто мањег смањења у односу на 2022. годину што је у складу са рационалнијим пословањем предузећ</w:t>
      </w:r>
      <w:r w:rsidR="00560E5F">
        <w:rPr>
          <w:rFonts w:eastAsia="MS PGothic" w:cstheme="minorHAnsi"/>
          <w:szCs w:val="20"/>
          <w:lang w:val="sr-Cyrl-RS" w:eastAsia="ja-JP"/>
        </w:rPr>
        <w:t>а.</w:t>
      </w:r>
    </w:p>
    <w:p w14:paraId="003D1700" w14:textId="1BB847E4"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lastRenderedPageBreak/>
        <w:t>Табела 1</w:t>
      </w:r>
      <w:r w:rsidR="00FC5CD7" w:rsidRPr="00671E8F">
        <w:rPr>
          <w:rFonts w:eastAsia="MS PGothic" w:cstheme="minorHAnsi"/>
          <w:b/>
          <w:color w:val="002060"/>
          <w:szCs w:val="20"/>
          <w:lang w:eastAsia="ja-JP"/>
        </w:rPr>
        <w:t>7</w:t>
      </w:r>
      <w:r w:rsidRPr="00671E8F">
        <w:rPr>
          <w:rFonts w:eastAsia="MS PGothic" w:cstheme="minorHAnsi"/>
          <w:b/>
          <w:color w:val="002060"/>
          <w:szCs w:val="20"/>
          <w:lang w:eastAsia="ja-JP"/>
        </w:rPr>
        <w:t xml:space="preserve">. Основни показатељи пословања државних предузећа на дан 30.06.2024. године, </w:t>
      </w:r>
      <w:r w:rsidRPr="00671E8F">
        <w:rPr>
          <w:rFonts w:eastAsia="MS PGothic" w:cstheme="minorHAnsi"/>
          <w:b/>
          <w:color w:val="002060"/>
          <w:szCs w:val="20"/>
          <w:lang w:eastAsia="ja-JP"/>
        </w:rPr>
        <w:br w:type="textWrapping" w:clear="all"/>
        <w:t>у млрд динара</w:t>
      </w:r>
    </w:p>
    <w:tbl>
      <w:tblPr>
        <w:tblW w:w="5000" w:type="pct"/>
        <w:jc w:val="center"/>
        <w:tblLook w:val="04A0" w:firstRow="1" w:lastRow="0" w:firstColumn="1" w:lastColumn="0" w:noHBand="0" w:noVBand="1"/>
      </w:tblPr>
      <w:tblGrid>
        <w:gridCol w:w="4458"/>
        <w:gridCol w:w="1164"/>
        <w:gridCol w:w="1164"/>
        <w:gridCol w:w="1164"/>
        <w:gridCol w:w="1410"/>
      </w:tblGrid>
      <w:tr w:rsidR="00473C3B" w:rsidRPr="00671E8F" w14:paraId="5A9FE411" w14:textId="77777777" w:rsidTr="00473C3B">
        <w:trPr>
          <w:trHeight w:val="20"/>
          <w:jc w:val="center"/>
        </w:trPr>
        <w:tc>
          <w:tcPr>
            <w:tcW w:w="2381" w:type="pct"/>
            <w:tcBorders>
              <w:top w:val="single" w:sz="4" w:space="0" w:color="002060"/>
              <w:left w:val="nil"/>
              <w:bottom w:val="single" w:sz="4" w:space="0" w:color="002060"/>
              <w:right w:val="nil"/>
            </w:tcBorders>
            <w:shd w:val="clear" w:color="auto" w:fill="FFFFFF" w:themeFill="background1"/>
            <w:noWrap/>
            <w:vAlign w:val="center"/>
            <w:hideMark/>
          </w:tcPr>
          <w:p w14:paraId="42A8018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Опис</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424EE65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67E87BF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5CE88813"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c>
          <w:tcPr>
            <w:tcW w:w="753" w:type="pct"/>
            <w:tcBorders>
              <w:top w:val="single" w:sz="4" w:space="0" w:color="002060"/>
              <w:left w:val="nil"/>
              <w:bottom w:val="single" w:sz="4" w:space="0" w:color="002060"/>
              <w:right w:val="nil"/>
            </w:tcBorders>
            <w:shd w:val="clear" w:color="auto" w:fill="FFFFFF" w:themeFill="background1"/>
            <w:noWrap/>
            <w:vAlign w:val="center"/>
            <w:hideMark/>
          </w:tcPr>
          <w:p w14:paraId="5FB91678"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Q2 2024</w:t>
            </w:r>
          </w:p>
        </w:tc>
      </w:tr>
      <w:tr w:rsidR="00473C3B" w:rsidRPr="00671E8F" w14:paraId="69E2805F"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42FD3E4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Пословни приходи</w:t>
            </w:r>
          </w:p>
        </w:tc>
        <w:tc>
          <w:tcPr>
            <w:tcW w:w="622" w:type="pct"/>
            <w:tcBorders>
              <w:top w:val="nil"/>
              <w:left w:val="nil"/>
              <w:bottom w:val="nil"/>
              <w:right w:val="nil"/>
            </w:tcBorders>
            <w:shd w:val="clear" w:color="000000" w:fill="FFFFFF"/>
            <w:noWrap/>
            <w:vAlign w:val="center"/>
            <w:hideMark/>
          </w:tcPr>
          <w:p w14:paraId="084B55C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739,1</w:t>
            </w:r>
          </w:p>
        </w:tc>
        <w:tc>
          <w:tcPr>
            <w:tcW w:w="622" w:type="pct"/>
            <w:tcBorders>
              <w:top w:val="nil"/>
              <w:left w:val="nil"/>
              <w:bottom w:val="nil"/>
              <w:right w:val="nil"/>
            </w:tcBorders>
            <w:shd w:val="clear" w:color="000000" w:fill="FFFFFF"/>
            <w:noWrap/>
            <w:vAlign w:val="center"/>
            <w:hideMark/>
          </w:tcPr>
          <w:p w14:paraId="4D25A1C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905,2</w:t>
            </w:r>
          </w:p>
        </w:tc>
        <w:tc>
          <w:tcPr>
            <w:tcW w:w="622" w:type="pct"/>
            <w:tcBorders>
              <w:top w:val="nil"/>
              <w:left w:val="nil"/>
              <w:bottom w:val="nil"/>
              <w:right w:val="nil"/>
            </w:tcBorders>
            <w:shd w:val="clear" w:color="000000" w:fill="FFFFFF"/>
            <w:noWrap/>
            <w:vAlign w:val="center"/>
            <w:hideMark/>
          </w:tcPr>
          <w:p w14:paraId="37BC593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1.018,5</w:t>
            </w:r>
          </w:p>
        </w:tc>
        <w:tc>
          <w:tcPr>
            <w:tcW w:w="753" w:type="pct"/>
            <w:tcBorders>
              <w:top w:val="nil"/>
              <w:left w:val="nil"/>
              <w:bottom w:val="nil"/>
              <w:right w:val="nil"/>
            </w:tcBorders>
            <w:shd w:val="clear" w:color="000000" w:fill="FFFFFF"/>
            <w:noWrap/>
            <w:vAlign w:val="center"/>
            <w:hideMark/>
          </w:tcPr>
          <w:p w14:paraId="4FB83BF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502,6</w:t>
            </w:r>
          </w:p>
        </w:tc>
      </w:tr>
      <w:tr w:rsidR="00473C3B" w:rsidRPr="00671E8F" w14:paraId="41DF9D03"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3163BB7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Пословни расходи</w:t>
            </w:r>
          </w:p>
        </w:tc>
        <w:tc>
          <w:tcPr>
            <w:tcW w:w="622" w:type="pct"/>
            <w:tcBorders>
              <w:top w:val="nil"/>
              <w:left w:val="nil"/>
              <w:bottom w:val="nil"/>
              <w:right w:val="nil"/>
            </w:tcBorders>
            <w:shd w:val="clear" w:color="000000" w:fill="FFFFFF"/>
            <w:noWrap/>
            <w:vAlign w:val="center"/>
            <w:hideMark/>
          </w:tcPr>
          <w:p w14:paraId="5A1AAC5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741,0</w:t>
            </w:r>
          </w:p>
        </w:tc>
        <w:tc>
          <w:tcPr>
            <w:tcW w:w="622" w:type="pct"/>
            <w:tcBorders>
              <w:top w:val="nil"/>
              <w:left w:val="nil"/>
              <w:bottom w:val="nil"/>
              <w:right w:val="nil"/>
            </w:tcBorders>
            <w:shd w:val="clear" w:color="000000" w:fill="FFFFFF"/>
            <w:noWrap/>
            <w:vAlign w:val="center"/>
            <w:hideMark/>
          </w:tcPr>
          <w:p w14:paraId="4C52CB6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950,9</w:t>
            </w:r>
          </w:p>
        </w:tc>
        <w:tc>
          <w:tcPr>
            <w:tcW w:w="622" w:type="pct"/>
            <w:tcBorders>
              <w:top w:val="nil"/>
              <w:left w:val="nil"/>
              <w:bottom w:val="nil"/>
              <w:right w:val="nil"/>
            </w:tcBorders>
            <w:shd w:val="clear" w:color="000000" w:fill="FFFFFF"/>
            <w:noWrap/>
            <w:vAlign w:val="center"/>
            <w:hideMark/>
          </w:tcPr>
          <w:p w14:paraId="1F528FB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870,9</w:t>
            </w:r>
          </w:p>
        </w:tc>
        <w:tc>
          <w:tcPr>
            <w:tcW w:w="753" w:type="pct"/>
            <w:tcBorders>
              <w:top w:val="nil"/>
              <w:left w:val="nil"/>
              <w:bottom w:val="nil"/>
              <w:right w:val="nil"/>
            </w:tcBorders>
            <w:shd w:val="clear" w:color="000000" w:fill="FFFFFF"/>
            <w:noWrap/>
            <w:vAlign w:val="center"/>
            <w:hideMark/>
          </w:tcPr>
          <w:p w14:paraId="3D60B3D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446,0</w:t>
            </w:r>
          </w:p>
        </w:tc>
      </w:tr>
      <w:tr w:rsidR="00473C3B" w:rsidRPr="00671E8F" w14:paraId="44A29868"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3A97637E" w14:textId="77777777" w:rsidR="00473C3B" w:rsidRPr="00671E8F" w:rsidRDefault="00473C3B" w:rsidP="00473C3B">
            <w:pPr>
              <w:spacing w:after="0" w:line="240" w:lineRule="auto"/>
              <w:ind w:firstLineChars="100" w:firstLine="180"/>
              <w:jc w:val="left"/>
              <w:rPr>
                <w:rFonts w:eastAsia="Times New Roman" w:cstheme="minorHAnsi"/>
                <w:color w:val="002060"/>
                <w:sz w:val="18"/>
                <w:szCs w:val="18"/>
              </w:rPr>
            </w:pPr>
            <w:r w:rsidRPr="00671E8F">
              <w:rPr>
                <w:rFonts w:eastAsia="Times New Roman" w:cstheme="minorHAnsi"/>
                <w:color w:val="002060"/>
                <w:sz w:val="18"/>
                <w:szCs w:val="18"/>
              </w:rPr>
              <w:t>Трошкови зарада*</w:t>
            </w:r>
          </w:p>
        </w:tc>
        <w:tc>
          <w:tcPr>
            <w:tcW w:w="622" w:type="pct"/>
            <w:tcBorders>
              <w:top w:val="nil"/>
              <w:left w:val="nil"/>
              <w:bottom w:val="nil"/>
              <w:right w:val="nil"/>
            </w:tcBorders>
            <w:shd w:val="clear" w:color="000000" w:fill="FFFFFF"/>
            <w:noWrap/>
            <w:vAlign w:val="center"/>
            <w:hideMark/>
          </w:tcPr>
          <w:p w14:paraId="5CD0A5B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115,0</w:t>
            </w:r>
          </w:p>
        </w:tc>
        <w:tc>
          <w:tcPr>
            <w:tcW w:w="622" w:type="pct"/>
            <w:tcBorders>
              <w:top w:val="nil"/>
              <w:left w:val="nil"/>
              <w:bottom w:val="nil"/>
              <w:right w:val="nil"/>
            </w:tcBorders>
            <w:shd w:val="clear" w:color="000000" w:fill="FFFFFF"/>
            <w:noWrap/>
            <w:vAlign w:val="center"/>
            <w:hideMark/>
          </w:tcPr>
          <w:p w14:paraId="4B7298F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118,5</w:t>
            </w:r>
          </w:p>
        </w:tc>
        <w:tc>
          <w:tcPr>
            <w:tcW w:w="622" w:type="pct"/>
            <w:tcBorders>
              <w:top w:val="nil"/>
              <w:left w:val="nil"/>
              <w:bottom w:val="nil"/>
              <w:right w:val="nil"/>
            </w:tcBorders>
            <w:shd w:val="clear" w:color="000000" w:fill="FFFFFF"/>
            <w:noWrap/>
            <w:vAlign w:val="center"/>
            <w:hideMark/>
          </w:tcPr>
          <w:p w14:paraId="06628DF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127,9</w:t>
            </w:r>
          </w:p>
        </w:tc>
        <w:tc>
          <w:tcPr>
            <w:tcW w:w="753" w:type="pct"/>
            <w:tcBorders>
              <w:top w:val="nil"/>
              <w:left w:val="nil"/>
              <w:bottom w:val="nil"/>
              <w:right w:val="nil"/>
            </w:tcBorders>
            <w:shd w:val="clear" w:color="000000" w:fill="FFFFFF"/>
            <w:noWrap/>
            <w:vAlign w:val="center"/>
            <w:hideMark/>
          </w:tcPr>
          <w:p w14:paraId="0DEC7DC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68,6</w:t>
            </w:r>
          </w:p>
        </w:tc>
      </w:tr>
      <w:tr w:rsidR="00473C3B" w:rsidRPr="00671E8F" w14:paraId="7CF23F78"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2CBDA872"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ЕБИТ (пословни резултат)</w:t>
            </w:r>
          </w:p>
        </w:tc>
        <w:tc>
          <w:tcPr>
            <w:tcW w:w="622" w:type="pct"/>
            <w:tcBorders>
              <w:top w:val="nil"/>
              <w:left w:val="nil"/>
              <w:bottom w:val="nil"/>
              <w:right w:val="nil"/>
            </w:tcBorders>
            <w:shd w:val="clear" w:color="000000" w:fill="FFFFFF"/>
            <w:noWrap/>
            <w:vAlign w:val="center"/>
            <w:hideMark/>
          </w:tcPr>
          <w:p w14:paraId="02F3EF0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(1,9)</w:t>
            </w:r>
          </w:p>
        </w:tc>
        <w:tc>
          <w:tcPr>
            <w:tcW w:w="622" w:type="pct"/>
            <w:tcBorders>
              <w:top w:val="nil"/>
              <w:left w:val="nil"/>
              <w:bottom w:val="nil"/>
              <w:right w:val="nil"/>
            </w:tcBorders>
            <w:shd w:val="clear" w:color="000000" w:fill="FFFFFF"/>
            <w:noWrap/>
            <w:vAlign w:val="center"/>
            <w:hideMark/>
          </w:tcPr>
          <w:p w14:paraId="6325188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(45,7)</w:t>
            </w:r>
          </w:p>
        </w:tc>
        <w:tc>
          <w:tcPr>
            <w:tcW w:w="622" w:type="pct"/>
            <w:tcBorders>
              <w:top w:val="nil"/>
              <w:left w:val="nil"/>
              <w:bottom w:val="nil"/>
              <w:right w:val="nil"/>
            </w:tcBorders>
            <w:shd w:val="clear" w:color="000000" w:fill="FFFFFF"/>
            <w:noWrap/>
            <w:vAlign w:val="center"/>
            <w:hideMark/>
          </w:tcPr>
          <w:p w14:paraId="212A2BF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147,6</w:t>
            </w:r>
          </w:p>
        </w:tc>
        <w:tc>
          <w:tcPr>
            <w:tcW w:w="753" w:type="pct"/>
            <w:tcBorders>
              <w:top w:val="nil"/>
              <w:left w:val="nil"/>
              <w:bottom w:val="nil"/>
              <w:right w:val="nil"/>
            </w:tcBorders>
            <w:shd w:val="clear" w:color="000000" w:fill="FFFFFF"/>
            <w:noWrap/>
            <w:vAlign w:val="center"/>
            <w:hideMark/>
          </w:tcPr>
          <w:p w14:paraId="69E4789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56,5</w:t>
            </w:r>
          </w:p>
        </w:tc>
      </w:tr>
      <w:tr w:rsidR="00473C3B" w:rsidRPr="00671E8F" w14:paraId="2360EBF9"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7479D4E7"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Укупни приходи</w:t>
            </w:r>
          </w:p>
        </w:tc>
        <w:tc>
          <w:tcPr>
            <w:tcW w:w="622" w:type="pct"/>
            <w:tcBorders>
              <w:top w:val="nil"/>
              <w:left w:val="nil"/>
              <w:bottom w:val="nil"/>
              <w:right w:val="nil"/>
            </w:tcBorders>
            <w:shd w:val="clear" w:color="000000" w:fill="FFFFFF"/>
            <w:noWrap/>
            <w:vAlign w:val="center"/>
            <w:hideMark/>
          </w:tcPr>
          <w:p w14:paraId="00E99AE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775,8</w:t>
            </w:r>
          </w:p>
        </w:tc>
        <w:tc>
          <w:tcPr>
            <w:tcW w:w="622" w:type="pct"/>
            <w:tcBorders>
              <w:top w:val="nil"/>
              <w:left w:val="nil"/>
              <w:bottom w:val="nil"/>
              <w:right w:val="nil"/>
            </w:tcBorders>
            <w:shd w:val="clear" w:color="000000" w:fill="FFFFFF"/>
            <w:noWrap/>
            <w:vAlign w:val="center"/>
            <w:hideMark/>
          </w:tcPr>
          <w:p w14:paraId="1CE95D6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937,7</w:t>
            </w:r>
          </w:p>
        </w:tc>
        <w:tc>
          <w:tcPr>
            <w:tcW w:w="622" w:type="pct"/>
            <w:tcBorders>
              <w:top w:val="nil"/>
              <w:left w:val="nil"/>
              <w:bottom w:val="nil"/>
              <w:right w:val="nil"/>
            </w:tcBorders>
            <w:shd w:val="clear" w:color="000000" w:fill="FFFFFF"/>
            <w:noWrap/>
            <w:vAlign w:val="center"/>
            <w:hideMark/>
          </w:tcPr>
          <w:p w14:paraId="3FB1E49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1.057,5</w:t>
            </w:r>
          </w:p>
        </w:tc>
        <w:tc>
          <w:tcPr>
            <w:tcW w:w="753" w:type="pct"/>
            <w:tcBorders>
              <w:top w:val="nil"/>
              <w:left w:val="nil"/>
              <w:bottom w:val="nil"/>
              <w:right w:val="nil"/>
            </w:tcBorders>
            <w:shd w:val="clear" w:color="000000" w:fill="FFFFFF"/>
            <w:noWrap/>
            <w:vAlign w:val="center"/>
            <w:hideMark/>
          </w:tcPr>
          <w:p w14:paraId="269B002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518,7</w:t>
            </w:r>
          </w:p>
        </w:tc>
      </w:tr>
      <w:tr w:rsidR="00473C3B" w:rsidRPr="00671E8F" w14:paraId="5CCD3236"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58497E35"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Укупни расходи</w:t>
            </w:r>
          </w:p>
        </w:tc>
        <w:tc>
          <w:tcPr>
            <w:tcW w:w="622" w:type="pct"/>
            <w:tcBorders>
              <w:top w:val="nil"/>
              <w:left w:val="nil"/>
              <w:bottom w:val="nil"/>
              <w:right w:val="nil"/>
            </w:tcBorders>
            <w:shd w:val="clear" w:color="000000" w:fill="FFFFFF"/>
            <w:noWrap/>
            <w:vAlign w:val="center"/>
            <w:hideMark/>
          </w:tcPr>
          <w:p w14:paraId="167B8D6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787,8</w:t>
            </w:r>
          </w:p>
        </w:tc>
        <w:tc>
          <w:tcPr>
            <w:tcW w:w="622" w:type="pct"/>
            <w:tcBorders>
              <w:top w:val="nil"/>
              <w:left w:val="nil"/>
              <w:bottom w:val="nil"/>
              <w:right w:val="nil"/>
            </w:tcBorders>
            <w:shd w:val="clear" w:color="000000" w:fill="FFFFFF"/>
            <w:noWrap/>
            <w:vAlign w:val="center"/>
            <w:hideMark/>
          </w:tcPr>
          <w:p w14:paraId="1CED3DB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1.006,0</w:t>
            </w:r>
          </w:p>
        </w:tc>
        <w:tc>
          <w:tcPr>
            <w:tcW w:w="622" w:type="pct"/>
            <w:tcBorders>
              <w:top w:val="nil"/>
              <w:left w:val="nil"/>
              <w:bottom w:val="nil"/>
              <w:right w:val="nil"/>
            </w:tcBorders>
            <w:shd w:val="clear" w:color="000000" w:fill="FFFFFF"/>
            <w:noWrap/>
            <w:vAlign w:val="center"/>
            <w:hideMark/>
          </w:tcPr>
          <w:p w14:paraId="5465EC1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921,8</w:t>
            </w:r>
          </w:p>
        </w:tc>
        <w:tc>
          <w:tcPr>
            <w:tcW w:w="753" w:type="pct"/>
            <w:tcBorders>
              <w:top w:val="nil"/>
              <w:left w:val="nil"/>
              <w:bottom w:val="nil"/>
              <w:right w:val="nil"/>
            </w:tcBorders>
            <w:shd w:val="clear" w:color="000000" w:fill="FFFFFF"/>
            <w:noWrap/>
            <w:vAlign w:val="center"/>
            <w:hideMark/>
          </w:tcPr>
          <w:p w14:paraId="651E772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472,9</w:t>
            </w:r>
          </w:p>
        </w:tc>
      </w:tr>
      <w:tr w:rsidR="00473C3B" w:rsidRPr="00671E8F" w14:paraId="2D778C61" w14:textId="77777777" w:rsidTr="00473C3B">
        <w:trPr>
          <w:trHeight w:val="20"/>
          <w:jc w:val="center"/>
        </w:trPr>
        <w:tc>
          <w:tcPr>
            <w:tcW w:w="2381" w:type="pct"/>
            <w:tcBorders>
              <w:top w:val="nil"/>
              <w:left w:val="nil"/>
              <w:bottom w:val="nil"/>
              <w:right w:val="nil"/>
            </w:tcBorders>
            <w:shd w:val="clear" w:color="000000" w:fill="FFFFFF"/>
            <w:noWrap/>
            <w:vAlign w:val="center"/>
            <w:hideMark/>
          </w:tcPr>
          <w:p w14:paraId="470C19CF"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Нето резултат</w:t>
            </w:r>
          </w:p>
        </w:tc>
        <w:tc>
          <w:tcPr>
            <w:tcW w:w="622" w:type="pct"/>
            <w:tcBorders>
              <w:top w:val="nil"/>
              <w:left w:val="nil"/>
              <w:bottom w:val="nil"/>
              <w:right w:val="nil"/>
            </w:tcBorders>
            <w:shd w:val="clear" w:color="000000" w:fill="FFFFFF"/>
            <w:noWrap/>
            <w:vAlign w:val="center"/>
            <w:hideMark/>
          </w:tcPr>
          <w:p w14:paraId="3646EC0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(13,9)</w:t>
            </w:r>
          </w:p>
        </w:tc>
        <w:tc>
          <w:tcPr>
            <w:tcW w:w="622" w:type="pct"/>
            <w:tcBorders>
              <w:top w:val="nil"/>
              <w:left w:val="nil"/>
              <w:bottom w:val="nil"/>
              <w:right w:val="nil"/>
            </w:tcBorders>
            <w:shd w:val="clear" w:color="000000" w:fill="FFFFFF"/>
            <w:noWrap/>
            <w:vAlign w:val="center"/>
            <w:hideMark/>
          </w:tcPr>
          <w:p w14:paraId="59D96324"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(68,8)</w:t>
            </w:r>
          </w:p>
        </w:tc>
        <w:tc>
          <w:tcPr>
            <w:tcW w:w="622" w:type="pct"/>
            <w:tcBorders>
              <w:top w:val="nil"/>
              <w:left w:val="nil"/>
              <w:bottom w:val="nil"/>
              <w:right w:val="nil"/>
            </w:tcBorders>
            <w:shd w:val="clear" w:color="000000" w:fill="FFFFFF"/>
            <w:noWrap/>
            <w:vAlign w:val="center"/>
            <w:hideMark/>
          </w:tcPr>
          <w:p w14:paraId="03BD486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114,3</w:t>
            </w:r>
          </w:p>
        </w:tc>
        <w:tc>
          <w:tcPr>
            <w:tcW w:w="753" w:type="pct"/>
            <w:tcBorders>
              <w:top w:val="nil"/>
              <w:left w:val="nil"/>
              <w:bottom w:val="nil"/>
              <w:right w:val="nil"/>
            </w:tcBorders>
            <w:shd w:val="clear" w:color="000000" w:fill="FFFFFF"/>
            <w:noWrap/>
            <w:vAlign w:val="center"/>
            <w:hideMark/>
          </w:tcPr>
          <w:p w14:paraId="0F904A1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36,8</w:t>
            </w:r>
          </w:p>
        </w:tc>
      </w:tr>
      <w:tr w:rsidR="00473C3B" w:rsidRPr="00671E8F" w14:paraId="1125F70C" w14:textId="77777777" w:rsidTr="00473C3B">
        <w:trPr>
          <w:trHeight w:val="20"/>
          <w:jc w:val="center"/>
        </w:trPr>
        <w:tc>
          <w:tcPr>
            <w:tcW w:w="2381" w:type="pct"/>
            <w:tcBorders>
              <w:top w:val="single" w:sz="4" w:space="0" w:color="002060"/>
              <w:left w:val="nil"/>
              <w:bottom w:val="single" w:sz="4" w:space="0" w:color="002060"/>
              <w:right w:val="nil"/>
            </w:tcBorders>
            <w:shd w:val="clear" w:color="auto" w:fill="FFFFFF" w:themeFill="background1"/>
            <w:noWrap/>
            <w:vAlign w:val="center"/>
            <w:hideMark/>
          </w:tcPr>
          <w:p w14:paraId="5E514346"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Број ДП која су остварила добит</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6E8EACB1"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26</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72840174"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25</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4D38A26C"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28</w:t>
            </w:r>
          </w:p>
        </w:tc>
        <w:tc>
          <w:tcPr>
            <w:tcW w:w="753" w:type="pct"/>
            <w:tcBorders>
              <w:top w:val="single" w:sz="4" w:space="0" w:color="002060"/>
              <w:left w:val="nil"/>
              <w:bottom w:val="single" w:sz="4" w:space="0" w:color="002060"/>
              <w:right w:val="nil"/>
            </w:tcBorders>
            <w:shd w:val="clear" w:color="auto" w:fill="FFFFFF" w:themeFill="background1"/>
            <w:noWrap/>
            <w:vAlign w:val="center"/>
            <w:hideMark/>
          </w:tcPr>
          <w:p w14:paraId="10BBD6A3"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22</w:t>
            </w:r>
          </w:p>
        </w:tc>
      </w:tr>
      <w:tr w:rsidR="00473C3B" w:rsidRPr="00671E8F" w14:paraId="235B2A23" w14:textId="77777777" w:rsidTr="00473C3B">
        <w:trPr>
          <w:trHeight w:val="20"/>
          <w:jc w:val="center"/>
        </w:trPr>
        <w:tc>
          <w:tcPr>
            <w:tcW w:w="2381" w:type="pct"/>
            <w:tcBorders>
              <w:top w:val="nil"/>
              <w:left w:val="nil"/>
              <w:bottom w:val="single" w:sz="4" w:space="0" w:color="002060"/>
              <w:right w:val="nil"/>
            </w:tcBorders>
            <w:shd w:val="clear" w:color="auto" w:fill="FFFFFF" w:themeFill="background1"/>
            <w:noWrap/>
            <w:vAlign w:val="center"/>
            <w:hideMark/>
          </w:tcPr>
          <w:p w14:paraId="788333F0"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Број ДП која су остварила губитак</w:t>
            </w:r>
          </w:p>
        </w:tc>
        <w:tc>
          <w:tcPr>
            <w:tcW w:w="622" w:type="pct"/>
            <w:tcBorders>
              <w:top w:val="nil"/>
              <w:left w:val="nil"/>
              <w:bottom w:val="single" w:sz="4" w:space="0" w:color="002060"/>
              <w:right w:val="nil"/>
            </w:tcBorders>
            <w:shd w:val="clear" w:color="auto" w:fill="FFFFFF" w:themeFill="background1"/>
            <w:noWrap/>
            <w:vAlign w:val="center"/>
            <w:hideMark/>
          </w:tcPr>
          <w:p w14:paraId="5C6C8150"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10</w:t>
            </w:r>
          </w:p>
        </w:tc>
        <w:tc>
          <w:tcPr>
            <w:tcW w:w="622" w:type="pct"/>
            <w:tcBorders>
              <w:top w:val="nil"/>
              <w:left w:val="nil"/>
              <w:bottom w:val="single" w:sz="4" w:space="0" w:color="002060"/>
              <w:right w:val="nil"/>
            </w:tcBorders>
            <w:shd w:val="clear" w:color="auto" w:fill="FFFFFF" w:themeFill="background1"/>
            <w:noWrap/>
            <w:vAlign w:val="center"/>
            <w:hideMark/>
          </w:tcPr>
          <w:p w14:paraId="49A9AF1B"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11</w:t>
            </w:r>
          </w:p>
        </w:tc>
        <w:tc>
          <w:tcPr>
            <w:tcW w:w="622" w:type="pct"/>
            <w:tcBorders>
              <w:top w:val="nil"/>
              <w:left w:val="nil"/>
              <w:bottom w:val="single" w:sz="4" w:space="0" w:color="002060"/>
              <w:right w:val="nil"/>
            </w:tcBorders>
            <w:shd w:val="clear" w:color="auto" w:fill="FFFFFF" w:themeFill="background1"/>
            <w:noWrap/>
            <w:vAlign w:val="center"/>
            <w:hideMark/>
          </w:tcPr>
          <w:p w14:paraId="0DAF7EDF"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8</w:t>
            </w:r>
          </w:p>
        </w:tc>
        <w:tc>
          <w:tcPr>
            <w:tcW w:w="753" w:type="pct"/>
            <w:tcBorders>
              <w:top w:val="nil"/>
              <w:left w:val="nil"/>
              <w:bottom w:val="single" w:sz="4" w:space="0" w:color="002060"/>
              <w:right w:val="nil"/>
            </w:tcBorders>
            <w:shd w:val="clear" w:color="auto" w:fill="FFFFFF" w:themeFill="background1"/>
            <w:noWrap/>
            <w:vAlign w:val="center"/>
            <w:hideMark/>
          </w:tcPr>
          <w:p w14:paraId="20A2DF3F"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14</w:t>
            </w:r>
          </w:p>
        </w:tc>
      </w:tr>
    </w:tbl>
    <w:p w14:paraId="7B6C47AB" w14:textId="77777777" w:rsidR="00473C3B" w:rsidRPr="00671E8F" w:rsidRDefault="00473C3B" w:rsidP="00473C3B">
      <w:pPr>
        <w:spacing w:after="0" w:line="276" w:lineRule="auto"/>
        <w:rPr>
          <w:rFonts w:ascii="Calibri" w:eastAsia="MS PGothic" w:hAnsi="Calibri" w:cs="Calibri"/>
          <w:color w:val="44546A"/>
          <w:sz w:val="16"/>
          <w:szCs w:val="16"/>
          <w:lang w:eastAsia="ja-JP"/>
        </w:rPr>
      </w:pPr>
      <w:r w:rsidRPr="00671E8F">
        <w:rPr>
          <w:rFonts w:ascii="Calibri" w:eastAsia="MS PGothic" w:hAnsi="Calibri" w:cs="Calibri"/>
          <w:color w:val="44546A"/>
          <w:sz w:val="16"/>
          <w:szCs w:val="16"/>
          <w:lang w:eastAsia="ja-JP"/>
        </w:rPr>
        <w:t>* Трошкови зарада, накнада зарада и остали лични расходи</w:t>
      </w:r>
    </w:p>
    <w:p w14:paraId="04066BDA" w14:textId="77777777" w:rsidR="00473C3B" w:rsidRPr="00671E8F" w:rsidRDefault="00473C3B" w:rsidP="00473C3B">
      <w:pPr>
        <w:spacing w:after="0" w:line="276" w:lineRule="auto"/>
        <w:rPr>
          <w:rFonts w:ascii="Calibri" w:eastAsia="MS PGothic" w:hAnsi="Calibri" w:cs="Calibri"/>
          <w:color w:val="44546A"/>
          <w:sz w:val="16"/>
          <w:szCs w:val="16"/>
          <w:lang w:eastAsia="ja-JP"/>
        </w:rPr>
      </w:pPr>
      <w:r w:rsidRPr="00671E8F">
        <w:rPr>
          <w:rFonts w:ascii="Calibri" w:eastAsia="MS PGothic" w:hAnsi="Calibri" w:cs="Calibri"/>
          <w:color w:val="44546A"/>
          <w:sz w:val="16"/>
          <w:szCs w:val="16"/>
          <w:lang w:eastAsia="ja-JP"/>
        </w:rPr>
        <w:t>Извор: Финансијски извештаји (АПР) и квартални извештај за 2024. годину</w:t>
      </w:r>
    </w:p>
    <w:p w14:paraId="05644013" w14:textId="77777777" w:rsidR="00473C3B" w:rsidRPr="00671E8F" w:rsidRDefault="00473C3B" w:rsidP="00473C3B">
      <w:pPr>
        <w:spacing w:after="0" w:line="276" w:lineRule="auto"/>
        <w:rPr>
          <w:rFonts w:ascii="Calibri" w:eastAsia="MS PGothic" w:hAnsi="Calibri" w:cs="Calibri"/>
          <w:color w:val="44546A"/>
          <w:sz w:val="16"/>
          <w:szCs w:val="16"/>
          <w:highlight w:val="yellow"/>
          <w:lang w:eastAsia="ja-JP"/>
        </w:rPr>
      </w:pPr>
    </w:p>
    <w:p w14:paraId="71FABD04" w14:textId="77777777" w:rsidR="00473C3B" w:rsidRPr="00671E8F" w:rsidRDefault="00473C3B" w:rsidP="00473C3B">
      <w:pPr>
        <w:spacing w:after="0" w:line="276" w:lineRule="auto"/>
        <w:rPr>
          <w:rFonts w:ascii="Calibri" w:eastAsia="MS PGothic" w:hAnsi="Calibri" w:cs="Calibri"/>
          <w:color w:val="44546A"/>
          <w:sz w:val="16"/>
          <w:szCs w:val="16"/>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3B32316C" w14:textId="27CB341E" w:rsidR="00473C3B" w:rsidRPr="00671E8F" w:rsidRDefault="00473C3B" w:rsidP="00473C3B">
      <w:pPr>
        <w:spacing w:after="120" w:line="276" w:lineRule="auto"/>
        <w:rPr>
          <w:rFonts w:eastAsia="MS PGothic" w:cstheme="minorHAnsi"/>
          <w:b/>
          <w:bCs/>
          <w:color w:val="002060"/>
          <w:spacing w:val="-4"/>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r w:rsidRPr="00671E8F">
        <w:rPr>
          <w:rFonts w:eastAsia="MS PGothic" w:cstheme="minorHAnsi"/>
          <w:szCs w:val="20"/>
          <w:lang w:eastAsia="ja-JP"/>
        </w:rPr>
        <w:t xml:space="preserve">Нето резултат на крају 2023. године остварен је у позитивном износу од </w:t>
      </w:r>
      <w:r w:rsidR="0074568F" w:rsidRPr="00671E8F">
        <w:rPr>
          <w:rFonts w:eastAsia="MS PGothic" w:cstheme="minorHAnsi"/>
          <w:szCs w:val="20"/>
          <w:lang w:eastAsia="ja-JP"/>
        </w:rPr>
        <w:t>114,3</w:t>
      </w:r>
      <w:r w:rsidRPr="00671E8F">
        <w:rPr>
          <w:rFonts w:eastAsia="MS PGothic" w:cstheme="minorHAnsi"/>
          <w:szCs w:val="20"/>
          <w:lang w:eastAsia="ja-JP"/>
        </w:rPr>
        <w:t xml:space="preserve"> млрд динара, што представља значајно побољшање у односу на претходне године када су државна предузећа бележила негативан нето резултат. Највећи допринос укупном резултату државних предузећа </w:t>
      </w:r>
      <w:r w:rsidRPr="00671E8F">
        <w:rPr>
          <w:rFonts w:eastAsia="MS PGothic" w:cstheme="minorHAnsi"/>
          <w:szCs w:val="20"/>
          <w:lang w:eastAsia="ja-JP"/>
        </w:rPr>
        <w:t>дала је „Електропривреда Србије” ад. При анализирању кварталних остварења финансијских показатеља потребно је узети у обзир да одређен број предузећа има сезонску компоненту у пословању.</w:t>
      </w:r>
    </w:p>
    <w:p w14:paraId="0F9ED687" w14:textId="77777777" w:rsidR="00473C3B" w:rsidRPr="00671E8F" w:rsidRDefault="00473C3B" w:rsidP="00473C3B">
      <w:pPr>
        <w:spacing w:after="120"/>
        <w:jc w:val="center"/>
        <w:rPr>
          <w:rFonts w:eastAsia="MS PGothic" w:cstheme="minorHAnsi"/>
          <w:b/>
          <w:color w:val="002060"/>
          <w:szCs w:val="20"/>
          <w:highlight w:val="yellow"/>
          <w:lang w:eastAsia="ja-JP"/>
        </w:rPr>
      </w:pPr>
    </w:p>
    <w:p w14:paraId="5B98A7CC" w14:textId="456DA5EC"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 xml:space="preserve">Табела </w:t>
      </w:r>
      <w:r w:rsidR="00FC5CD7" w:rsidRPr="00671E8F">
        <w:rPr>
          <w:rFonts w:eastAsia="MS PGothic" w:cstheme="minorHAnsi"/>
          <w:b/>
          <w:color w:val="002060"/>
          <w:szCs w:val="20"/>
          <w:lang w:eastAsia="ja-JP"/>
        </w:rPr>
        <w:t>18</w:t>
      </w:r>
      <w:r w:rsidRPr="00671E8F">
        <w:rPr>
          <w:rFonts w:eastAsia="MS PGothic" w:cstheme="minorHAnsi"/>
          <w:b/>
          <w:color w:val="002060"/>
          <w:szCs w:val="20"/>
          <w:lang w:eastAsia="ja-JP"/>
        </w:rPr>
        <w:t>. Преглед корисника субвенције (36 ДП) и њихово учешће у укупним расходима буџета РС</w:t>
      </w:r>
    </w:p>
    <w:tbl>
      <w:tblPr>
        <w:tblW w:w="5000" w:type="pct"/>
        <w:tblLook w:val="04A0" w:firstRow="1" w:lastRow="0" w:firstColumn="1" w:lastColumn="0" w:noHBand="0" w:noVBand="1"/>
      </w:tblPr>
      <w:tblGrid>
        <w:gridCol w:w="4396"/>
        <w:gridCol w:w="1241"/>
        <w:gridCol w:w="1241"/>
        <w:gridCol w:w="1241"/>
        <w:gridCol w:w="1241"/>
      </w:tblGrid>
      <w:tr w:rsidR="00473C3B" w:rsidRPr="00671E8F" w14:paraId="7CE5A793" w14:textId="77777777" w:rsidTr="00473C3B">
        <w:trPr>
          <w:trHeight w:val="20"/>
        </w:trPr>
        <w:tc>
          <w:tcPr>
            <w:tcW w:w="2348" w:type="pct"/>
            <w:tcBorders>
              <w:top w:val="single" w:sz="4" w:space="0" w:color="002060"/>
              <w:left w:val="nil"/>
              <w:bottom w:val="single" w:sz="4" w:space="0" w:color="002060"/>
              <w:right w:val="nil"/>
            </w:tcBorders>
            <w:shd w:val="clear" w:color="auto" w:fill="FFFFFF" w:themeFill="background1"/>
            <w:noWrap/>
            <w:vAlign w:val="center"/>
            <w:hideMark/>
          </w:tcPr>
          <w:p w14:paraId="0A6A2424"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Године</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24F92331"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04C7C56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7EEDAA08"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7EA0E10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r>
      <w:tr w:rsidR="00473C3B" w:rsidRPr="00671E8F" w14:paraId="287ABFBE" w14:textId="77777777" w:rsidTr="00473C3B">
        <w:trPr>
          <w:trHeight w:val="20"/>
        </w:trPr>
        <w:tc>
          <w:tcPr>
            <w:tcW w:w="2348" w:type="pct"/>
            <w:tcBorders>
              <w:top w:val="nil"/>
              <w:left w:val="nil"/>
              <w:bottom w:val="nil"/>
              <w:right w:val="nil"/>
            </w:tcBorders>
            <w:shd w:val="clear" w:color="000000" w:fill="FFFFFF"/>
            <w:noWrap/>
            <w:vAlign w:val="center"/>
            <w:hideMark/>
          </w:tcPr>
          <w:p w14:paraId="115AB11C"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Број корисника субвенција (од 36 ДП)</w:t>
            </w:r>
          </w:p>
        </w:tc>
        <w:tc>
          <w:tcPr>
            <w:tcW w:w="663" w:type="pct"/>
            <w:tcBorders>
              <w:top w:val="nil"/>
              <w:left w:val="nil"/>
              <w:bottom w:val="nil"/>
              <w:right w:val="nil"/>
            </w:tcBorders>
            <w:shd w:val="clear" w:color="000000" w:fill="FFFFFF"/>
            <w:noWrap/>
            <w:vAlign w:val="center"/>
            <w:hideMark/>
          </w:tcPr>
          <w:p w14:paraId="5F4938A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23</w:t>
            </w:r>
          </w:p>
        </w:tc>
        <w:tc>
          <w:tcPr>
            <w:tcW w:w="663" w:type="pct"/>
            <w:tcBorders>
              <w:top w:val="nil"/>
              <w:left w:val="nil"/>
              <w:bottom w:val="nil"/>
              <w:right w:val="nil"/>
            </w:tcBorders>
            <w:shd w:val="clear" w:color="000000" w:fill="FFFFFF"/>
            <w:noWrap/>
            <w:vAlign w:val="center"/>
            <w:hideMark/>
          </w:tcPr>
          <w:p w14:paraId="170ED1A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25</w:t>
            </w:r>
          </w:p>
        </w:tc>
        <w:tc>
          <w:tcPr>
            <w:tcW w:w="663" w:type="pct"/>
            <w:tcBorders>
              <w:top w:val="nil"/>
              <w:left w:val="nil"/>
              <w:bottom w:val="nil"/>
              <w:right w:val="nil"/>
            </w:tcBorders>
            <w:shd w:val="clear" w:color="000000" w:fill="FFFFFF"/>
            <w:noWrap/>
            <w:vAlign w:val="center"/>
            <w:hideMark/>
          </w:tcPr>
          <w:p w14:paraId="2E8CF67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25</w:t>
            </w:r>
          </w:p>
        </w:tc>
        <w:tc>
          <w:tcPr>
            <w:tcW w:w="663" w:type="pct"/>
            <w:tcBorders>
              <w:top w:val="nil"/>
              <w:left w:val="nil"/>
              <w:bottom w:val="nil"/>
              <w:right w:val="nil"/>
            </w:tcBorders>
            <w:shd w:val="clear" w:color="000000" w:fill="FFFFFF"/>
            <w:noWrap/>
            <w:vAlign w:val="center"/>
            <w:hideMark/>
          </w:tcPr>
          <w:p w14:paraId="70D7F91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27</w:t>
            </w:r>
          </w:p>
        </w:tc>
      </w:tr>
      <w:tr w:rsidR="00473C3B" w:rsidRPr="00671E8F" w14:paraId="35312EC5" w14:textId="77777777" w:rsidTr="00473C3B">
        <w:trPr>
          <w:trHeight w:val="20"/>
        </w:trPr>
        <w:tc>
          <w:tcPr>
            <w:tcW w:w="2348" w:type="pct"/>
            <w:tcBorders>
              <w:top w:val="nil"/>
              <w:left w:val="nil"/>
              <w:bottom w:val="nil"/>
              <w:right w:val="nil"/>
            </w:tcBorders>
            <w:shd w:val="clear" w:color="000000" w:fill="FFFFFF"/>
            <w:noWrap/>
            <w:vAlign w:val="center"/>
            <w:hideMark/>
          </w:tcPr>
          <w:p w14:paraId="081AA947"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Исплаћене субвенције (млрд РСД)</w:t>
            </w:r>
          </w:p>
        </w:tc>
        <w:tc>
          <w:tcPr>
            <w:tcW w:w="663" w:type="pct"/>
            <w:tcBorders>
              <w:top w:val="nil"/>
              <w:left w:val="nil"/>
              <w:bottom w:val="nil"/>
              <w:right w:val="nil"/>
            </w:tcBorders>
            <w:shd w:val="clear" w:color="000000" w:fill="FFFFFF"/>
            <w:noWrap/>
            <w:vAlign w:val="center"/>
            <w:hideMark/>
          </w:tcPr>
          <w:p w14:paraId="01DCC6B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66,7</w:t>
            </w:r>
          </w:p>
        </w:tc>
        <w:tc>
          <w:tcPr>
            <w:tcW w:w="663" w:type="pct"/>
            <w:tcBorders>
              <w:top w:val="nil"/>
              <w:left w:val="nil"/>
              <w:bottom w:val="nil"/>
              <w:right w:val="nil"/>
            </w:tcBorders>
            <w:shd w:val="clear" w:color="000000" w:fill="FFFFFF"/>
            <w:noWrap/>
            <w:vAlign w:val="center"/>
            <w:hideMark/>
          </w:tcPr>
          <w:p w14:paraId="0DBF02C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67,3</w:t>
            </w:r>
          </w:p>
        </w:tc>
        <w:tc>
          <w:tcPr>
            <w:tcW w:w="663" w:type="pct"/>
            <w:tcBorders>
              <w:top w:val="nil"/>
              <w:left w:val="nil"/>
              <w:bottom w:val="nil"/>
              <w:right w:val="nil"/>
            </w:tcBorders>
            <w:shd w:val="clear" w:color="000000" w:fill="FFFFFF"/>
            <w:noWrap/>
            <w:vAlign w:val="center"/>
            <w:hideMark/>
          </w:tcPr>
          <w:p w14:paraId="73D9CED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56,0</w:t>
            </w:r>
          </w:p>
        </w:tc>
        <w:tc>
          <w:tcPr>
            <w:tcW w:w="663" w:type="pct"/>
            <w:tcBorders>
              <w:top w:val="nil"/>
              <w:left w:val="nil"/>
              <w:bottom w:val="nil"/>
              <w:right w:val="nil"/>
            </w:tcBorders>
            <w:shd w:val="clear" w:color="000000" w:fill="FFFFFF"/>
            <w:noWrap/>
            <w:vAlign w:val="center"/>
            <w:hideMark/>
          </w:tcPr>
          <w:p w14:paraId="05E1742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67,9</w:t>
            </w:r>
          </w:p>
        </w:tc>
      </w:tr>
      <w:tr w:rsidR="00473C3B" w:rsidRPr="00671E8F" w14:paraId="05B135B2" w14:textId="77777777" w:rsidTr="00473C3B">
        <w:trPr>
          <w:trHeight w:val="20"/>
        </w:trPr>
        <w:tc>
          <w:tcPr>
            <w:tcW w:w="2348" w:type="pct"/>
            <w:tcBorders>
              <w:top w:val="nil"/>
              <w:left w:val="nil"/>
              <w:bottom w:val="nil"/>
              <w:right w:val="nil"/>
            </w:tcBorders>
            <w:shd w:val="clear" w:color="000000" w:fill="FFFFFF"/>
            <w:noWrap/>
            <w:vAlign w:val="center"/>
            <w:hideMark/>
          </w:tcPr>
          <w:p w14:paraId="3ADBFD0E"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Укупни расходи буџета РС (млрд РСД)</w:t>
            </w:r>
          </w:p>
        </w:tc>
        <w:tc>
          <w:tcPr>
            <w:tcW w:w="663" w:type="pct"/>
            <w:tcBorders>
              <w:top w:val="nil"/>
              <w:left w:val="nil"/>
              <w:bottom w:val="nil"/>
              <w:right w:val="nil"/>
            </w:tcBorders>
            <w:shd w:val="clear" w:color="000000" w:fill="FFFFFF"/>
            <w:noWrap/>
            <w:vAlign w:val="center"/>
            <w:hideMark/>
          </w:tcPr>
          <w:p w14:paraId="2487D27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1.717</w:t>
            </w:r>
          </w:p>
        </w:tc>
        <w:tc>
          <w:tcPr>
            <w:tcW w:w="663" w:type="pct"/>
            <w:tcBorders>
              <w:top w:val="nil"/>
              <w:left w:val="nil"/>
              <w:bottom w:val="nil"/>
              <w:right w:val="nil"/>
            </w:tcBorders>
            <w:shd w:val="clear" w:color="000000" w:fill="FFFFFF"/>
            <w:noWrap/>
            <w:vAlign w:val="center"/>
            <w:hideMark/>
          </w:tcPr>
          <w:p w14:paraId="09A2B51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1.751</w:t>
            </w:r>
          </w:p>
        </w:tc>
        <w:tc>
          <w:tcPr>
            <w:tcW w:w="663" w:type="pct"/>
            <w:tcBorders>
              <w:top w:val="nil"/>
              <w:left w:val="nil"/>
              <w:bottom w:val="nil"/>
              <w:right w:val="nil"/>
            </w:tcBorders>
            <w:shd w:val="clear" w:color="000000" w:fill="FFFFFF"/>
            <w:noWrap/>
            <w:vAlign w:val="center"/>
            <w:hideMark/>
          </w:tcPr>
          <w:p w14:paraId="420914B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1.915</w:t>
            </w:r>
          </w:p>
        </w:tc>
        <w:tc>
          <w:tcPr>
            <w:tcW w:w="663" w:type="pct"/>
            <w:tcBorders>
              <w:top w:val="nil"/>
              <w:left w:val="nil"/>
              <w:bottom w:val="nil"/>
              <w:right w:val="nil"/>
            </w:tcBorders>
            <w:shd w:val="clear" w:color="000000" w:fill="FFFFFF"/>
            <w:noWrap/>
            <w:vAlign w:val="center"/>
            <w:hideMark/>
          </w:tcPr>
          <w:p w14:paraId="716D35A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2.068</w:t>
            </w:r>
          </w:p>
        </w:tc>
      </w:tr>
      <w:tr w:rsidR="00473C3B" w:rsidRPr="00671E8F" w14:paraId="4AF6EA2D" w14:textId="77777777" w:rsidTr="00473C3B">
        <w:trPr>
          <w:trHeight w:val="20"/>
        </w:trPr>
        <w:tc>
          <w:tcPr>
            <w:tcW w:w="2348" w:type="pct"/>
            <w:tcBorders>
              <w:top w:val="nil"/>
              <w:left w:val="nil"/>
              <w:bottom w:val="single" w:sz="4" w:space="0" w:color="002060"/>
              <w:right w:val="nil"/>
            </w:tcBorders>
            <w:shd w:val="clear" w:color="000000" w:fill="FFFFFF"/>
            <w:noWrap/>
            <w:vAlign w:val="center"/>
            <w:hideMark/>
          </w:tcPr>
          <w:p w14:paraId="7A65AD46" w14:textId="77777777" w:rsidR="00473C3B" w:rsidRPr="00671E8F" w:rsidRDefault="00473C3B" w:rsidP="00473C3B">
            <w:pPr>
              <w:spacing w:after="0" w:line="240" w:lineRule="auto"/>
              <w:jc w:val="left"/>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 исплаћене субвенције/расходи буџета</w:t>
            </w:r>
          </w:p>
        </w:tc>
        <w:tc>
          <w:tcPr>
            <w:tcW w:w="663" w:type="pct"/>
            <w:tcBorders>
              <w:top w:val="nil"/>
              <w:left w:val="nil"/>
              <w:bottom w:val="single" w:sz="4" w:space="0" w:color="002060"/>
              <w:right w:val="nil"/>
            </w:tcBorders>
            <w:shd w:val="clear" w:color="000000" w:fill="FFFFFF"/>
            <w:noWrap/>
            <w:vAlign w:val="center"/>
            <w:hideMark/>
          </w:tcPr>
          <w:p w14:paraId="29B55ECD" w14:textId="77777777" w:rsidR="00473C3B" w:rsidRPr="00671E8F" w:rsidRDefault="00473C3B" w:rsidP="00473C3B">
            <w:pPr>
              <w:spacing w:after="0" w:line="240" w:lineRule="auto"/>
              <w:jc w:val="center"/>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3,9%</w:t>
            </w:r>
          </w:p>
        </w:tc>
        <w:tc>
          <w:tcPr>
            <w:tcW w:w="663" w:type="pct"/>
            <w:tcBorders>
              <w:top w:val="nil"/>
              <w:left w:val="nil"/>
              <w:bottom w:val="single" w:sz="4" w:space="0" w:color="002060"/>
              <w:right w:val="nil"/>
            </w:tcBorders>
            <w:shd w:val="clear" w:color="000000" w:fill="FFFFFF"/>
            <w:noWrap/>
            <w:vAlign w:val="center"/>
            <w:hideMark/>
          </w:tcPr>
          <w:p w14:paraId="2E02A86E" w14:textId="77777777" w:rsidR="00473C3B" w:rsidRPr="00671E8F" w:rsidRDefault="00473C3B" w:rsidP="00473C3B">
            <w:pPr>
              <w:spacing w:after="0" w:line="240" w:lineRule="auto"/>
              <w:jc w:val="center"/>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3,8%</w:t>
            </w:r>
          </w:p>
        </w:tc>
        <w:tc>
          <w:tcPr>
            <w:tcW w:w="663" w:type="pct"/>
            <w:tcBorders>
              <w:top w:val="nil"/>
              <w:left w:val="nil"/>
              <w:bottom w:val="single" w:sz="4" w:space="0" w:color="002060"/>
              <w:right w:val="nil"/>
            </w:tcBorders>
            <w:shd w:val="clear" w:color="000000" w:fill="FFFFFF"/>
            <w:noWrap/>
            <w:vAlign w:val="center"/>
            <w:hideMark/>
          </w:tcPr>
          <w:p w14:paraId="37044227" w14:textId="77777777" w:rsidR="00473C3B" w:rsidRPr="00671E8F" w:rsidRDefault="00473C3B" w:rsidP="00473C3B">
            <w:pPr>
              <w:spacing w:after="0" w:line="240" w:lineRule="auto"/>
              <w:jc w:val="center"/>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2,9%</w:t>
            </w:r>
          </w:p>
        </w:tc>
        <w:tc>
          <w:tcPr>
            <w:tcW w:w="663" w:type="pct"/>
            <w:tcBorders>
              <w:top w:val="nil"/>
              <w:left w:val="nil"/>
              <w:bottom w:val="single" w:sz="4" w:space="0" w:color="002060"/>
              <w:right w:val="nil"/>
            </w:tcBorders>
            <w:shd w:val="clear" w:color="000000" w:fill="FFFFFF"/>
            <w:noWrap/>
            <w:vAlign w:val="center"/>
            <w:hideMark/>
          </w:tcPr>
          <w:p w14:paraId="396AA2DE" w14:textId="77777777" w:rsidR="00473C3B" w:rsidRPr="00671E8F" w:rsidRDefault="00473C3B" w:rsidP="00473C3B">
            <w:pPr>
              <w:spacing w:after="0" w:line="240" w:lineRule="auto"/>
              <w:jc w:val="center"/>
              <w:rPr>
                <w:rFonts w:ascii="Calibri" w:eastAsia="Times New Roman" w:hAnsi="Calibri" w:cs="Calibri"/>
                <w:b/>
                <w:bCs/>
                <w:i/>
                <w:iCs/>
                <w:color w:val="002060"/>
                <w:sz w:val="18"/>
                <w:szCs w:val="18"/>
              </w:rPr>
            </w:pPr>
            <w:r w:rsidRPr="00671E8F">
              <w:rPr>
                <w:rFonts w:ascii="Calibri" w:eastAsia="Times New Roman" w:hAnsi="Calibri" w:cs="Calibri"/>
                <w:b/>
                <w:bCs/>
                <w:i/>
                <w:iCs/>
                <w:color w:val="002060"/>
                <w:sz w:val="18"/>
                <w:szCs w:val="18"/>
              </w:rPr>
              <w:t>3,3%</w:t>
            </w:r>
          </w:p>
        </w:tc>
      </w:tr>
    </w:tbl>
    <w:p w14:paraId="7D829DC8"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 xml:space="preserve"> Извор: Министарство финансија</w:t>
      </w:r>
    </w:p>
    <w:p w14:paraId="16EBEEE8" w14:textId="77777777" w:rsidR="00473C3B" w:rsidRPr="00671E8F" w:rsidRDefault="00473C3B" w:rsidP="00473C3B">
      <w:pPr>
        <w:spacing w:after="0" w:line="276" w:lineRule="auto"/>
        <w:rPr>
          <w:rFonts w:eastAsia="MS PGothic" w:cstheme="minorHAnsi"/>
          <w:sz w:val="16"/>
          <w:szCs w:val="16"/>
          <w:highlight w:val="yellow"/>
          <w:lang w:eastAsia="ja-JP"/>
        </w:rPr>
      </w:pPr>
    </w:p>
    <w:p w14:paraId="7438E776" w14:textId="77777777" w:rsidR="00473C3B" w:rsidRPr="00671E8F" w:rsidRDefault="00473C3B" w:rsidP="00473C3B">
      <w:pPr>
        <w:spacing w:after="0" w:line="276" w:lineRule="auto"/>
        <w:rPr>
          <w:rFonts w:eastAsia="MS PGothic" w:cstheme="minorHAnsi"/>
          <w:szCs w:val="20"/>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46148803" w14:textId="77777777" w:rsidR="00473C3B" w:rsidRPr="00671E8F" w:rsidRDefault="00473C3B" w:rsidP="00473C3B">
      <w:pPr>
        <w:spacing w:after="240" w:line="240" w:lineRule="auto"/>
        <w:rPr>
          <w:rFonts w:eastAsia="MS PGothic" w:cstheme="minorHAnsi"/>
          <w:szCs w:val="20"/>
          <w:lang w:eastAsia="ja-JP"/>
        </w:rPr>
      </w:pPr>
      <w:r w:rsidRPr="00671E8F">
        <w:rPr>
          <w:rFonts w:eastAsia="MS PGothic" w:cstheme="minorHAnsi"/>
          <w:szCs w:val="20"/>
          <w:lang w:eastAsia="ja-JP"/>
        </w:rPr>
        <w:t xml:space="preserve">Највећи део субвенција предузећа углавном користе за капиталне пројекте, док одређени број предузећа користи и за одржавање текуће </w:t>
      </w:r>
      <w:r w:rsidRPr="00671E8F">
        <w:rPr>
          <w:rFonts w:eastAsia="MS PGothic" w:cstheme="minorHAnsi"/>
          <w:szCs w:val="20"/>
          <w:lang w:eastAsia="ja-JP"/>
        </w:rPr>
        <w:t>ликвидности. Учешће исплаћених субвенција у укупним расходима буџета из године у годину креће се у распону 3-4%.</w:t>
      </w:r>
    </w:p>
    <w:p w14:paraId="1CB2B588" w14:textId="77777777" w:rsidR="00473C3B" w:rsidRPr="00671E8F" w:rsidRDefault="00473C3B" w:rsidP="00473C3B">
      <w:pPr>
        <w:spacing w:line="240" w:lineRule="auto"/>
        <w:rPr>
          <w:rFonts w:eastAsia="MS PGothic" w:cstheme="minorHAnsi"/>
          <w:szCs w:val="20"/>
          <w:highlight w:val="yellow"/>
          <w:lang w:eastAsia="ja-JP"/>
        </w:rPr>
        <w:sectPr w:rsidR="00473C3B" w:rsidRPr="00671E8F" w:rsidSect="00F45C01">
          <w:type w:val="continuous"/>
          <w:pgSz w:w="12240" w:h="15840"/>
          <w:pgMar w:top="1440" w:right="1440" w:bottom="1440" w:left="1440" w:header="720" w:footer="720" w:gutter="0"/>
          <w:cols w:num="2" w:space="720"/>
          <w:docGrid w:linePitch="360"/>
        </w:sectPr>
      </w:pPr>
    </w:p>
    <w:p w14:paraId="0EEADF1A" w14:textId="47B049F0" w:rsidR="00473C3B" w:rsidRPr="00671E8F" w:rsidRDefault="00473C3B" w:rsidP="00473C3B">
      <w:pPr>
        <w:spacing w:after="80"/>
        <w:jc w:val="center"/>
        <w:rPr>
          <w:rFonts w:eastAsia="MS PGothic" w:cstheme="minorHAnsi"/>
          <w:b/>
          <w:color w:val="002060"/>
          <w:szCs w:val="20"/>
          <w:lang w:eastAsia="ja-JP"/>
        </w:rPr>
      </w:pPr>
      <w:r w:rsidRPr="00671E8F">
        <w:rPr>
          <w:rFonts w:eastAsia="MS PGothic" w:cstheme="minorHAnsi"/>
          <w:b/>
          <w:color w:val="002060"/>
          <w:szCs w:val="20"/>
          <w:lang w:eastAsia="ja-JP"/>
        </w:rPr>
        <w:t xml:space="preserve">Табела </w:t>
      </w:r>
      <w:r w:rsidR="00FC5CD7" w:rsidRPr="00671E8F">
        <w:rPr>
          <w:rFonts w:eastAsia="MS PGothic" w:cstheme="minorHAnsi"/>
          <w:b/>
          <w:color w:val="002060"/>
          <w:szCs w:val="20"/>
          <w:lang w:eastAsia="ja-JP"/>
        </w:rPr>
        <w:t>19</w:t>
      </w:r>
      <w:r w:rsidRPr="00671E8F">
        <w:rPr>
          <w:rFonts w:eastAsia="MS PGothic" w:cstheme="minorHAnsi"/>
          <w:b/>
          <w:color w:val="002060"/>
          <w:szCs w:val="20"/>
          <w:lang w:eastAsia="ja-JP"/>
        </w:rPr>
        <w:t>. Преглед 5 највећих корисника субвенција из буџета Републике Србије, млрд динара</w:t>
      </w:r>
    </w:p>
    <w:tbl>
      <w:tblPr>
        <w:tblW w:w="5000" w:type="pct"/>
        <w:jc w:val="center"/>
        <w:tblLook w:val="04A0" w:firstRow="1" w:lastRow="0" w:firstColumn="1" w:lastColumn="0" w:noHBand="0" w:noVBand="1"/>
      </w:tblPr>
      <w:tblGrid>
        <w:gridCol w:w="4336"/>
        <w:gridCol w:w="1256"/>
        <w:gridCol w:w="1256"/>
        <w:gridCol w:w="1256"/>
        <w:gridCol w:w="1256"/>
      </w:tblGrid>
      <w:tr w:rsidR="00473C3B" w:rsidRPr="00671E8F" w14:paraId="47EBDE50" w14:textId="77777777" w:rsidTr="00473C3B">
        <w:trPr>
          <w:trHeight w:val="20"/>
          <w:jc w:val="center"/>
        </w:trPr>
        <w:tc>
          <w:tcPr>
            <w:tcW w:w="2316" w:type="pct"/>
            <w:tcBorders>
              <w:top w:val="single" w:sz="4" w:space="0" w:color="002060"/>
              <w:left w:val="nil"/>
              <w:bottom w:val="single" w:sz="4" w:space="0" w:color="002060"/>
              <w:right w:val="nil"/>
            </w:tcBorders>
            <w:shd w:val="clear" w:color="auto" w:fill="FFFFFF" w:themeFill="background1"/>
            <w:noWrap/>
            <w:vAlign w:val="center"/>
            <w:hideMark/>
          </w:tcPr>
          <w:p w14:paraId="637DA0D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Предузећа</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659135D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0ECC81F5"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56A2549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2C9414BA"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r>
      <w:tr w:rsidR="00473C3B" w:rsidRPr="00671E8F" w14:paraId="3CAD9766"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3EBC8C7D"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Јавно предузеће „Путеви Србије”</w:t>
            </w:r>
          </w:p>
        </w:tc>
        <w:tc>
          <w:tcPr>
            <w:tcW w:w="671" w:type="pct"/>
            <w:tcBorders>
              <w:top w:val="nil"/>
              <w:left w:val="nil"/>
              <w:bottom w:val="nil"/>
              <w:right w:val="nil"/>
            </w:tcBorders>
            <w:shd w:val="clear" w:color="000000" w:fill="FFFFFF"/>
            <w:noWrap/>
            <w:vAlign w:val="center"/>
            <w:hideMark/>
          </w:tcPr>
          <w:p w14:paraId="626660B0"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26,9</w:t>
            </w:r>
          </w:p>
        </w:tc>
        <w:tc>
          <w:tcPr>
            <w:tcW w:w="671" w:type="pct"/>
            <w:tcBorders>
              <w:top w:val="nil"/>
              <w:left w:val="nil"/>
              <w:bottom w:val="nil"/>
              <w:right w:val="nil"/>
            </w:tcBorders>
            <w:shd w:val="clear" w:color="000000" w:fill="FFFFFF"/>
            <w:noWrap/>
            <w:vAlign w:val="center"/>
            <w:hideMark/>
          </w:tcPr>
          <w:p w14:paraId="0C98328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29,2</w:t>
            </w:r>
          </w:p>
        </w:tc>
        <w:tc>
          <w:tcPr>
            <w:tcW w:w="671" w:type="pct"/>
            <w:tcBorders>
              <w:top w:val="nil"/>
              <w:left w:val="nil"/>
              <w:bottom w:val="nil"/>
              <w:right w:val="nil"/>
            </w:tcBorders>
            <w:shd w:val="clear" w:color="000000" w:fill="FFFFFF"/>
            <w:noWrap/>
            <w:vAlign w:val="center"/>
            <w:hideMark/>
          </w:tcPr>
          <w:p w14:paraId="45D64E4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22,6</w:t>
            </w:r>
          </w:p>
        </w:tc>
        <w:tc>
          <w:tcPr>
            <w:tcW w:w="671" w:type="pct"/>
            <w:tcBorders>
              <w:top w:val="nil"/>
              <w:left w:val="nil"/>
              <w:bottom w:val="nil"/>
              <w:right w:val="nil"/>
            </w:tcBorders>
            <w:shd w:val="clear" w:color="000000" w:fill="FFFFFF"/>
            <w:noWrap/>
            <w:vAlign w:val="center"/>
            <w:hideMark/>
          </w:tcPr>
          <w:p w14:paraId="4986350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25,0</w:t>
            </w:r>
          </w:p>
        </w:tc>
      </w:tr>
      <w:tr w:rsidR="00473C3B" w:rsidRPr="00671E8F" w14:paraId="1CD3A7BB"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6A960AEE"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„Инфраструктура железнице Србије” ад</w:t>
            </w:r>
          </w:p>
        </w:tc>
        <w:tc>
          <w:tcPr>
            <w:tcW w:w="671" w:type="pct"/>
            <w:tcBorders>
              <w:top w:val="nil"/>
              <w:left w:val="nil"/>
              <w:bottom w:val="nil"/>
              <w:right w:val="nil"/>
            </w:tcBorders>
            <w:shd w:val="clear" w:color="000000" w:fill="FFFFFF"/>
            <w:noWrap/>
            <w:vAlign w:val="center"/>
            <w:hideMark/>
          </w:tcPr>
          <w:p w14:paraId="192E355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10,5</w:t>
            </w:r>
          </w:p>
        </w:tc>
        <w:tc>
          <w:tcPr>
            <w:tcW w:w="671" w:type="pct"/>
            <w:tcBorders>
              <w:top w:val="nil"/>
              <w:left w:val="nil"/>
              <w:bottom w:val="nil"/>
              <w:right w:val="nil"/>
            </w:tcBorders>
            <w:shd w:val="clear" w:color="000000" w:fill="FFFFFF"/>
            <w:noWrap/>
            <w:vAlign w:val="center"/>
            <w:hideMark/>
          </w:tcPr>
          <w:p w14:paraId="1CC1EFA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13,8</w:t>
            </w:r>
          </w:p>
        </w:tc>
        <w:tc>
          <w:tcPr>
            <w:tcW w:w="671" w:type="pct"/>
            <w:tcBorders>
              <w:top w:val="nil"/>
              <w:left w:val="nil"/>
              <w:bottom w:val="nil"/>
              <w:right w:val="nil"/>
            </w:tcBorders>
            <w:shd w:val="clear" w:color="000000" w:fill="FFFFFF"/>
            <w:noWrap/>
            <w:vAlign w:val="center"/>
            <w:hideMark/>
          </w:tcPr>
          <w:p w14:paraId="57139C5A"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12,8</w:t>
            </w:r>
          </w:p>
        </w:tc>
        <w:tc>
          <w:tcPr>
            <w:tcW w:w="671" w:type="pct"/>
            <w:tcBorders>
              <w:top w:val="nil"/>
              <w:left w:val="nil"/>
              <w:bottom w:val="nil"/>
              <w:right w:val="nil"/>
            </w:tcBorders>
            <w:shd w:val="clear" w:color="000000" w:fill="FFFFFF"/>
            <w:noWrap/>
            <w:vAlign w:val="center"/>
            <w:hideMark/>
          </w:tcPr>
          <w:p w14:paraId="26621BD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17,0</w:t>
            </w:r>
          </w:p>
        </w:tc>
      </w:tr>
      <w:tr w:rsidR="00473C3B" w:rsidRPr="00671E8F" w14:paraId="158D9A23"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7ED67E7B"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„Коридори Србије” доо</w:t>
            </w:r>
          </w:p>
        </w:tc>
        <w:tc>
          <w:tcPr>
            <w:tcW w:w="671" w:type="pct"/>
            <w:tcBorders>
              <w:top w:val="nil"/>
              <w:left w:val="nil"/>
              <w:bottom w:val="nil"/>
              <w:right w:val="nil"/>
            </w:tcBorders>
            <w:shd w:val="clear" w:color="000000" w:fill="FFFFFF"/>
            <w:noWrap/>
            <w:vAlign w:val="center"/>
            <w:hideMark/>
          </w:tcPr>
          <w:p w14:paraId="05BF34D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17,7</w:t>
            </w:r>
          </w:p>
        </w:tc>
        <w:tc>
          <w:tcPr>
            <w:tcW w:w="671" w:type="pct"/>
            <w:tcBorders>
              <w:top w:val="nil"/>
              <w:left w:val="nil"/>
              <w:bottom w:val="nil"/>
              <w:right w:val="nil"/>
            </w:tcBorders>
            <w:shd w:val="clear" w:color="000000" w:fill="FFFFFF"/>
            <w:noWrap/>
            <w:vAlign w:val="center"/>
            <w:hideMark/>
          </w:tcPr>
          <w:p w14:paraId="1359DA6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8,2</w:t>
            </w:r>
          </w:p>
        </w:tc>
        <w:tc>
          <w:tcPr>
            <w:tcW w:w="671" w:type="pct"/>
            <w:tcBorders>
              <w:top w:val="nil"/>
              <w:left w:val="nil"/>
              <w:bottom w:val="nil"/>
              <w:right w:val="nil"/>
            </w:tcBorders>
            <w:shd w:val="clear" w:color="000000" w:fill="FFFFFF"/>
            <w:noWrap/>
            <w:vAlign w:val="center"/>
            <w:hideMark/>
          </w:tcPr>
          <w:p w14:paraId="791CFFF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6,9</w:t>
            </w:r>
          </w:p>
        </w:tc>
        <w:tc>
          <w:tcPr>
            <w:tcW w:w="671" w:type="pct"/>
            <w:tcBorders>
              <w:top w:val="nil"/>
              <w:left w:val="nil"/>
              <w:bottom w:val="nil"/>
              <w:right w:val="nil"/>
            </w:tcBorders>
            <w:shd w:val="clear" w:color="000000" w:fill="FFFFFF"/>
            <w:noWrap/>
            <w:vAlign w:val="center"/>
            <w:hideMark/>
          </w:tcPr>
          <w:p w14:paraId="68941F9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6,9</w:t>
            </w:r>
          </w:p>
        </w:tc>
      </w:tr>
      <w:tr w:rsidR="00473C3B" w:rsidRPr="00671E8F" w14:paraId="70372F22"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745EEADB"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Јавно предузеће ПЕУ „Ресавица”</w:t>
            </w:r>
          </w:p>
        </w:tc>
        <w:tc>
          <w:tcPr>
            <w:tcW w:w="671" w:type="pct"/>
            <w:tcBorders>
              <w:top w:val="nil"/>
              <w:left w:val="nil"/>
              <w:bottom w:val="nil"/>
              <w:right w:val="nil"/>
            </w:tcBorders>
            <w:shd w:val="clear" w:color="000000" w:fill="FFFFFF"/>
            <w:noWrap/>
            <w:vAlign w:val="center"/>
            <w:hideMark/>
          </w:tcPr>
          <w:p w14:paraId="7864D1F6"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4,6</w:t>
            </w:r>
          </w:p>
        </w:tc>
        <w:tc>
          <w:tcPr>
            <w:tcW w:w="671" w:type="pct"/>
            <w:tcBorders>
              <w:top w:val="nil"/>
              <w:left w:val="nil"/>
              <w:bottom w:val="nil"/>
              <w:right w:val="nil"/>
            </w:tcBorders>
            <w:shd w:val="clear" w:color="000000" w:fill="FFFFFF"/>
            <w:noWrap/>
            <w:vAlign w:val="center"/>
            <w:hideMark/>
          </w:tcPr>
          <w:p w14:paraId="4ED7B4B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8,5</w:t>
            </w:r>
          </w:p>
        </w:tc>
        <w:tc>
          <w:tcPr>
            <w:tcW w:w="671" w:type="pct"/>
            <w:tcBorders>
              <w:top w:val="nil"/>
              <w:left w:val="nil"/>
              <w:bottom w:val="nil"/>
              <w:right w:val="nil"/>
            </w:tcBorders>
            <w:shd w:val="clear" w:color="000000" w:fill="FFFFFF"/>
            <w:noWrap/>
            <w:vAlign w:val="center"/>
            <w:hideMark/>
          </w:tcPr>
          <w:p w14:paraId="443BBA8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4,8</w:t>
            </w:r>
          </w:p>
        </w:tc>
        <w:tc>
          <w:tcPr>
            <w:tcW w:w="671" w:type="pct"/>
            <w:tcBorders>
              <w:top w:val="nil"/>
              <w:left w:val="nil"/>
              <w:bottom w:val="nil"/>
              <w:right w:val="nil"/>
            </w:tcBorders>
            <w:shd w:val="clear" w:color="000000" w:fill="FFFFFF"/>
            <w:noWrap/>
            <w:vAlign w:val="center"/>
            <w:hideMark/>
          </w:tcPr>
          <w:p w14:paraId="42707B4E"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5,5</w:t>
            </w:r>
          </w:p>
        </w:tc>
      </w:tr>
      <w:tr w:rsidR="00473C3B" w:rsidRPr="00671E8F" w14:paraId="233098F2"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1018165A"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„Србијавоз” ад</w:t>
            </w:r>
          </w:p>
        </w:tc>
        <w:tc>
          <w:tcPr>
            <w:tcW w:w="671" w:type="pct"/>
            <w:tcBorders>
              <w:top w:val="nil"/>
              <w:left w:val="nil"/>
              <w:bottom w:val="nil"/>
              <w:right w:val="nil"/>
            </w:tcBorders>
            <w:shd w:val="clear" w:color="000000" w:fill="FFFFFF"/>
            <w:noWrap/>
            <w:vAlign w:val="center"/>
            <w:hideMark/>
          </w:tcPr>
          <w:p w14:paraId="071E3CDC"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3,9</w:t>
            </w:r>
          </w:p>
        </w:tc>
        <w:tc>
          <w:tcPr>
            <w:tcW w:w="671" w:type="pct"/>
            <w:tcBorders>
              <w:top w:val="nil"/>
              <w:left w:val="nil"/>
              <w:bottom w:val="nil"/>
              <w:right w:val="nil"/>
            </w:tcBorders>
            <w:shd w:val="clear" w:color="000000" w:fill="FFFFFF"/>
            <w:noWrap/>
            <w:vAlign w:val="center"/>
            <w:hideMark/>
          </w:tcPr>
          <w:p w14:paraId="2E11864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3,8</w:t>
            </w:r>
          </w:p>
        </w:tc>
        <w:tc>
          <w:tcPr>
            <w:tcW w:w="671" w:type="pct"/>
            <w:tcBorders>
              <w:top w:val="nil"/>
              <w:left w:val="nil"/>
              <w:bottom w:val="nil"/>
              <w:right w:val="nil"/>
            </w:tcBorders>
            <w:shd w:val="clear" w:color="000000" w:fill="FFFFFF"/>
            <w:noWrap/>
            <w:vAlign w:val="center"/>
            <w:hideMark/>
          </w:tcPr>
          <w:p w14:paraId="715A5BF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4,4</w:t>
            </w:r>
          </w:p>
        </w:tc>
        <w:tc>
          <w:tcPr>
            <w:tcW w:w="671" w:type="pct"/>
            <w:tcBorders>
              <w:top w:val="nil"/>
              <w:left w:val="nil"/>
              <w:bottom w:val="nil"/>
              <w:right w:val="nil"/>
            </w:tcBorders>
            <w:shd w:val="clear" w:color="000000" w:fill="FFFFFF"/>
            <w:noWrap/>
            <w:vAlign w:val="center"/>
            <w:hideMark/>
          </w:tcPr>
          <w:p w14:paraId="3287EA34"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5,1</w:t>
            </w:r>
          </w:p>
        </w:tc>
      </w:tr>
      <w:tr w:rsidR="00473C3B" w:rsidRPr="00671E8F" w14:paraId="4F482416" w14:textId="77777777" w:rsidTr="00473C3B">
        <w:trPr>
          <w:trHeight w:val="20"/>
          <w:jc w:val="center"/>
        </w:trPr>
        <w:tc>
          <w:tcPr>
            <w:tcW w:w="2316" w:type="pct"/>
            <w:tcBorders>
              <w:top w:val="nil"/>
              <w:left w:val="nil"/>
              <w:bottom w:val="nil"/>
              <w:right w:val="nil"/>
            </w:tcBorders>
            <w:shd w:val="clear" w:color="000000" w:fill="FFFFFF"/>
            <w:noWrap/>
            <w:vAlign w:val="center"/>
            <w:hideMark/>
          </w:tcPr>
          <w:p w14:paraId="1A683D67" w14:textId="77777777" w:rsidR="00473C3B" w:rsidRPr="00671E8F" w:rsidRDefault="00473C3B" w:rsidP="00473C3B">
            <w:pPr>
              <w:spacing w:after="0" w:line="240" w:lineRule="auto"/>
              <w:jc w:val="left"/>
              <w:rPr>
                <w:rFonts w:ascii="Calibri" w:eastAsia="Times New Roman" w:hAnsi="Calibri" w:cs="Calibri"/>
                <w:color w:val="002060"/>
                <w:sz w:val="18"/>
                <w:szCs w:val="18"/>
              </w:rPr>
            </w:pPr>
            <w:r w:rsidRPr="00671E8F">
              <w:rPr>
                <w:rFonts w:ascii="Calibri" w:eastAsia="Times New Roman" w:hAnsi="Calibri" w:cs="Calibri"/>
                <w:color w:val="002060"/>
                <w:sz w:val="18"/>
                <w:szCs w:val="18"/>
              </w:rPr>
              <w:t>Остала ЈП</w:t>
            </w:r>
          </w:p>
        </w:tc>
        <w:tc>
          <w:tcPr>
            <w:tcW w:w="671" w:type="pct"/>
            <w:tcBorders>
              <w:top w:val="nil"/>
              <w:left w:val="nil"/>
              <w:bottom w:val="nil"/>
              <w:right w:val="nil"/>
            </w:tcBorders>
            <w:shd w:val="clear" w:color="000000" w:fill="FFFFFF"/>
            <w:noWrap/>
            <w:vAlign w:val="center"/>
            <w:hideMark/>
          </w:tcPr>
          <w:p w14:paraId="2C0868D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3,1</w:t>
            </w:r>
          </w:p>
        </w:tc>
        <w:tc>
          <w:tcPr>
            <w:tcW w:w="671" w:type="pct"/>
            <w:tcBorders>
              <w:top w:val="nil"/>
              <w:left w:val="nil"/>
              <w:bottom w:val="nil"/>
              <w:right w:val="nil"/>
            </w:tcBorders>
            <w:shd w:val="clear" w:color="000000" w:fill="FFFFFF"/>
            <w:noWrap/>
            <w:vAlign w:val="center"/>
            <w:hideMark/>
          </w:tcPr>
          <w:p w14:paraId="59A9EFF1"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3,8</w:t>
            </w:r>
          </w:p>
        </w:tc>
        <w:tc>
          <w:tcPr>
            <w:tcW w:w="671" w:type="pct"/>
            <w:tcBorders>
              <w:top w:val="nil"/>
              <w:left w:val="nil"/>
              <w:bottom w:val="nil"/>
              <w:right w:val="nil"/>
            </w:tcBorders>
            <w:shd w:val="clear" w:color="000000" w:fill="FFFFFF"/>
            <w:noWrap/>
            <w:vAlign w:val="center"/>
            <w:hideMark/>
          </w:tcPr>
          <w:p w14:paraId="6766DE7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4,5</w:t>
            </w:r>
          </w:p>
        </w:tc>
        <w:tc>
          <w:tcPr>
            <w:tcW w:w="671" w:type="pct"/>
            <w:tcBorders>
              <w:top w:val="nil"/>
              <w:left w:val="nil"/>
              <w:bottom w:val="nil"/>
              <w:right w:val="nil"/>
            </w:tcBorders>
            <w:shd w:val="clear" w:color="000000" w:fill="FFFFFF"/>
            <w:noWrap/>
            <w:vAlign w:val="center"/>
            <w:hideMark/>
          </w:tcPr>
          <w:p w14:paraId="70718D57"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8,4</w:t>
            </w:r>
          </w:p>
        </w:tc>
      </w:tr>
      <w:tr w:rsidR="00473C3B" w:rsidRPr="00671E8F" w14:paraId="72DF421D" w14:textId="77777777" w:rsidTr="00473C3B">
        <w:trPr>
          <w:trHeight w:val="20"/>
          <w:jc w:val="center"/>
        </w:trPr>
        <w:tc>
          <w:tcPr>
            <w:tcW w:w="2316" w:type="pct"/>
            <w:tcBorders>
              <w:top w:val="single" w:sz="4" w:space="0" w:color="002060"/>
              <w:left w:val="nil"/>
              <w:bottom w:val="single" w:sz="4" w:space="0" w:color="002060"/>
              <w:right w:val="nil"/>
            </w:tcBorders>
            <w:shd w:val="clear" w:color="auto" w:fill="FFFFFF" w:themeFill="background1"/>
            <w:noWrap/>
            <w:vAlign w:val="center"/>
            <w:hideMark/>
          </w:tcPr>
          <w:p w14:paraId="1D9D45F9" w14:textId="77777777" w:rsidR="00473C3B" w:rsidRPr="00671E8F" w:rsidRDefault="00473C3B" w:rsidP="00473C3B">
            <w:pPr>
              <w:spacing w:after="0" w:line="240" w:lineRule="auto"/>
              <w:jc w:val="left"/>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Укупно исплаћене субвенције:</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35921D1A"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66,7</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4173386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67,3</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7C47859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56,0</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5EDD825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67,9</w:t>
            </w:r>
          </w:p>
        </w:tc>
      </w:tr>
    </w:tbl>
    <w:p w14:paraId="79F836F0"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 xml:space="preserve"> Извор: Министарство финансија</w:t>
      </w:r>
    </w:p>
    <w:p w14:paraId="42607E50" w14:textId="77777777" w:rsidR="00473C3B" w:rsidRPr="00671E8F" w:rsidRDefault="00473C3B" w:rsidP="00473C3B">
      <w:pPr>
        <w:spacing w:after="0" w:line="276" w:lineRule="auto"/>
        <w:rPr>
          <w:rFonts w:eastAsia="MS PGothic" w:cstheme="minorHAnsi"/>
          <w:sz w:val="16"/>
          <w:szCs w:val="16"/>
          <w:highlight w:val="yellow"/>
          <w:lang w:eastAsia="ja-JP"/>
        </w:rPr>
      </w:pPr>
    </w:p>
    <w:p w14:paraId="0ADA96E9" w14:textId="77777777" w:rsidR="00473C3B" w:rsidRPr="00671E8F" w:rsidRDefault="00473C3B" w:rsidP="00473C3B">
      <w:pPr>
        <w:spacing w:after="0" w:line="276" w:lineRule="auto"/>
        <w:rPr>
          <w:rFonts w:eastAsia="MS PGothic" w:cstheme="minorHAnsi"/>
          <w:sz w:val="16"/>
          <w:szCs w:val="16"/>
          <w:lang w:eastAsia="ja-JP"/>
        </w:rPr>
        <w:sectPr w:rsidR="00473C3B" w:rsidRPr="00671E8F" w:rsidSect="00F45C01">
          <w:type w:val="continuous"/>
          <w:pgSz w:w="12240" w:h="15840"/>
          <w:pgMar w:top="1440" w:right="1440" w:bottom="1440" w:left="1440" w:header="720" w:footer="720" w:gutter="0"/>
          <w:cols w:space="720"/>
          <w:docGrid w:linePitch="360"/>
        </w:sectPr>
      </w:pPr>
    </w:p>
    <w:p w14:paraId="7EDC25EF" w14:textId="77777777" w:rsidR="00473C3B" w:rsidRPr="00671E8F" w:rsidRDefault="00473C3B" w:rsidP="00473C3B">
      <w:pPr>
        <w:spacing w:after="280" w:line="276" w:lineRule="auto"/>
        <w:rPr>
          <w:rFonts w:eastAsia="MS PGothic" w:cstheme="minorHAnsi"/>
          <w:szCs w:val="20"/>
          <w:lang w:eastAsia="ja-JP"/>
        </w:rPr>
      </w:pPr>
      <w:r w:rsidRPr="00671E8F">
        <w:rPr>
          <w:rFonts w:eastAsia="MS PGothic" w:cstheme="minorHAnsi"/>
          <w:szCs w:val="20"/>
          <w:lang w:eastAsia="ja-JP"/>
        </w:rPr>
        <w:t xml:space="preserve">Највећи корисник субвенција, у наведеном периоду, је ЈП „Путеви Србије”, чије субвенције су капиталног карактера и намењене су за реконструкцију путне инфраструктуре. У 2023. години субвенције исплаћене државним предузећима износиле су 67,9 млрд динара и оне </w:t>
      </w:r>
      <w:r w:rsidRPr="00671E8F">
        <w:rPr>
          <w:rFonts w:eastAsia="MS PGothic" w:cstheme="minorHAnsi"/>
          <w:szCs w:val="20"/>
          <w:lang w:eastAsia="ja-JP"/>
        </w:rPr>
        <w:t xml:space="preserve">су имале укупно учешће од 6,4% у укупно оствареним приходима 36 државних предузећа, што је на вишем нивоу у односу на претходну годину. Исплаћене субвенције за 5 највећих корисника имају учешће 87,6% у укупно исплаћеним субвенцијама. </w:t>
      </w:r>
    </w:p>
    <w:p w14:paraId="5EA831FE" w14:textId="77777777" w:rsidR="00473C3B" w:rsidRPr="00671E8F" w:rsidRDefault="00473C3B" w:rsidP="00473C3B">
      <w:pPr>
        <w:spacing w:after="80"/>
      </w:pPr>
      <w:r w:rsidRPr="00671E8F">
        <w:lastRenderedPageBreak/>
        <w:t xml:space="preserve">До 30. септембра 2024. године, исплаћен је укупни износ од 47,1 млрд динара у виду субвенција за 24 државна предузећа. Као и у претходним годинама, највећи корисници ових субвенција су државна предузећа попут ЈП „Путеви Србије“ који средства примарно користи за редовно и ванредно одржавање путева, затим „Инфраструктура железнице Србије“ АД, „Србијавоз“ АД и ЈП „ПЕУ Ресавица“. Поред ових </w:t>
      </w:r>
      <w:r w:rsidRPr="00671E8F">
        <w:t>корисника, у 2024. години издвојена су значајна средства и за подршку предузећу „Електродистрибуција Србије“ ДОО за пројекте замене мерних уређаја, уградњу паметних бројила, набавку дистрибутивних и енергетских трансформатора, а што је део напора за јачање енергетске стабилности и унапређење инфраструктурних капацитета државе.</w:t>
      </w:r>
    </w:p>
    <w:p w14:paraId="7592B3F6" w14:textId="77777777" w:rsidR="00473C3B" w:rsidRPr="00671E8F" w:rsidRDefault="00473C3B" w:rsidP="00473C3B">
      <w:pPr>
        <w:spacing w:after="80"/>
        <w:jc w:val="center"/>
        <w:rPr>
          <w:rFonts w:eastAsia="MS PGothic" w:cstheme="minorHAnsi"/>
          <w:b/>
          <w:color w:val="002060"/>
          <w:szCs w:val="20"/>
          <w:highlight w:val="yellow"/>
          <w:lang w:eastAsia="ja-JP"/>
        </w:rPr>
        <w:sectPr w:rsidR="00473C3B" w:rsidRPr="00671E8F" w:rsidSect="00473C3B">
          <w:type w:val="continuous"/>
          <w:pgSz w:w="12240" w:h="15840"/>
          <w:pgMar w:top="1440" w:right="1440" w:bottom="1440" w:left="1440" w:header="720" w:footer="720" w:gutter="0"/>
          <w:cols w:num="2" w:space="720"/>
          <w:docGrid w:linePitch="360"/>
        </w:sectPr>
      </w:pPr>
    </w:p>
    <w:p w14:paraId="180EEAA4" w14:textId="77777777" w:rsidR="00473C3B" w:rsidRPr="00671E8F" w:rsidRDefault="00473C3B" w:rsidP="00473C3B">
      <w:pPr>
        <w:spacing w:after="80"/>
        <w:jc w:val="center"/>
        <w:rPr>
          <w:rFonts w:eastAsia="MS PGothic" w:cstheme="minorHAnsi"/>
          <w:b/>
          <w:color w:val="002060"/>
          <w:szCs w:val="20"/>
          <w:lang w:eastAsia="ja-JP"/>
        </w:rPr>
      </w:pPr>
    </w:p>
    <w:p w14:paraId="0F4C5C3D" w14:textId="2595CE21" w:rsidR="00473C3B" w:rsidRPr="00671E8F" w:rsidRDefault="00473C3B" w:rsidP="00473C3B">
      <w:pPr>
        <w:spacing w:after="80"/>
        <w:jc w:val="center"/>
        <w:rPr>
          <w:rFonts w:eastAsia="MS PGothic" w:cstheme="minorHAnsi"/>
          <w:b/>
          <w:color w:val="002060"/>
          <w:szCs w:val="20"/>
          <w:lang w:eastAsia="ja-JP"/>
        </w:rPr>
      </w:pPr>
      <w:r w:rsidRPr="00671E8F">
        <w:rPr>
          <w:rFonts w:eastAsia="MS PGothic" w:cstheme="minorHAnsi"/>
          <w:b/>
          <w:color w:val="002060"/>
          <w:szCs w:val="20"/>
          <w:lang w:eastAsia="ja-JP"/>
        </w:rPr>
        <w:t>Табела 2</w:t>
      </w:r>
      <w:r w:rsidR="00FC5CD7" w:rsidRPr="00671E8F">
        <w:rPr>
          <w:rFonts w:eastAsia="MS PGothic" w:cstheme="minorHAnsi"/>
          <w:b/>
          <w:color w:val="002060"/>
          <w:szCs w:val="20"/>
          <w:lang w:eastAsia="ja-JP"/>
        </w:rPr>
        <w:t>0</w:t>
      </w:r>
      <w:r w:rsidRPr="00671E8F">
        <w:rPr>
          <w:rFonts w:eastAsia="MS PGothic" w:cstheme="minorHAnsi"/>
          <w:b/>
          <w:color w:val="002060"/>
          <w:szCs w:val="20"/>
          <w:lang w:eastAsia="ja-JP"/>
        </w:rPr>
        <w:t xml:space="preserve">. Државна предузећа која су остварила нето добит у периоду 01.01–30.06.2024. године, </w:t>
      </w:r>
      <w:r w:rsidRPr="00671E8F">
        <w:rPr>
          <w:rFonts w:eastAsia="MS PGothic" w:cstheme="minorHAnsi"/>
          <w:b/>
          <w:color w:val="002060"/>
          <w:szCs w:val="20"/>
          <w:lang w:eastAsia="ja-JP"/>
        </w:rPr>
        <w:br w:type="textWrapping" w:clear="all"/>
        <w:t>у млн динара</w:t>
      </w:r>
    </w:p>
    <w:tbl>
      <w:tblPr>
        <w:tblW w:w="5000" w:type="pct"/>
        <w:tblLook w:val="04A0" w:firstRow="1" w:lastRow="0" w:firstColumn="1" w:lastColumn="0" w:noHBand="0" w:noVBand="1"/>
      </w:tblPr>
      <w:tblGrid>
        <w:gridCol w:w="4130"/>
        <w:gridCol w:w="1211"/>
        <w:gridCol w:w="1211"/>
        <w:gridCol w:w="1157"/>
        <w:gridCol w:w="1651"/>
      </w:tblGrid>
      <w:tr w:rsidR="00473C3B" w:rsidRPr="00671E8F" w14:paraId="59F4025B" w14:textId="77777777" w:rsidTr="00473C3B">
        <w:trPr>
          <w:trHeight w:val="20"/>
        </w:trPr>
        <w:tc>
          <w:tcPr>
            <w:tcW w:w="2206" w:type="pct"/>
            <w:tcBorders>
              <w:top w:val="single" w:sz="4" w:space="0" w:color="002060"/>
              <w:left w:val="nil"/>
              <w:bottom w:val="single" w:sz="4" w:space="0" w:color="002060"/>
              <w:right w:val="nil"/>
            </w:tcBorders>
            <w:shd w:val="clear" w:color="auto" w:fill="FFFFFF" w:themeFill="background1"/>
            <w:vAlign w:val="center"/>
            <w:hideMark/>
          </w:tcPr>
          <w:p w14:paraId="7F7B4EA6"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Предузећа</w:t>
            </w:r>
          </w:p>
        </w:tc>
        <w:tc>
          <w:tcPr>
            <w:tcW w:w="647" w:type="pct"/>
            <w:tcBorders>
              <w:top w:val="single" w:sz="4" w:space="0" w:color="002060"/>
              <w:left w:val="nil"/>
              <w:bottom w:val="single" w:sz="4" w:space="0" w:color="002060"/>
              <w:right w:val="nil"/>
            </w:tcBorders>
            <w:shd w:val="clear" w:color="auto" w:fill="FFFFFF" w:themeFill="background1"/>
            <w:vAlign w:val="center"/>
            <w:hideMark/>
          </w:tcPr>
          <w:p w14:paraId="388522E0"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 xml:space="preserve">Реализација </w:t>
            </w:r>
            <w:r w:rsidRPr="00671E8F">
              <w:rPr>
                <w:rFonts w:eastAsia="Times New Roman" w:cstheme="minorHAnsi"/>
                <w:b/>
                <w:bCs/>
                <w:color w:val="203764"/>
                <w:sz w:val="18"/>
                <w:szCs w:val="18"/>
              </w:rPr>
              <w:br/>
              <w:t>2022</w:t>
            </w:r>
          </w:p>
        </w:tc>
        <w:tc>
          <w:tcPr>
            <w:tcW w:w="647" w:type="pct"/>
            <w:tcBorders>
              <w:top w:val="single" w:sz="4" w:space="0" w:color="002060"/>
              <w:left w:val="nil"/>
              <w:bottom w:val="single" w:sz="4" w:space="0" w:color="002060"/>
              <w:right w:val="nil"/>
            </w:tcBorders>
            <w:shd w:val="clear" w:color="auto" w:fill="FFFFFF" w:themeFill="background1"/>
            <w:vAlign w:val="center"/>
            <w:hideMark/>
          </w:tcPr>
          <w:p w14:paraId="6697CCDB"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 xml:space="preserve">Реализација </w:t>
            </w:r>
            <w:r w:rsidRPr="00671E8F">
              <w:rPr>
                <w:rFonts w:eastAsia="Times New Roman" w:cstheme="minorHAnsi"/>
                <w:b/>
                <w:bCs/>
                <w:color w:val="203764"/>
                <w:sz w:val="18"/>
                <w:szCs w:val="18"/>
              </w:rPr>
              <w:br/>
              <w:t>2023</w:t>
            </w:r>
          </w:p>
        </w:tc>
        <w:tc>
          <w:tcPr>
            <w:tcW w:w="618" w:type="pct"/>
            <w:tcBorders>
              <w:top w:val="single" w:sz="4" w:space="0" w:color="002060"/>
              <w:left w:val="nil"/>
              <w:bottom w:val="single" w:sz="4" w:space="0" w:color="002060"/>
              <w:right w:val="nil"/>
            </w:tcBorders>
            <w:shd w:val="clear" w:color="auto" w:fill="FFFFFF" w:themeFill="background1"/>
            <w:vAlign w:val="center"/>
            <w:hideMark/>
          </w:tcPr>
          <w:p w14:paraId="689AD375"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План                                                                                                                                                                                                                                                                                                                                 01.01– 30.06.2024.</w:t>
            </w:r>
          </w:p>
        </w:tc>
        <w:tc>
          <w:tcPr>
            <w:tcW w:w="882" w:type="pct"/>
            <w:tcBorders>
              <w:top w:val="single" w:sz="4" w:space="0" w:color="002060"/>
              <w:left w:val="nil"/>
              <w:bottom w:val="single" w:sz="4" w:space="0" w:color="002060"/>
              <w:right w:val="nil"/>
            </w:tcBorders>
            <w:shd w:val="clear" w:color="auto" w:fill="FFFFFF" w:themeFill="background1"/>
            <w:vAlign w:val="center"/>
            <w:hideMark/>
          </w:tcPr>
          <w:p w14:paraId="16AF30E8"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Реализација                                                                                                                                                                                                                                                                                                                                              01.01–30.06.2024.</w:t>
            </w:r>
          </w:p>
        </w:tc>
      </w:tr>
      <w:tr w:rsidR="00473C3B" w:rsidRPr="00671E8F" w14:paraId="6DB9CF4D" w14:textId="77777777" w:rsidTr="00473C3B">
        <w:trPr>
          <w:trHeight w:val="20"/>
        </w:trPr>
        <w:tc>
          <w:tcPr>
            <w:tcW w:w="2206" w:type="pct"/>
            <w:tcBorders>
              <w:top w:val="nil"/>
              <w:left w:val="nil"/>
              <w:bottom w:val="nil"/>
              <w:right w:val="nil"/>
            </w:tcBorders>
            <w:shd w:val="clear" w:color="000000" w:fill="FFFFFF"/>
            <w:noWrap/>
            <w:vAlign w:val="center"/>
            <w:hideMark/>
          </w:tcPr>
          <w:p w14:paraId="010B413E"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„Електропривреда Србије” ад</w:t>
            </w:r>
          </w:p>
        </w:tc>
        <w:tc>
          <w:tcPr>
            <w:tcW w:w="647" w:type="pct"/>
            <w:tcBorders>
              <w:top w:val="nil"/>
              <w:left w:val="nil"/>
              <w:bottom w:val="nil"/>
              <w:right w:val="nil"/>
            </w:tcBorders>
            <w:shd w:val="clear" w:color="000000" w:fill="FFFFFF"/>
            <w:noWrap/>
            <w:vAlign w:val="center"/>
            <w:hideMark/>
          </w:tcPr>
          <w:p w14:paraId="27D2956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(72.634,5)</w:t>
            </w:r>
          </w:p>
        </w:tc>
        <w:tc>
          <w:tcPr>
            <w:tcW w:w="647" w:type="pct"/>
            <w:tcBorders>
              <w:top w:val="nil"/>
              <w:left w:val="nil"/>
              <w:bottom w:val="nil"/>
              <w:right w:val="nil"/>
            </w:tcBorders>
            <w:shd w:val="clear" w:color="000000" w:fill="FFFFFF"/>
            <w:noWrap/>
            <w:vAlign w:val="center"/>
            <w:hideMark/>
          </w:tcPr>
          <w:p w14:paraId="54B98A5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112.446,8</w:t>
            </w:r>
          </w:p>
        </w:tc>
        <w:tc>
          <w:tcPr>
            <w:tcW w:w="618" w:type="pct"/>
            <w:tcBorders>
              <w:top w:val="nil"/>
              <w:left w:val="nil"/>
              <w:bottom w:val="nil"/>
              <w:right w:val="nil"/>
            </w:tcBorders>
            <w:shd w:val="clear" w:color="000000" w:fill="FFFFFF"/>
            <w:noWrap/>
            <w:vAlign w:val="center"/>
          </w:tcPr>
          <w:p w14:paraId="6CFE459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23.421,1</w:t>
            </w:r>
          </w:p>
        </w:tc>
        <w:tc>
          <w:tcPr>
            <w:tcW w:w="882" w:type="pct"/>
            <w:tcBorders>
              <w:top w:val="nil"/>
              <w:left w:val="nil"/>
              <w:bottom w:val="nil"/>
              <w:right w:val="nil"/>
            </w:tcBorders>
            <w:shd w:val="clear" w:color="000000" w:fill="FFFFFF"/>
            <w:noWrap/>
            <w:vAlign w:val="center"/>
          </w:tcPr>
          <w:p w14:paraId="71BFFF8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32.812,3</w:t>
            </w:r>
          </w:p>
        </w:tc>
      </w:tr>
      <w:tr w:rsidR="00473C3B" w:rsidRPr="00671E8F" w14:paraId="2C50B807" w14:textId="77777777" w:rsidTr="00473C3B">
        <w:trPr>
          <w:trHeight w:val="20"/>
        </w:trPr>
        <w:tc>
          <w:tcPr>
            <w:tcW w:w="2206" w:type="pct"/>
            <w:tcBorders>
              <w:top w:val="nil"/>
              <w:left w:val="nil"/>
              <w:bottom w:val="nil"/>
              <w:right w:val="nil"/>
            </w:tcBorders>
            <w:shd w:val="clear" w:color="000000" w:fill="FFFFFF"/>
            <w:noWrap/>
            <w:vAlign w:val="center"/>
            <w:hideMark/>
          </w:tcPr>
          <w:p w14:paraId="0C52BC48"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„Србијагас”</w:t>
            </w:r>
          </w:p>
        </w:tc>
        <w:tc>
          <w:tcPr>
            <w:tcW w:w="647" w:type="pct"/>
            <w:tcBorders>
              <w:top w:val="nil"/>
              <w:left w:val="nil"/>
              <w:bottom w:val="nil"/>
              <w:right w:val="nil"/>
            </w:tcBorders>
            <w:shd w:val="clear" w:color="000000" w:fill="FFFFFF"/>
            <w:noWrap/>
            <w:vAlign w:val="center"/>
            <w:hideMark/>
          </w:tcPr>
          <w:p w14:paraId="5D0DBAA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5.488,7</w:t>
            </w:r>
          </w:p>
        </w:tc>
        <w:tc>
          <w:tcPr>
            <w:tcW w:w="647" w:type="pct"/>
            <w:tcBorders>
              <w:top w:val="nil"/>
              <w:left w:val="nil"/>
              <w:bottom w:val="nil"/>
              <w:right w:val="nil"/>
            </w:tcBorders>
            <w:shd w:val="clear" w:color="000000" w:fill="FFFFFF"/>
            <w:noWrap/>
            <w:vAlign w:val="center"/>
            <w:hideMark/>
          </w:tcPr>
          <w:p w14:paraId="72BE376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12.029,8</w:t>
            </w:r>
          </w:p>
        </w:tc>
        <w:tc>
          <w:tcPr>
            <w:tcW w:w="618" w:type="pct"/>
            <w:tcBorders>
              <w:top w:val="nil"/>
              <w:left w:val="nil"/>
              <w:bottom w:val="nil"/>
              <w:right w:val="nil"/>
            </w:tcBorders>
            <w:shd w:val="clear" w:color="000000" w:fill="FFFFFF"/>
            <w:noWrap/>
            <w:vAlign w:val="center"/>
          </w:tcPr>
          <w:p w14:paraId="065FBCF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12.369,3</w:t>
            </w:r>
          </w:p>
        </w:tc>
        <w:tc>
          <w:tcPr>
            <w:tcW w:w="882" w:type="pct"/>
            <w:tcBorders>
              <w:top w:val="nil"/>
              <w:left w:val="nil"/>
              <w:bottom w:val="nil"/>
              <w:right w:val="nil"/>
            </w:tcBorders>
            <w:shd w:val="clear" w:color="000000" w:fill="FFFFFF"/>
            <w:noWrap/>
            <w:vAlign w:val="center"/>
          </w:tcPr>
          <w:p w14:paraId="21E0134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7.575,1</w:t>
            </w:r>
          </w:p>
        </w:tc>
      </w:tr>
      <w:tr w:rsidR="00473C3B" w:rsidRPr="00671E8F" w14:paraId="4ED1E7FA" w14:textId="77777777" w:rsidTr="00473C3B">
        <w:trPr>
          <w:trHeight w:val="20"/>
        </w:trPr>
        <w:tc>
          <w:tcPr>
            <w:tcW w:w="2206" w:type="pct"/>
            <w:tcBorders>
              <w:top w:val="nil"/>
              <w:left w:val="nil"/>
              <w:bottom w:val="nil"/>
              <w:right w:val="nil"/>
            </w:tcBorders>
            <w:shd w:val="clear" w:color="000000" w:fill="FFFFFF"/>
            <w:noWrap/>
            <w:vAlign w:val="center"/>
            <w:hideMark/>
          </w:tcPr>
          <w:p w14:paraId="2FB0BC96" w14:textId="77777777" w:rsidR="00473C3B" w:rsidRPr="00671E8F" w:rsidRDefault="00473C3B" w:rsidP="00473C3B">
            <w:pPr>
              <w:spacing w:after="0" w:line="240" w:lineRule="auto"/>
              <w:jc w:val="left"/>
              <w:rPr>
                <w:rFonts w:eastAsia="Times New Roman" w:cstheme="minorHAnsi"/>
                <w:color w:val="002060"/>
                <w:sz w:val="18"/>
                <w:szCs w:val="18"/>
                <w:highlight w:val="yellow"/>
              </w:rPr>
            </w:pPr>
            <w:r w:rsidRPr="00671E8F">
              <w:rPr>
                <w:rFonts w:eastAsia="Times New Roman" w:cstheme="minorHAnsi"/>
                <w:color w:val="002060"/>
                <w:sz w:val="18"/>
                <w:szCs w:val="18"/>
              </w:rPr>
              <w:t>„Електромрежа Србије” ад</w:t>
            </w:r>
          </w:p>
        </w:tc>
        <w:tc>
          <w:tcPr>
            <w:tcW w:w="647" w:type="pct"/>
            <w:tcBorders>
              <w:top w:val="nil"/>
              <w:left w:val="nil"/>
              <w:bottom w:val="nil"/>
              <w:right w:val="nil"/>
            </w:tcBorders>
            <w:shd w:val="clear" w:color="000000" w:fill="FFFFFF"/>
            <w:noWrap/>
            <w:vAlign w:val="center"/>
          </w:tcPr>
          <w:p w14:paraId="2A3F8A6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8.145,6</w:t>
            </w:r>
          </w:p>
        </w:tc>
        <w:tc>
          <w:tcPr>
            <w:tcW w:w="647" w:type="pct"/>
            <w:tcBorders>
              <w:top w:val="nil"/>
              <w:left w:val="nil"/>
              <w:bottom w:val="nil"/>
              <w:right w:val="nil"/>
            </w:tcBorders>
            <w:shd w:val="clear" w:color="000000" w:fill="FFFFFF"/>
            <w:noWrap/>
            <w:vAlign w:val="center"/>
          </w:tcPr>
          <w:p w14:paraId="62AC747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3.024,9</w:t>
            </w:r>
          </w:p>
        </w:tc>
        <w:tc>
          <w:tcPr>
            <w:tcW w:w="618" w:type="pct"/>
            <w:tcBorders>
              <w:top w:val="nil"/>
              <w:left w:val="nil"/>
              <w:bottom w:val="nil"/>
              <w:right w:val="nil"/>
            </w:tcBorders>
            <w:shd w:val="clear" w:color="000000" w:fill="FFFFFF"/>
            <w:noWrap/>
            <w:vAlign w:val="center"/>
          </w:tcPr>
          <w:p w14:paraId="0CFBFEA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926,5</w:t>
            </w:r>
          </w:p>
        </w:tc>
        <w:tc>
          <w:tcPr>
            <w:tcW w:w="882" w:type="pct"/>
            <w:tcBorders>
              <w:top w:val="nil"/>
              <w:left w:val="nil"/>
              <w:bottom w:val="nil"/>
              <w:right w:val="nil"/>
            </w:tcBorders>
            <w:shd w:val="clear" w:color="000000" w:fill="FFFFFF"/>
            <w:noWrap/>
            <w:vAlign w:val="center"/>
          </w:tcPr>
          <w:p w14:paraId="3A64F9D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3.286,9</w:t>
            </w:r>
          </w:p>
        </w:tc>
      </w:tr>
      <w:tr w:rsidR="00473C3B" w:rsidRPr="00671E8F" w14:paraId="2D9FDDE7" w14:textId="77777777" w:rsidTr="00473C3B">
        <w:trPr>
          <w:trHeight w:val="20"/>
        </w:trPr>
        <w:tc>
          <w:tcPr>
            <w:tcW w:w="2206" w:type="pct"/>
            <w:tcBorders>
              <w:top w:val="nil"/>
              <w:left w:val="nil"/>
              <w:bottom w:val="nil"/>
              <w:right w:val="nil"/>
            </w:tcBorders>
            <w:shd w:val="clear" w:color="000000" w:fill="FFFFFF"/>
            <w:noWrap/>
            <w:vAlign w:val="center"/>
            <w:hideMark/>
          </w:tcPr>
          <w:p w14:paraId="65BD3C1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“Пошта Србије“</w:t>
            </w:r>
          </w:p>
        </w:tc>
        <w:tc>
          <w:tcPr>
            <w:tcW w:w="647" w:type="pct"/>
            <w:tcBorders>
              <w:top w:val="nil"/>
              <w:left w:val="nil"/>
              <w:bottom w:val="nil"/>
              <w:right w:val="nil"/>
            </w:tcBorders>
            <w:shd w:val="clear" w:color="000000" w:fill="FFFFFF"/>
            <w:noWrap/>
            <w:vAlign w:val="center"/>
          </w:tcPr>
          <w:p w14:paraId="27B7D34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2.967,4</w:t>
            </w:r>
          </w:p>
        </w:tc>
        <w:tc>
          <w:tcPr>
            <w:tcW w:w="647" w:type="pct"/>
            <w:tcBorders>
              <w:top w:val="nil"/>
              <w:left w:val="nil"/>
              <w:bottom w:val="nil"/>
              <w:right w:val="nil"/>
            </w:tcBorders>
            <w:shd w:val="clear" w:color="000000" w:fill="FFFFFF"/>
            <w:noWrap/>
            <w:vAlign w:val="center"/>
          </w:tcPr>
          <w:p w14:paraId="5231A4E9"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3.174,4</w:t>
            </w:r>
          </w:p>
        </w:tc>
        <w:tc>
          <w:tcPr>
            <w:tcW w:w="618" w:type="pct"/>
            <w:tcBorders>
              <w:top w:val="nil"/>
              <w:left w:val="nil"/>
              <w:bottom w:val="nil"/>
              <w:right w:val="nil"/>
            </w:tcBorders>
            <w:shd w:val="clear" w:color="000000" w:fill="FFFFFF"/>
            <w:noWrap/>
            <w:vAlign w:val="center"/>
          </w:tcPr>
          <w:p w14:paraId="55904F1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(1.077,5)</w:t>
            </w:r>
          </w:p>
        </w:tc>
        <w:tc>
          <w:tcPr>
            <w:tcW w:w="882" w:type="pct"/>
            <w:tcBorders>
              <w:top w:val="nil"/>
              <w:left w:val="nil"/>
              <w:bottom w:val="nil"/>
              <w:right w:val="nil"/>
            </w:tcBorders>
            <w:shd w:val="clear" w:color="000000" w:fill="FFFFFF"/>
            <w:noWrap/>
            <w:vAlign w:val="center"/>
          </w:tcPr>
          <w:p w14:paraId="1C380EE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1.800,0</w:t>
            </w:r>
          </w:p>
        </w:tc>
      </w:tr>
      <w:tr w:rsidR="00473C3B" w:rsidRPr="00671E8F" w14:paraId="6A3AD5C1" w14:textId="77777777" w:rsidTr="00473C3B">
        <w:trPr>
          <w:trHeight w:val="20"/>
        </w:trPr>
        <w:tc>
          <w:tcPr>
            <w:tcW w:w="2206" w:type="pct"/>
            <w:tcBorders>
              <w:top w:val="nil"/>
              <w:left w:val="nil"/>
              <w:bottom w:val="nil"/>
              <w:right w:val="nil"/>
            </w:tcBorders>
            <w:shd w:val="clear" w:color="000000" w:fill="FFFFFF"/>
            <w:noWrap/>
            <w:vAlign w:val="center"/>
            <w:hideMark/>
          </w:tcPr>
          <w:p w14:paraId="6910ACAD"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„Србијавоз” ад</w:t>
            </w:r>
          </w:p>
        </w:tc>
        <w:tc>
          <w:tcPr>
            <w:tcW w:w="647" w:type="pct"/>
            <w:tcBorders>
              <w:top w:val="nil"/>
              <w:left w:val="nil"/>
              <w:bottom w:val="nil"/>
              <w:right w:val="nil"/>
            </w:tcBorders>
            <w:shd w:val="clear" w:color="000000" w:fill="FFFFFF"/>
            <w:noWrap/>
            <w:vAlign w:val="center"/>
          </w:tcPr>
          <w:p w14:paraId="3FBD46C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(344,2)</w:t>
            </w:r>
          </w:p>
        </w:tc>
        <w:tc>
          <w:tcPr>
            <w:tcW w:w="647" w:type="pct"/>
            <w:tcBorders>
              <w:top w:val="nil"/>
              <w:left w:val="nil"/>
              <w:bottom w:val="nil"/>
              <w:right w:val="nil"/>
            </w:tcBorders>
            <w:shd w:val="clear" w:color="000000" w:fill="FFFFFF"/>
            <w:noWrap/>
            <w:vAlign w:val="center"/>
          </w:tcPr>
          <w:p w14:paraId="5B52447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176,0</w:t>
            </w:r>
          </w:p>
        </w:tc>
        <w:tc>
          <w:tcPr>
            <w:tcW w:w="618" w:type="pct"/>
            <w:tcBorders>
              <w:top w:val="nil"/>
              <w:left w:val="nil"/>
              <w:bottom w:val="nil"/>
              <w:right w:val="nil"/>
            </w:tcBorders>
            <w:shd w:val="clear" w:color="000000" w:fill="FFFFFF"/>
            <w:noWrap/>
            <w:vAlign w:val="center"/>
          </w:tcPr>
          <w:p w14:paraId="7E1A990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(64,3)</w:t>
            </w:r>
          </w:p>
        </w:tc>
        <w:tc>
          <w:tcPr>
            <w:tcW w:w="882" w:type="pct"/>
            <w:tcBorders>
              <w:top w:val="nil"/>
              <w:left w:val="nil"/>
              <w:bottom w:val="nil"/>
              <w:right w:val="nil"/>
            </w:tcBorders>
            <w:shd w:val="clear" w:color="000000" w:fill="FFFFFF"/>
            <w:noWrap/>
            <w:vAlign w:val="center"/>
          </w:tcPr>
          <w:p w14:paraId="5D6E443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488,1</w:t>
            </w:r>
          </w:p>
        </w:tc>
      </w:tr>
      <w:tr w:rsidR="00473C3B" w:rsidRPr="00671E8F" w14:paraId="68C04E9C" w14:textId="77777777" w:rsidTr="00473C3B">
        <w:trPr>
          <w:trHeight w:val="20"/>
        </w:trPr>
        <w:tc>
          <w:tcPr>
            <w:tcW w:w="2206" w:type="pct"/>
            <w:tcBorders>
              <w:top w:val="nil"/>
              <w:left w:val="nil"/>
              <w:bottom w:val="nil"/>
              <w:right w:val="nil"/>
            </w:tcBorders>
            <w:shd w:val="clear" w:color="000000" w:fill="FFFFFF"/>
            <w:noWrap/>
            <w:vAlign w:val="center"/>
            <w:hideMark/>
          </w:tcPr>
          <w:p w14:paraId="6E2731A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„Скијалишта Србије”</w:t>
            </w:r>
          </w:p>
        </w:tc>
        <w:tc>
          <w:tcPr>
            <w:tcW w:w="647" w:type="pct"/>
            <w:tcBorders>
              <w:top w:val="nil"/>
              <w:left w:val="nil"/>
              <w:bottom w:val="nil"/>
              <w:right w:val="nil"/>
            </w:tcBorders>
            <w:shd w:val="clear" w:color="000000" w:fill="FFFFFF"/>
            <w:noWrap/>
            <w:vAlign w:val="center"/>
          </w:tcPr>
          <w:p w14:paraId="70A93DD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242,3</w:t>
            </w:r>
          </w:p>
        </w:tc>
        <w:tc>
          <w:tcPr>
            <w:tcW w:w="647" w:type="pct"/>
            <w:tcBorders>
              <w:top w:val="nil"/>
              <w:left w:val="nil"/>
              <w:bottom w:val="nil"/>
              <w:right w:val="nil"/>
            </w:tcBorders>
            <w:shd w:val="clear" w:color="000000" w:fill="FFFFFF"/>
            <w:noWrap/>
            <w:vAlign w:val="center"/>
          </w:tcPr>
          <w:p w14:paraId="27B56CE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59,6</w:t>
            </w:r>
          </w:p>
        </w:tc>
        <w:tc>
          <w:tcPr>
            <w:tcW w:w="618" w:type="pct"/>
            <w:tcBorders>
              <w:top w:val="nil"/>
              <w:left w:val="nil"/>
              <w:bottom w:val="nil"/>
              <w:right w:val="nil"/>
            </w:tcBorders>
            <w:shd w:val="clear" w:color="000000" w:fill="FFFFFF"/>
            <w:noWrap/>
            <w:vAlign w:val="center"/>
          </w:tcPr>
          <w:p w14:paraId="761F4B4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368,6</w:t>
            </w:r>
          </w:p>
        </w:tc>
        <w:tc>
          <w:tcPr>
            <w:tcW w:w="882" w:type="pct"/>
            <w:tcBorders>
              <w:top w:val="nil"/>
              <w:left w:val="nil"/>
              <w:bottom w:val="nil"/>
              <w:right w:val="nil"/>
            </w:tcBorders>
            <w:shd w:val="clear" w:color="000000" w:fill="FFFFFF"/>
            <w:noWrap/>
            <w:vAlign w:val="center"/>
          </w:tcPr>
          <w:p w14:paraId="2998DF6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326,4</w:t>
            </w:r>
          </w:p>
        </w:tc>
      </w:tr>
      <w:tr w:rsidR="00473C3B" w:rsidRPr="00671E8F" w14:paraId="4A3D2F42" w14:textId="77777777" w:rsidTr="00473C3B">
        <w:trPr>
          <w:trHeight w:val="20"/>
        </w:trPr>
        <w:tc>
          <w:tcPr>
            <w:tcW w:w="2206" w:type="pct"/>
            <w:tcBorders>
              <w:top w:val="nil"/>
              <w:left w:val="nil"/>
              <w:bottom w:val="nil"/>
              <w:right w:val="nil"/>
            </w:tcBorders>
            <w:shd w:val="clear" w:color="000000" w:fill="FFFFFF"/>
            <w:noWrap/>
            <w:vAlign w:val="center"/>
            <w:hideMark/>
          </w:tcPr>
          <w:p w14:paraId="349493BC"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„Дипос” доо</w:t>
            </w:r>
          </w:p>
        </w:tc>
        <w:tc>
          <w:tcPr>
            <w:tcW w:w="647" w:type="pct"/>
            <w:tcBorders>
              <w:top w:val="nil"/>
              <w:left w:val="nil"/>
              <w:bottom w:val="nil"/>
              <w:right w:val="nil"/>
            </w:tcBorders>
            <w:shd w:val="clear" w:color="000000" w:fill="FFFFFF"/>
            <w:noWrap/>
            <w:vAlign w:val="center"/>
          </w:tcPr>
          <w:p w14:paraId="42F45DB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143,2</w:t>
            </w:r>
          </w:p>
        </w:tc>
        <w:tc>
          <w:tcPr>
            <w:tcW w:w="647" w:type="pct"/>
            <w:tcBorders>
              <w:top w:val="nil"/>
              <w:left w:val="nil"/>
              <w:bottom w:val="nil"/>
              <w:right w:val="nil"/>
            </w:tcBorders>
            <w:shd w:val="clear" w:color="000000" w:fill="FFFFFF"/>
            <w:noWrap/>
            <w:vAlign w:val="center"/>
          </w:tcPr>
          <w:p w14:paraId="33BB840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193,4</w:t>
            </w:r>
          </w:p>
        </w:tc>
        <w:tc>
          <w:tcPr>
            <w:tcW w:w="618" w:type="pct"/>
            <w:tcBorders>
              <w:top w:val="nil"/>
              <w:left w:val="nil"/>
              <w:bottom w:val="nil"/>
              <w:right w:val="nil"/>
            </w:tcBorders>
            <w:shd w:val="clear" w:color="000000" w:fill="FFFFFF"/>
            <w:noWrap/>
            <w:vAlign w:val="center"/>
          </w:tcPr>
          <w:p w14:paraId="3BC4DEE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75,3</w:t>
            </w:r>
          </w:p>
        </w:tc>
        <w:tc>
          <w:tcPr>
            <w:tcW w:w="882" w:type="pct"/>
            <w:tcBorders>
              <w:top w:val="nil"/>
              <w:left w:val="nil"/>
              <w:bottom w:val="nil"/>
              <w:right w:val="nil"/>
            </w:tcBorders>
            <w:shd w:val="clear" w:color="000000" w:fill="FFFFFF"/>
            <w:noWrap/>
            <w:vAlign w:val="center"/>
          </w:tcPr>
          <w:p w14:paraId="0AA72B8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145,8</w:t>
            </w:r>
          </w:p>
        </w:tc>
      </w:tr>
      <w:tr w:rsidR="00473C3B" w:rsidRPr="00671E8F" w14:paraId="1CF2A7EE" w14:textId="77777777" w:rsidTr="00473C3B">
        <w:trPr>
          <w:trHeight w:val="20"/>
        </w:trPr>
        <w:tc>
          <w:tcPr>
            <w:tcW w:w="2206" w:type="pct"/>
            <w:tcBorders>
              <w:top w:val="nil"/>
              <w:left w:val="nil"/>
              <w:bottom w:val="nil"/>
              <w:right w:val="nil"/>
            </w:tcBorders>
            <w:shd w:val="clear" w:color="000000" w:fill="FFFFFF"/>
            <w:noWrap/>
            <w:vAlign w:val="center"/>
          </w:tcPr>
          <w:p w14:paraId="284ADBAF"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„Државна лутрија Србије” доо</w:t>
            </w:r>
          </w:p>
        </w:tc>
        <w:tc>
          <w:tcPr>
            <w:tcW w:w="647" w:type="pct"/>
            <w:tcBorders>
              <w:top w:val="nil"/>
              <w:left w:val="nil"/>
              <w:bottom w:val="nil"/>
              <w:right w:val="nil"/>
            </w:tcBorders>
            <w:shd w:val="clear" w:color="000000" w:fill="FFFFFF"/>
            <w:noWrap/>
            <w:vAlign w:val="center"/>
          </w:tcPr>
          <w:p w14:paraId="5ADA80D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292,5</w:t>
            </w:r>
          </w:p>
        </w:tc>
        <w:tc>
          <w:tcPr>
            <w:tcW w:w="647" w:type="pct"/>
            <w:tcBorders>
              <w:top w:val="nil"/>
              <w:left w:val="nil"/>
              <w:bottom w:val="nil"/>
              <w:right w:val="nil"/>
            </w:tcBorders>
            <w:shd w:val="clear" w:color="000000" w:fill="FFFFFF"/>
            <w:noWrap/>
            <w:vAlign w:val="center"/>
          </w:tcPr>
          <w:p w14:paraId="0B8DC81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273,3</w:t>
            </w:r>
          </w:p>
        </w:tc>
        <w:tc>
          <w:tcPr>
            <w:tcW w:w="618" w:type="pct"/>
            <w:tcBorders>
              <w:top w:val="nil"/>
              <w:left w:val="nil"/>
              <w:bottom w:val="nil"/>
              <w:right w:val="nil"/>
            </w:tcBorders>
            <w:shd w:val="clear" w:color="000000" w:fill="FFFFFF"/>
            <w:noWrap/>
            <w:vAlign w:val="center"/>
          </w:tcPr>
          <w:p w14:paraId="5943051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14,4</w:t>
            </w:r>
          </w:p>
        </w:tc>
        <w:tc>
          <w:tcPr>
            <w:tcW w:w="882" w:type="pct"/>
            <w:tcBorders>
              <w:top w:val="nil"/>
              <w:left w:val="nil"/>
              <w:bottom w:val="nil"/>
              <w:right w:val="nil"/>
            </w:tcBorders>
            <w:shd w:val="clear" w:color="000000" w:fill="FFFFFF"/>
            <w:noWrap/>
            <w:vAlign w:val="center"/>
          </w:tcPr>
          <w:p w14:paraId="7B26DCD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102,0</w:t>
            </w:r>
          </w:p>
        </w:tc>
      </w:tr>
      <w:tr w:rsidR="00473C3B" w:rsidRPr="00671E8F" w14:paraId="0BF50679" w14:textId="77777777" w:rsidTr="00473C3B">
        <w:trPr>
          <w:trHeight w:val="20"/>
        </w:trPr>
        <w:tc>
          <w:tcPr>
            <w:tcW w:w="2206" w:type="pct"/>
            <w:tcBorders>
              <w:top w:val="nil"/>
              <w:left w:val="nil"/>
              <w:bottom w:val="nil"/>
              <w:right w:val="nil"/>
            </w:tcBorders>
            <w:shd w:val="clear" w:color="000000" w:fill="FFFFFF"/>
            <w:noWrap/>
            <w:vAlign w:val="center"/>
          </w:tcPr>
          <w:p w14:paraId="2421132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„Национални парк Копаоник”</w:t>
            </w:r>
          </w:p>
        </w:tc>
        <w:tc>
          <w:tcPr>
            <w:tcW w:w="647" w:type="pct"/>
            <w:tcBorders>
              <w:top w:val="nil"/>
              <w:left w:val="nil"/>
              <w:bottom w:val="nil"/>
              <w:right w:val="nil"/>
            </w:tcBorders>
            <w:shd w:val="clear" w:color="000000" w:fill="FFFFFF"/>
            <w:noWrap/>
            <w:vAlign w:val="center"/>
          </w:tcPr>
          <w:p w14:paraId="23E79F46"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11,1</w:t>
            </w:r>
          </w:p>
        </w:tc>
        <w:tc>
          <w:tcPr>
            <w:tcW w:w="647" w:type="pct"/>
            <w:tcBorders>
              <w:top w:val="nil"/>
              <w:left w:val="nil"/>
              <w:bottom w:val="nil"/>
              <w:right w:val="nil"/>
            </w:tcBorders>
            <w:shd w:val="clear" w:color="000000" w:fill="FFFFFF"/>
            <w:noWrap/>
            <w:vAlign w:val="center"/>
          </w:tcPr>
          <w:p w14:paraId="07D6027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10,1</w:t>
            </w:r>
          </w:p>
        </w:tc>
        <w:tc>
          <w:tcPr>
            <w:tcW w:w="618" w:type="pct"/>
            <w:tcBorders>
              <w:top w:val="nil"/>
              <w:left w:val="nil"/>
              <w:bottom w:val="nil"/>
              <w:right w:val="nil"/>
            </w:tcBorders>
            <w:shd w:val="clear" w:color="000000" w:fill="FFFFFF"/>
            <w:noWrap/>
            <w:vAlign w:val="center"/>
          </w:tcPr>
          <w:p w14:paraId="382883DD"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51,7</w:t>
            </w:r>
          </w:p>
        </w:tc>
        <w:tc>
          <w:tcPr>
            <w:tcW w:w="882" w:type="pct"/>
            <w:tcBorders>
              <w:top w:val="nil"/>
              <w:left w:val="nil"/>
              <w:bottom w:val="nil"/>
              <w:right w:val="nil"/>
            </w:tcBorders>
            <w:shd w:val="clear" w:color="000000" w:fill="FFFFFF"/>
            <w:noWrap/>
            <w:vAlign w:val="center"/>
          </w:tcPr>
          <w:p w14:paraId="055794D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52,3</w:t>
            </w:r>
          </w:p>
        </w:tc>
      </w:tr>
      <w:tr w:rsidR="00473C3B" w:rsidRPr="00671E8F" w14:paraId="47F12130" w14:textId="77777777" w:rsidTr="00473C3B">
        <w:trPr>
          <w:trHeight w:val="20"/>
        </w:trPr>
        <w:tc>
          <w:tcPr>
            <w:tcW w:w="2206" w:type="pct"/>
            <w:tcBorders>
              <w:top w:val="nil"/>
              <w:left w:val="nil"/>
              <w:bottom w:val="nil"/>
              <w:right w:val="nil"/>
            </w:tcBorders>
            <w:shd w:val="clear" w:color="000000" w:fill="FFFFFF"/>
            <w:noWrap/>
            <w:vAlign w:val="center"/>
          </w:tcPr>
          <w:p w14:paraId="5205FCB0"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„Емисиона техника и везе”</w:t>
            </w:r>
          </w:p>
        </w:tc>
        <w:tc>
          <w:tcPr>
            <w:tcW w:w="647" w:type="pct"/>
            <w:tcBorders>
              <w:top w:val="nil"/>
              <w:left w:val="nil"/>
              <w:bottom w:val="nil"/>
              <w:right w:val="nil"/>
            </w:tcBorders>
            <w:shd w:val="clear" w:color="000000" w:fill="FFFFFF"/>
            <w:noWrap/>
            <w:vAlign w:val="center"/>
          </w:tcPr>
          <w:p w14:paraId="4ABBD6A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45,4</w:t>
            </w:r>
          </w:p>
        </w:tc>
        <w:tc>
          <w:tcPr>
            <w:tcW w:w="647" w:type="pct"/>
            <w:tcBorders>
              <w:top w:val="nil"/>
              <w:left w:val="nil"/>
              <w:bottom w:val="nil"/>
              <w:right w:val="nil"/>
            </w:tcBorders>
            <w:shd w:val="clear" w:color="000000" w:fill="FFFFFF"/>
            <w:noWrap/>
            <w:vAlign w:val="center"/>
          </w:tcPr>
          <w:p w14:paraId="2325F7D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48,9</w:t>
            </w:r>
          </w:p>
        </w:tc>
        <w:tc>
          <w:tcPr>
            <w:tcW w:w="618" w:type="pct"/>
            <w:tcBorders>
              <w:top w:val="nil"/>
              <w:left w:val="nil"/>
              <w:bottom w:val="nil"/>
              <w:right w:val="nil"/>
            </w:tcBorders>
            <w:shd w:val="clear" w:color="000000" w:fill="FFFFFF"/>
            <w:noWrap/>
            <w:vAlign w:val="center"/>
          </w:tcPr>
          <w:p w14:paraId="02A2D286"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(121,7)</w:t>
            </w:r>
          </w:p>
        </w:tc>
        <w:tc>
          <w:tcPr>
            <w:tcW w:w="882" w:type="pct"/>
            <w:tcBorders>
              <w:top w:val="nil"/>
              <w:left w:val="nil"/>
              <w:bottom w:val="nil"/>
              <w:right w:val="nil"/>
            </w:tcBorders>
            <w:shd w:val="clear" w:color="000000" w:fill="FFFFFF"/>
            <w:noWrap/>
            <w:vAlign w:val="center"/>
          </w:tcPr>
          <w:p w14:paraId="3B730E1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40,8</w:t>
            </w:r>
          </w:p>
        </w:tc>
      </w:tr>
      <w:tr w:rsidR="00473C3B" w:rsidRPr="00671E8F" w14:paraId="364EC51E" w14:textId="77777777" w:rsidTr="00473C3B">
        <w:trPr>
          <w:trHeight w:val="20"/>
        </w:trPr>
        <w:tc>
          <w:tcPr>
            <w:tcW w:w="2206" w:type="pct"/>
            <w:tcBorders>
              <w:top w:val="nil"/>
              <w:left w:val="nil"/>
              <w:bottom w:val="nil"/>
              <w:right w:val="nil"/>
            </w:tcBorders>
            <w:shd w:val="clear" w:color="000000" w:fill="FFFFFF"/>
            <w:noWrap/>
            <w:vAlign w:val="center"/>
          </w:tcPr>
          <w:p w14:paraId="08931731" w14:textId="77777777" w:rsidR="00473C3B" w:rsidRPr="00671E8F" w:rsidRDefault="00473C3B" w:rsidP="00473C3B">
            <w:pPr>
              <w:spacing w:after="0" w:line="240" w:lineRule="auto"/>
              <w:jc w:val="left"/>
              <w:rPr>
                <w:rFonts w:eastAsia="Times New Roman" w:cstheme="minorHAnsi"/>
                <w:color w:val="002060"/>
                <w:sz w:val="18"/>
                <w:szCs w:val="18"/>
                <w:highlight w:val="yellow"/>
              </w:rPr>
            </w:pPr>
            <w:r w:rsidRPr="00671E8F">
              <w:rPr>
                <w:rFonts w:eastAsia="Times New Roman" w:cstheme="minorHAnsi"/>
                <w:color w:val="002060"/>
                <w:sz w:val="18"/>
                <w:szCs w:val="18"/>
              </w:rPr>
              <w:t>Јавно предузеће “Србијашуме“</w:t>
            </w:r>
          </w:p>
        </w:tc>
        <w:tc>
          <w:tcPr>
            <w:tcW w:w="647" w:type="pct"/>
            <w:tcBorders>
              <w:top w:val="nil"/>
              <w:left w:val="nil"/>
              <w:bottom w:val="nil"/>
              <w:right w:val="nil"/>
            </w:tcBorders>
            <w:shd w:val="clear" w:color="000000" w:fill="FFFFFF"/>
            <w:noWrap/>
            <w:vAlign w:val="center"/>
          </w:tcPr>
          <w:p w14:paraId="0DED63B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737,9</w:t>
            </w:r>
          </w:p>
        </w:tc>
        <w:tc>
          <w:tcPr>
            <w:tcW w:w="647" w:type="pct"/>
            <w:tcBorders>
              <w:top w:val="nil"/>
              <w:left w:val="nil"/>
              <w:bottom w:val="nil"/>
              <w:right w:val="nil"/>
            </w:tcBorders>
            <w:shd w:val="clear" w:color="000000" w:fill="FFFFFF"/>
            <w:noWrap/>
            <w:vAlign w:val="center"/>
          </w:tcPr>
          <w:p w14:paraId="6717C7D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725,7</w:t>
            </w:r>
          </w:p>
        </w:tc>
        <w:tc>
          <w:tcPr>
            <w:tcW w:w="618" w:type="pct"/>
            <w:tcBorders>
              <w:top w:val="nil"/>
              <w:left w:val="nil"/>
              <w:bottom w:val="nil"/>
              <w:right w:val="nil"/>
            </w:tcBorders>
            <w:shd w:val="clear" w:color="000000" w:fill="FFFFFF"/>
            <w:noWrap/>
            <w:vAlign w:val="center"/>
          </w:tcPr>
          <w:p w14:paraId="165B355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18,1</w:t>
            </w:r>
          </w:p>
        </w:tc>
        <w:tc>
          <w:tcPr>
            <w:tcW w:w="882" w:type="pct"/>
            <w:tcBorders>
              <w:top w:val="nil"/>
              <w:left w:val="nil"/>
              <w:bottom w:val="nil"/>
              <w:right w:val="nil"/>
            </w:tcBorders>
            <w:shd w:val="clear" w:color="000000" w:fill="FFFFFF"/>
            <w:noWrap/>
            <w:vAlign w:val="center"/>
          </w:tcPr>
          <w:p w14:paraId="441A0C1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31,6</w:t>
            </w:r>
          </w:p>
        </w:tc>
      </w:tr>
      <w:tr w:rsidR="00473C3B" w:rsidRPr="00671E8F" w14:paraId="316DD0C0" w14:textId="77777777" w:rsidTr="00473C3B">
        <w:trPr>
          <w:trHeight w:val="20"/>
        </w:trPr>
        <w:tc>
          <w:tcPr>
            <w:tcW w:w="2206" w:type="pct"/>
            <w:tcBorders>
              <w:top w:val="nil"/>
              <w:left w:val="nil"/>
              <w:bottom w:val="nil"/>
              <w:right w:val="nil"/>
            </w:tcBorders>
            <w:shd w:val="clear" w:color="000000" w:fill="FFFFFF"/>
            <w:noWrap/>
            <w:vAlign w:val="center"/>
          </w:tcPr>
          <w:p w14:paraId="06ECE5EC"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”Просветни преглед” доо</w:t>
            </w:r>
          </w:p>
        </w:tc>
        <w:tc>
          <w:tcPr>
            <w:tcW w:w="647" w:type="pct"/>
            <w:tcBorders>
              <w:top w:val="nil"/>
              <w:left w:val="nil"/>
              <w:bottom w:val="nil"/>
              <w:right w:val="nil"/>
            </w:tcBorders>
            <w:shd w:val="clear" w:color="000000" w:fill="FFFFFF"/>
            <w:noWrap/>
            <w:vAlign w:val="center"/>
          </w:tcPr>
          <w:p w14:paraId="493D2FED"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23,9</w:t>
            </w:r>
          </w:p>
        </w:tc>
        <w:tc>
          <w:tcPr>
            <w:tcW w:w="647" w:type="pct"/>
            <w:tcBorders>
              <w:top w:val="nil"/>
              <w:left w:val="nil"/>
              <w:bottom w:val="nil"/>
              <w:right w:val="nil"/>
            </w:tcBorders>
            <w:shd w:val="clear" w:color="000000" w:fill="FFFFFF"/>
            <w:noWrap/>
            <w:vAlign w:val="center"/>
          </w:tcPr>
          <w:p w14:paraId="4B6482D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27,1</w:t>
            </w:r>
          </w:p>
        </w:tc>
        <w:tc>
          <w:tcPr>
            <w:tcW w:w="618" w:type="pct"/>
            <w:tcBorders>
              <w:top w:val="nil"/>
              <w:left w:val="nil"/>
              <w:bottom w:val="nil"/>
              <w:right w:val="nil"/>
            </w:tcBorders>
            <w:shd w:val="clear" w:color="000000" w:fill="FFFFFF"/>
            <w:noWrap/>
            <w:vAlign w:val="center"/>
          </w:tcPr>
          <w:p w14:paraId="69FC79F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17,5</w:t>
            </w:r>
          </w:p>
        </w:tc>
        <w:tc>
          <w:tcPr>
            <w:tcW w:w="882" w:type="pct"/>
            <w:tcBorders>
              <w:top w:val="nil"/>
              <w:left w:val="nil"/>
              <w:bottom w:val="nil"/>
              <w:right w:val="nil"/>
            </w:tcBorders>
            <w:shd w:val="clear" w:color="000000" w:fill="FFFFFF"/>
            <w:noWrap/>
            <w:vAlign w:val="center"/>
          </w:tcPr>
          <w:p w14:paraId="15DF452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28,3</w:t>
            </w:r>
          </w:p>
        </w:tc>
      </w:tr>
      <w:tr w:rsidR="00473C3B" w:rsidRPr="00671E8F" w14:paraId="19BEBF5C" w14:textId="77777777" w:rsidTr="00473C3B">
        <w:trPr>
          <w:trHeight w:val="20"/>
        </w:trPr>
        <w:tc>
          <w:tcPr>
            <w:tcW w:w="2206" w:type="pct"/>
            <w:tcBorders>
              <w:top w:val="nil"/>
              <w:left w:val="nil"/>
              <w:bottom w:val="nil"/>
              <w:right w:val="nil"/>
            </w:tcBorders>
            <w:shd w:val="clear" w:color="000000" w:fill="FFFFFF"/>
            <w:noWrap/>
            <w:vAlign w:val="center"/>
          </w:tcPr>
          <w:p w14:paraId="5CEE23D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“Службени гласник“</w:t>
            </w:r>
          </w:p>
        </w:tc>
        <w:tc>
          <w:tcPr>
            <w:tcW w:w="647" w:type="pct"/>
            <w:tcBorders>
              <w:top w:val="nil"/>
              <w:left w:val="nil"/>
              <w:bottom w:val="nil"/>
              <w:right w:val="nil"/>
            </w:tcBorders>
            <w:shd w:val="clear" w:color="000000" w:fill="FFFFFF"/>
            <w:noWrap/>
            <w:vAlign w:val="center"/>
          </w:tcPr>
          <w:p w14:paraId="36E139D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8,4</w:t>
            </w:r>
          </w:p>
        </w:tc>
        <w:tc>
          <w:tcPr>
            <w:tcW w:w="647" w:type="pct"/>
            <w:tcBorders>
              <w:top w:val="nil"/>
              <w:left w:val="nil"/>
              <w:bottom w:val="nil"/>
              <w:right w:val="nil"/>
            </w:tcBorders>
            <w:shd w:val="clear" w:color="000000" w:fill="FFFFFF"/>
            <w:noWrap/>
            <w:vAlign w:val="center"/>
          </w:tcPr>
          <w:p w14:paraId="7974749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6,8</w:t>
            </w:r>
          </w:p>
        </w:tc>
        <w:tc>
          <w:tcPr>
            <w:tcW w:w="618" w:type="pct"/>
            <w:tcBorders>
              <w:top w:val="nil"/>
              <w:left w:val="nil"/>
              <w:bottom w:val="nil"/>
              <w:right w:val="nil"/>
            </w:tcBorders>
            <w:shd w:val="clear" w:color="000000" w:fill="FFFFFF"/>
            <w:noWrap/>
            <w:vAlign w:val="center"/>
          </w:tcPr>
          <w:p w14:paraId="03A9F1B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20,4</w:t>
            </w:r>
          </w:p>
        </w:tc>
        <w:tc>
          <w:tcPr>
            <w:tcW w:w="882" w:type="pct"/>
            <w:tcBorders>
              <w:top w:val="nil"/>
              <w:left w:val="nil"/>
              <w:bottom w:val="nil"/>
              <w:right w:val="nil"/>
            </w:tcBorders>
            <w:shd w:val="clear" w:color="000000" w:fill="FFFFFF"/>
            <w:noWrap/>
            <w:vAlign w:val="center"/>
          </w:tcPr>
          <w:p w14:paraId="29AAD51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10,5</w:t>
            </w:r>
          </w:p>
        </w:tc>
      </w:tr>
      <w:tr w:rsidR="00473C3B" w:rsidRPr="00671E8F" w14:paraId="3EE8712E" w14:textId="77777777" w:rsidTr="00473C3B">
        <w:trPr>
          <w:trHeight w:val="20"/>
        </w:trPr>
        <w:tc>
          <w:tcPr>
            <w:tcW w:w="2206" w:type="pct"/>
            <w:tcBorders>
              <w:top w:val="nil"/>
              <w:left w:val="nil"/>
              <w:bottom w:val="nil"/>
              <w:right w:val="nil"/>
            </w:tcBorders>
            <w:shd w:val="clear" w:color="000000" w:fill="FFFFFF"/>
            <w:noWrap/>
            <w:vAlign w:val="center"/>
          </w:tcPr>
          <w:p w14:paraId="45BFEFA2"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„Нуклеарни објекти”</w:t>
            </w:r>
          </w:p>
        </w:tc>
        <w:tc>
          <w:tcPr>
            <w:tcW w:w="647" w:type="pct"/>
            <w:tcBorders>
              <w:top w:val="nil"/>
              <w:left w:val="nil"/>
              <w:bottom w:val="nil"/>
              <w:right w:val="nil"/>
            </w:tcBorders>
            <w:shd w:val="clear" w:color="000000" w:fill="FFFFFF"/>
            <w:noWrap/>
            <w:vAlign w:val="center"/>
          </w:tcPr>
          <w:p w14:paraId="6F58F111"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15,0</w:t>
            </w:r>
          </w:p>
        </w:tc>
        <w:tc>
          <w:tcPr>
            <w:tcW w:w="647" w:type="pct"/>
            <w:tcBorders>
              <w:top w:val="nil"/>
              <w:left w:val="nil"/>
              <w:bottom w:val="nil"/>
              <w:right w:val="nil"/>
            </w:tcBorders>
            <w:shd w:val="clear" w:color="000000" w:fill="FFFFFF"/>
            <w:noWrap/>
            <w:vAlign w:val="center"/>
          </w:tcPr>
          <w:p w14:paraId="4225038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16,0</w:t>
            </w:r>
          </w:p>
        </w:tc>
        <w:tc>
          <w:tcPr>
            <w:tcW w:w="618" w:type="pct"/>
            <w:tcBorders>
              <w:top w:val="nil"/>
              <w:left w:val="nil"/>
              <w:bottom w:val="nil"/>
              <w:right w:val="nil"/>
            </w:tcBorders>
            <w:shd w:val="clear" w:color="000000" w:fill="FFFFFF"/>
            <w:noWrap/>
            <w:vAlign w:val="center"/>
          </w:tcPr>
          <w:p w14:paraId="210415C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0,8</w:t>
            </w:r>
          </w:p>
        </w:tc>
        <w:tc>
          <w:tcPr>
            <w:tcW w:w="882" w:type="pct"/>
            <w:tcBorders>
              <w:top w:val="nil"/>
              <w:left w:val="nil"/>
              <w:bottom w:val="nil"/>
              <w:right w:val="nil"/>
            </w:tcBorders>
            <w:shd w:val="clear" w:color="000000" w:fill="FFFFFF"/>
            <w:noWrap/>
            <w:vAlign w:val="center"/>
          </w:tcPr>
          <w:p w14:paraId="34C32ED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7,6</w:t>
            </w:r>
          </w:p>
        </w:tc>
      </w:tr>
      <w:tr w:rsidR="00473C3B" w:rsidRPr="00671E8F" w14:paraId="6F2C4C38" w14:textId="77777777" w:rsidTr="00473C3B">
        <w:trPr>
          <w:trHeight w:val="20"/>
        </w:trPr>
        <w:tc>
          <w:tcPr>
            <w:tcW w:w="2206" w:type="pct"/>
            <w:tcBorders>
              <w:top w:val="nil"/>
              <w:left w:val="nil"/>
              <w:bottom w:val="nil"/>
              <w:right w:val="nil"/>
            </w:tcBorders>
            <w:shd w:val="clear" w:color="000000" w:fill="FFFFFF"/>
            <w:noWrap/>
            <w:vAlign w:val="center"/>
            <w:hideMark/>
          </w:tcPr>
          <w:p w14:paraId="764AB658"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„Национални парк Тара”</w:t>
            </w:r>
          </w:p>
        </w:tc>
        <w:tc>
          <w:tcPr>
            <w:tcW w:w="647" w:type="pct"/>
            <w:tcBorders>
              <w:top w:val="nil"/>
              <w:left w:val="nil"/>
              <w:bottom w:val="nil"/>
              <w:right w:val="nil"/>
            </w:tcBorders>
            <w:shd w:val="clear" w:color="000000" w:fill="FFFFFF"/>
            <w:noWrap/>
            <w:vAlign w:val="center"/>
            <w:hideMark/>
          </w:tcPr>
          <w:p w14:paraId="2B42367F"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6,9</w:t>
            </w:r>
          </w:p>
        </w:tc>
        <w:tc>
          <w:tcPr>
            <w:tcW w:w="647" w:type="pct"/>
            <w:tcBorders>
              <w:top w:val="nil"/>
              <w:left w:val="nil"/>
              <w:bottom w:val="nil"/>
              <w:right w:val="nil"/>
            </w:tcBorders>
            <w:shd w:val="clear" w:color="000000" w:fill="FFFFFF"/>
            <w:noWrap/>
            <w:vAlign w:val="center"/>
            <w:hideMark/>
          </w:tcPr>
          <w:p w14:paraId="2631689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15,8</w:t>
            </w:r>
          </w:p>
        </w:tc>
        <w:tc>
          <w:tcPr>
            <w:tcW w:w="618" w:type="pct"/>
            <w:tcBorders>
              <w:top w:val="nil"/>
              <w:left w:val="nil"/>
              <w:bottom w:val="nil"/>
              <w:right w:val="nil"/>
            </w:tcBorders>
            <w:shd w:val="clear" w:color="000000" w:fill="FFFFFF"/>
            <w:noWrap/>
            <w:vAlign w:val="center"/>
          </w:tcPr>
          <w:p w14:paraId="508693D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2,4</w:t>
            </w:r>
          </w:p>
        </w:tc>
        <w:tc>
          <w:tcPr>
            <w:tcW w:w="882" w:type="pct"/>
            <w:tcBorders>
              <w:top w:val="nil"/>
              <w:left w:val="nil"/>
              <w:bottom w:val="nil"/>
              <w:right w:val="nil"/>
            </w:tcBorders>
            <w:shd w:val="clear" w:color="000000" w:fill="FFFFFF"/>
            <w:noWrap/>
            <w:vAlign w:val="center"/>
          </w:tcPr>
          <w:p w14:paraId="55E28C46"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6,0</w:t>
            </w:r>
          </w:p>
        </w:tc>
      </w:tr>
      <w:tr w:rsidR="00473C3B" w:rsidRPr="00671E8F" w14:paraId="3043E4CA" w14:textId="77777777" w:rsidTr="00473C3B">
        <w:trPr>
          <w:trHeight w:val="20"/>
        </w:trPr>
        <w:tc>
          <w:tcPr>
            <w:tcW w:w="2206" w:type="pct"/>
            <w:tcBorders>
              <w:top w:val="nil"/>
              <w:left w:val="nil"/>
              <w:bottom w:val="nil"/>
              <w:right w:val="nil"/>
            </w:tcBorders>
            <w:shd w:val="clear" w:color="000000" w:fill="FFFFFF"/>
            <w:noWrap/>
            <w:vAlign w:val="center"/>
          </w:tcPr>
          <w:p w14:paraId="1174E4AD"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“Парк Палић“ доо</w:t>
            </w:r>
          </w:p>
        </w:tc>
        <w:tc>
          <w:tcPr>
            <w:tcW w:w="647" w:type="pct"/>
            <w:tcBorders>
              <w:top w:val="nil"/>
              <w:left w:val="nil"/>
              <w:bottom w:val="nil"/>
              <w:right w:val="nil"/>
            </w:tcBorders>
            <w:shd w:val="clear" w:color="000000" w:fill="FFFFFF"/>
            <w:noWrap/>
            <w:vAlign w:val="center"/>
          </w:tcPr>
          <w:p w14:paraId="4C757CB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2,2</w:t>
            </w:r>
          </w:p>
        </w:tc>
        <w:tc>
          <w:tcPr>
            <w:tcW w:w="647" w:type="pct"/>
            <w:tcBorders>
              <w:top w:val="nil"/>
              <w:left w:val="nil"/>
              <w:bottom w:val="nil"/>
              <w:right w:val="nil"/>
            </w:tcBorders>
            <w:shd w:val="clear" w:color="000000" w:fill="FFFFFF"/>
            <w:noWrap/>
            <w:vAlign w:val="center"/>
          </w:tcPr>
          <w:p w14:paraId="523E575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0,3</w:t>
            </w:r>
          </w:p>
        </w:tc>
        <w:tc>
          <w:tcPr>
            <w:tcW w:w="618" w:type="pct"/>
            <w:tcBorders>
              <w:top w:val="nil"/>
              <w:left w:val="nil"/>
              <w:bottom w:val="nil"/>
              <w:right w:val="nil"/>
            </w:tcBorders>
            <w:shd w:val="clear" w:color="000000" w:fill="FFFFFF"/>
            <w:noWrap/>
            <w:vAlign w:val="center"/>
          </w:tcPr>
          <w:p w14:paraId="3CA97CC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1,9</w:t>
            </w:r>
          </w:p>
        </w:tc>
        <w:tc>
          <w:tcPr>
            <w:tcW w:w="882" w:type="pct"/>
            <w:tcBorders>
              <w:top w:val="nil"/>
              <w:left w:val="nil"/>
              <w:bottom w:val="nil"/>
              <w:right w:val="nil"/>
            </w:tcBorders>
            <w:shd w:val="clear" w:color="000000" w:fill="FFFFFF"/>
            <w:noWrap/>
            <w:vAlign w:val="center"/>
          </w:tcPr>
          <w:p w14:paraId="4D256FEE"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5,4</w:t>
            </w:r>
          </w:p>
        </w:tc>
      </w:tr>
      <w:tr w:rsidR="00473C3B" w:rsidRPr="00671E8F" w14:paraId="42F9BA91" w14:textId="77777777" w:rsidTr="00473C3B">
        <w:trPr>
          <w:trHeight w:val="20"/>
        </w:trPr>
        <w:tc>
          <w:tcPr>
            <w:tcW w:w="2206" w:type="pct"/>
            <w:tcBorders>
              <w:top w:val="nil"/>
              <w:left w:val="nil"/>
              <w:bottom w:val="nil"/>
              <w:right w:val="nil"/>
            </w:tcBorders>
            <w:shd w:val="clear" w:color="000000" w:fill="FFFFFF"/>
            <w:noWrap/>
            <w:vAlign w:val="center"/>
          </w:tcPr>
          <w:p w14:paraId="37ACDF5E"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”Метохија” доо</w:t>
            </w:r>
          </w:p>
        </w:tc>
        <w:tc>
          <w:tcPr>
            <w:tcW w:w="647" w:type="pct"/>
            <w:tcBorders>
              <w:top w:val="nil"/>
              <w:left w:val="nil"/>
              <w:bottom w:val="nil"/>
              <w:right w:val="nil"/>
            </w:tcBorders>
            <w:shd w:val="clear" w:color="000000" w:fill="FFFFFF"/>
            <w:noWrap/>
            <w:vAlign w:val="center"/>
          </w:tcPr>
          <w:p w14:paraId="7E01E5A6"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1,5</w:t>
            </w:r>
          </w:p>
        </w:tc>
        <w:tc>
          <w:tcPr>
            <w:tcW w:w="647" w:type="pct"/>
            <w:tcBorders>
              <w:top w:val="nil"/>
              <w:left w:val="nil"/>
              <w:bottom w:val="nil"/>
              <w:right w:val="nil"/>
            </w:tcBorders>
            <w:shd w:val="clear" w:color="000000" w:fill="FFFFFF"/>
            <w:noWrap/>
            <w:vAlign w:val="center"/>
          </w:tcPr>
          <w:p w14:paraId="29D3FC9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1,1</w:t>
            </w:r>
          </w:p>
        </w:tc>
        <w:tc>
          <w:tcPr>
            <w:tcW w:w="618" w:type="pct"/>
            <w:tcBorders>
              <w:top w:val="nil"/>
              <w:left w:val="nil"/>
              <w:bottom w:val="nil"/>
              <w:right w:val="nil"/>
            </w:tcBorders>
            <w:shd w:val="clear" w:color="000000" w:fill="FFFFFF"/>
            <w:noWrap/>
            <w:vAlign w:val="center"/>
          </w:tcPr>
          <w:p w14:paraId="448E7DF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1,8</w:t>
            </w:r>
          </w:p>
        </w:tc>
        <w:tc>
          <w:tcPr>
            <w:tcW w:w="882" w:type="pct"/>
            <w:tcBorders>
              <w:top w:val="nil"/>
              <w:left w:val="nil"/>
              <w:bottom w:val="nil"/>
              <w:right w:val="nil"/>
            </w:tcBorders>
            <w:shd w:val="clear" w:color="000000" w:fill="FFFFFF"/>
            <w:noWrap/>
            <w:vAlign w:val="center"/>
          </w:tcPr>
          <w:p w14:paraId="2983DE7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4,9</w:t>
            </w:r>
          </w:p>
        </w:tc>
      </w:tr>
      <w:tr w:rsidR="00473C3B" w:rsidRPr="00671E8F" w14:paraId="2CAF81DC" w14:textId="77777777" w:rsidTr="00473C3B">
        <w:trPr>
          <w:trHeight w:val="20"/>
        </w:trPr>
        <w:tc>
          <w:tcPr>
            <w:tcW w:w="2206" w:type="pct"/>
            <w:tcBorders>
              <w:top w:val="nil"/>
              <w:left w:val="nil"/>
              <w:bottom w:val="nil"/>
              <w:right w:val="nil"/>
            </w:tcBorders>
            <w:shd w:val="clear" w:color="000000" w:fill="FFFFFF"/>
            <w:noWrap/>
            <w:vAlign w:val="center"/>
          </w:tcPr>
          <w:p w14:paraId="01772FE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„Национални парк Фрушка гора”</w:t>
            </w:r>
          </w:p>
        </w:tc>
        <w:tc>
          <w:tcPr>
            <w:tcW w:w="647" w:type="pct"/>
            <w:tcBorders>
              <w:top w:val="nil"/>
              <w:left w:val="nil"/>
              <w:bottom w:val="nil"/>
              <w:right w:val="nil"/>
            </w:tcBorders>
            <w:shd w:val="clear" w:color="000000" w:fill="FFFFFF"/>
            <w:noWrap/>
            <w:vAlign w:val="center"/>
          </w:tcPr>
          <w:p w14:paraId="5474B77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3,2</w:t>
            </w:r>
          </w:p>
        </w:tc>
        <w:tc>
          <w:tcPr>
            <w:tcW w:w="647" w:type="pct"/>
            <w:tcBorders>
              <w:top w:val="nil"/>
              <w:left w:val="nil"/>
              <w:bottom w:val="nil"/>
              <w:right w:val="nil"/>
            </w:tcBorders>
            <w:shd w:val="clear" w:color="000000" w:fill="FFFFFF"/>
            <w:noWrap/>
            <w:vAlign w:val="center"/>
          </w:tcPr>
          <w:p w14:paraId="1CAEF2D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2,1</w:t>
            </w:r>
          </w:p>
        </w:tc>
        <w:tc>
          <w:tcPr>
            <w:tcW w:w="618" w:type="pct"/>
            <w:tcBorders>
              <w:top w:val="nil"/>
              <w:left w:val="nil"/>
              <w:bottom w:val="nil"/>
              <w:right w:val="nil"/>
            </w:tcBorders>
            <w:shd w:val="clear" w:color="000000" w:fill="FFFFFF"/>
            <w:noWrap/>
            <w:vAlign w:val="center"/>
          </w:tcPr>
          <w:p w14:paraId="7EA750F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2,5</w:t>
            </w:r>
          </w:p>
        </w:tc>
        <w:tc>
          <w:tcPr>
            <w:tcW w:w="882" w:type="pct"/>
            <w:tcBorders>
              <w:top w:val="nil"/>
              <w:left w:val="nil"/>
              <w:bottom w:val="nil"/>
              <w:right w:val="nil"/>
            </w:tcBorders>
            <w:shd w:val="clear" w:color="000000" w:fill="FFFFFF"/>
            <w:noWrap/>
            <w:vAlign w:val="center"/>
          </w:tcPr>
          <w:p w14:paraId="73DAD1CC"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3,6</w:t>
            </w:r>
          </w:p>
        </w:tc>
      </w:tr>
      <w:tr w:rsidR="00473C3B" w:rsidRPr="00671E8F" w14:paraId="261F3F38" w14:textId="77777777" w:rsidTr="00473C3B">
        <w:trPr>
          <w:trHeight w:val="20"/>
        </w:trPr>
        <w:tc>
          <w:tcPr>
            <w:tcW w:w="2206" w:type="pct"/>
            <w:tcBorders>
              <w:top w:val="nil"/>
              <w:left w:val="nil"/>
              <w:bottom w:val="nil"/>
              <w:right w:val="nil"/>
            </w:tcBorders>
            <w:shd w:val="clear" w:color="000000" w:fill="FFFFFF"/>
            <w:noWrap/>
            <w:vAlign w:val="center"/>
          </w:tcPr>
          <w:p w14:paraId="6415AD6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Тврђава Голубачки град“ доо</w:t>
            </w:r>
          </w:p>
        </w:tc>
        <w:tc>
          <w:tcPr>
            <w:tcW w:w="647" w:type="pct"/>
            <w:tcBorders>
              <w:top w:val="nil"/>
              <w:left w:val="nil"/>
              <w:bottom w:val="nil"/>
              <w:right w:val="nil"/>
            </w:tcBorders>
            <w:shd w:val="clear" w:color="000000" w:fill="FFFFFF"/>
            <w:noWrap/>
            <w:vAlign w:val="center"/>
          </w:tcPr>
          <w:p w14:paraId="2EAA82D7"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(5,6)</w:t>
            </w:r>
          </w:p>
        </w:tc>
        <w:tc>
          <w:tcPr>
            <w:tcW w:w="647" w:type="pct"/>
            <w:tcBorders>
              <w:top w:val="nil"/>
              <w:left w:val="nil"/>
              <w:bottom w:val="nil"/>
              <w:right w:val="nil"/>
            </w:tcBorders>
            <w:shd w:val="clear" w:color="000000" w:fill="FFFFFF"/>
            <w:noWrap/>
            <w:vAlign w:val="center"/>
          </w:tcPr>
          <w:p w14:paraId="5E6A48F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9,0</w:t>
            </w:r>
          </w:p>
        </w:tc>
        <w:tc>
          <w:tcPr>
            <w:tcW w:w="618" w:type="pct"/>
            <w:tcBorders>
              <w:top w:val="nil"/>
              <w:left w:val="nil"/>
              <w:bottom w:val="nil"/>
              <w:right w:val="nil"/>
            </w:tcBorders>
            <w:shd w:val="clear" w:color="000000" w:fill="FFFFFF"/>
            <w:noWrap/>
            <w:vAlign w:val="center"/>
          </w:tcPr>
          <w:p w14:paraId="2E7D59C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(2,7)</w:t>
            </w:r>
          </w:p>
        </w:tc>
        <w:tc>
          <w:tcPr>
            <w:tcW w:w="882" w:type="pct"/>
            <w:tcBorders>
              <w:top w:val="nil"/>
              <w:left w:val="nil"/>
              <w:bottom w:val="nil"/>
              <w:right w:val="nil"/>
            </w:tcBorders>
            <w:shd w:val="clear" w:color="000000" w:fill="FFFFFF"/>
            <w:noWrap/>
            <w:vAlign w:val="center"/>
          </w:tcPr>
          <w:p w14:paraId="19E94C4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2,8</w:t>
            </w:r>
          </w:p>
        </w:tc>
      </w:tr>
      <w:tr w:rsidR="00473C3B" w:rsidRPr="00671E8F" w14:paraId="65AB26D2" w14:textId="77777777" w:rsidTr="00473C3B">
        <w:trPr>
          <w:trHeight w:val="20"/>
        </w:trPr>
        <w:tc>
          <w:tcPr>
            <w:tcW w:w="2206" w:type="pct"/>
            <w:tcBorders>
              <w:top w:val="nil"/>
              <w:left w:val="nil"/>
              <w:bottom w:val="nil"/>
              <w:right w:val="nil"/>
            </w:tcBorders>
            <w:shd w:val="clear" w:color="000000" w:fill="FFFFFF"/>
            <w:noWrap/>
            <w:vAlign w:val="center"/>
          </w:tcPr>
          <w:p w14:paraId="17C9068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“Парк природе Мокра Гора“ доо</w:t>
            </w:r>
          </w:p>
        </w:tc>
        <w:tc>
          <w:tcPr>
            <w:tcW w:w="647" w:type="pct"/>
            <w:tcBorders>
              <w:top w:val="nil"/>
              <w:left w:val="nil"/>
              <w:bottom w:val="nil"/>
              <w:right w:val="nil"/>
            </w:tcBorders>
            <w:shd w:val="clear" w:color="000000" w:fill="FFFFFF"/>
            <w:noWrap/>
            <w:vAlign w:val="center"/>
          </w:tcPr>
          <w:p w14:paraId="160B87CA"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0,0</w:t>
            </w:r>
          </w:p>
        </w:tc>
        <w:tc>
          <w:tcPr>
            <w:tcW w:w="647" w:type="pct"/>
            <w:tcBorders>
              <w:top w:val="nil"/>
              <w:left w:val="nil"/>
              <w:bottom w:val="nil"/>
              <w:right w:val="nil"/>
            </w:tcBorders>
            <w:shd w:val="clear" w:color="000000" w:fill="FFFFFF"/>
            <w:noWrap/>
            <w:vAlign w:val="center"/>
          </w:tcPr>
          <w:p w14:paraId="53650CB3"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7,7</w:t>
            </w:r>
          </w:p>
        </w:tc>
        <w:tc>
          <w:tcPr>
            <w:tcW w:w="618" w:type="pct"/>
            <w:tcBorders>
              <w:top w:val="nil"/>
              <w:left w:val="nil"/>
              <w:bottom w:val="nil"/>
              <w:right w:val="nil"/>
            </w:tcBorders>
            <w:shd w:val="clear" w:color="000000" w:fill="FFFFFF"/>
            <w:noWrap/>
            <w:vAlign w:val="center"/>
          </w:tcPr>
          <w:p w14:paraId="66A51155"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12,1</w:t>
            </w:r>
          </w:p>
        </w:tc>
        <w:tc>
          <w:tcPr>
            <w:tcW w:w="882" w:type="pct"/>
            <w:tcBorders>
              <w:top w:val="nil"/>
              <w:left w:val="nil"/>
              <w:bottom w:val="nil"/>
              <w:right w:val="nil"/>
            </w:tcBorders>
            <w:shd w:val="clear" w:color="000000" w:fill="FFFFFF"/>
            <w:noWrap/>
            <w:vAlign w:val="center"/>
          </w:tcPr>
          <w:p w14:paraId="6596CFB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2,8</w:t>
            </w:r>
          </w:p>
        </w:tc>
      </w:tr>
      <w:tr w:rsidR="00473C3B" w:rsidRPr="00671E8F" w14:paraId="7385D6EF" w14:textId="77777777" w:rsidTr="00473C3B">
        <w:trPr>
          <w:trHeight w:val="20"/>
        </w:trPr>
        <w:tc>
          <w:tcPr>
            <w:tcW w:w="2206" w:type="pct"/>
            <w:tcBorders>
              <w:top w:val="nil"/>
              <w:left w:val="nil"/>
              <w:bottom w:val="nil"/>
              <w:right w:val="nil"/>
            </w:tcBorders>
            <w:shd w:val="clear" w:color="000000" w:fill="FFFFFF"/>
            <w:noWrap/>
            <w:vAlign w:val="center"/>
          </w:tcPr>
          <w:p w14:paraId="71FD3ED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“Резерват Увац“ доо</w:t>
            </w:r>
          </w:p>
        </w:tc>
        <w:tc>
          <w:tcPr>
            <w:tcW w:w="647" w:type="pct"/>
            <w:tcBorders>
              <w:top w:val="nil"/>
              <w:left w:val="nil"/>
              <w:bottom w:val="nil"/>
              <w:right w:val="nil"/>
            </w:tcBorders>
            <w:shd w:val="clear" w:color="000000" w:fill="FFFFFF"/>
            <w:noWrap/>
            <w:vAlign w:val="center"/>
          </w:tcPr>
          <w:p w14:paraId="1B60EEA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(0,1)</w:t>
            </w:r>
          </w:p>
        </w:tc>
        <w:tc>
          <w:tcPr>
            <w:tcW w:w="647" w:type="pct"/>
            <w:tcBorders>
              <w:top w:val="nil"/>
              <w:left w:val="nil"/>
              <w:bottom w:val="nil"/>
              <w:right w:val="nil"/>
            </w:tcBorders>
            <w:shd w:val="clear" w:color="000000" w:fill="FFFFFF"/>
            <w:noWrap/>
            <w:vAlign w:val="center"/>
          </w:tcPr>
          <w:p w14:paraId="70AFBAF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3,3</w:t>
            </w:r>
          </w:p>
        </w:tc>
        <w:tc>
          <w:tcPr>
            <w:tcW w:w="618" w:type="pct"/>
            <w:tcBorders>
              <w:top w:val="nil"/>
              <w:left w:val="nil"/>
              <w:bottom w:val="nil"/>
              <w:right w:val="nil"/>
            </w:tcBorders>
            <w:shd w:val="clear" w:color="000000" w:fill="FFFFFF"/>
            <w:noWrap/>
            <w:vAlign w:val="center"/>
          </w:tcPr>
          <w:p w14:paraId="20A41762"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1,3</w:t>
            </w:r>
          </w:p>
        </w:tc>
        <w:tc>
          <w:tcPr>
            <w:tcW w:w="882" w:type="pct"/>
            <w:tcBorders>
              <w:top w:val="nil"/>
              <w:left w:val="nil"/>
              <w:bottom w:val="nil"/>
              <w:right w:val="nil"/>
            </w:tcBorders>
            <w:shd w:val="clear" w:color="000000" w:fill="FFFFFF"/>
            <w:noWrap/>
            <w:vAlign w:val="center"/>
          </w:tcPr>
          <w:p w14:paraId="5221BE14"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2,2</w:t>
            </w:r>
          </w:p>
        </w:tc>
      </w:tr>
      <w:tr w:rsidR="00473C3B" w:rsidRPr="00671E8F" w14:paraId="484A189E" w14:textId="77777777" w:rsidTr="00473C3B">
        <w:trPr>
          <w:trHeight w:val="20"/>
        </w:trPr>
        <w:tc>
          <w:tcPr>
            <w:tcW w:w="2206" w:type="pct"/>
            <w:tcBorders>
              <w:top w:val="nil"/>
              <w:left w:val="nil"/>
              <w:bottom w:val="nil"/>
              <w:right w:val="nil"/>
            </w:tcBorders>
            <w:shd w:val="clear" w:color="000000" w:fill="FFFFFF"/>
            <w:noWrap/>
            <w:vAlign w:val="center"/>
          </w:tcPr>
          <w:p w14:paraId="70938E9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„Мрежа-мост”</w:t>
            </w:r>
          </w:p>
        </w:tc>
        <w:tc>
          <w:tcPr>
            <w:tcW w:w="647" w:type="pct"/>
            <w:tcBorders>
              <w:top w:val="nil"/>
              <w:left w:val="nil"/>
              <w:bottom w:val="nil"/>
              <w:right w:val="nil"/>
            </w:tcBorders>
            <w:shd w:val="clear" w:color="000000" w:fill="FFFFFF"/>
            <w:noWrap/>
            <w:vAlign w:val="center"/>
          </w:tcPr>
          <w:p w14:paraId="67D19210"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3,4</w:t>
            </w:r>
          </w:p>
        </w:tc>
        <w:tc>
          <w:tcPr>
            <w:tcW w:w="647" w:type="pct"/>
            <w:tcBorders>
              <w:top w:val="nil"/>
              <w:left w:val="nil"/>
              <w:bottom w:val="nil"/>
              <w:right w:val="nil"/>
            </w:tcBorders>
            <w:shd w:val="clear" w:color="000000" w:fill="FFFFFF"/>
            <w:noWrap/>
            <w:vAlign w:val="center"/>
          </w:tcPr>
          <w:p w14:paraId="6DDD68F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4,3</w:t>
            </w:r>
          </w:p>
        </w:tc>
        <w:tc>
          <w:tcPr>
            <w:tcW w:w="618" w:type="pct"/>
            <w:tcBorders>
              <w:top w:val="nil"/>
              <w:left w:val="nil"/>
              <w:bottom w:val="nil"/>
              <w:right w:val="nil"/>
            </w:tcBorders>
            <w:shd w:val="clear" w:color="000000" w:fill="FFFFFF"/>
            <w:noWrap/>
            <w:vAlign w:val="center"/>
          </w:tcPr>
          <w:p w14:paraId="6210E748"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0,0</w:t>
            </w:r>
          </w:p>
        </w:tc>
        <w:tc>
          <w:tcPr>
            <w:tcW w:w="882" w:type="pct"/>
            <w:tcBorders>
              <w:top w:val="nil"/>
              <w:left w:val="nil"/>
              <w:bottom w:val="nil"/>
              <w:right w:val="nil"/>
            </w:tcBorders>
            <w:shd w:val="clear" w:color="000000" w:fill="FFFFFF"/>
            <w:noWrap/>
            <w:vAlign w:val="center"/>
          </w:tcPr>
          <w:p w14:paraId="3D85924B" w14:textId="77777777" w:rsidR="00473C3B" w:rsidRPr="00671E8F" w:rsidRDefault="00473C3B" w:rsidP="00473C3B">
            <w:pPr>
              <w:spacing w:after="0" w:line="240" w:lineRule="auto"/>
              <w:jc w:val="right"/>
              <w:rPr>
                <w:rFonts w:eastAsia="Times New Roman" w:cstheme="minorHAnsi"/>
                <w:color w:val="002060"/>
                <w:sz w:val="18"/>
                <w:szCs w:val="18"/>
              </w:rPr>
            </w:pPr>
            <w:r w:rsidRPr="00671E8F">
              <w:rPr>
                <w:rFonts w:eastAsia="Times New Roman" w:cstheme="minorHAnsi"/>
                <w:color w:val="002060"/>
                <w:sz w:val="18"/>
                <w:szCs w:val="18"/>
              </w:rPr>
              <w:t>0,1</w:t>
            </w:r>
          </w:p>
        </w:tc>
      </w:tr>
      <w:tr w:rsidR="00473C3B" w:rsidRPr="00671E8F" w14:paraId="5A3768F1" w14:textId="77777777" w:rsidTr="00473C3B">
        <w:trPr>
          <w:trHeight w:val="20"/>
        </w:trPr>
        <w:tc>
          <w:tcPr>
            <w:tcW w:w="2206" w:type="pct"/>
            <w:tcBorders>
              <w:top w:val="single" w:sz="4" w:space="0" w:color="002060"/>
              <w:left w:val="nil"/>
              <w:bottom w:val="single" w:sz="4" w:space="0" w:color="002060"/>
              <w:right w:val="nil"/>
            </w:tcBorders>
            <w:shd w:val="clear" w:color="auto" w:fill="FFFFFF" w:themeFill="background1"/>
            <w:noWrap/>
            <w:vAlign w:val="center"/>
            <w:hideMark/>
          </w:tcPr>
          <w:p w14:paraId="5D9F4947"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Укупно:</w:t>
            </w:r>
          </w:p>
        </w:tc>
        <w:tc>
          <w:tcPr>
            <w:tcW w:w="647" w:type="pct"/>
            <w:tcBorders>
              <w:top w:val="single" w:sz="4" w:space="0" w:color="002060"/>
              <w:left w:val="nil"/>
              <w:bottom w:val="single" w:sz="4" w:space="0" w:color="002060"/>
              <w:right w:val="nil"/>
            </w:tcBorders>
            <w:shd w:val="clear" w:color="auto" w:fill="FFFFFF" w:themeFill="background1"/>
            <w:noWrap/>
            <w:vAlign w:val="center"/>
            <w:hideMark/>
          </w:tcPr>
          <w:p w14:paraId="42CB0781" w14:textId="77777777" w:rsidR="00473C3B" w:rsidRPr="00671E8F" w:rsidRDefault="00473C3B" w:rsidP="00473C3B">
            <w:pPr>
              <w:spacing w:after="0" w:line="240" w:lineRule="auto"/>
              <w:jc w:val="right"/>
              <w:rPr>
                <w:rFonts w:eastAsia="Times New Roman" w:cstheme="minorHAnsi"/>
                <w:b/>
                <w:bCs/>
                <w:color w:val="002060"/>
                <w:sz w:val="18"/>
                <w:szCs w:val="18"/>
              </w:rPr>
            </w:pPr>
            <w:r w:rsidRPr="00671E8F">
              <w:rPr>
                <w:rFonts w:eastAsia="Times New Roman" w:cstheme="minorHAnsi"/>
                <w:b/>
                <w:bCs/>
                <w:color w:val="002060"/>
                <w:sz w:val="18"/>
                <w:szCs w:val="18"/>
              </w:rPr>
              <w:t>(54.845,8)</w:t>
            </w:r>
          </w:p>
        </w:tc>
        <w:tc>
          <w:tcPr>
            <w:tcW w:w="647" w:type="pct"/>
            <w:tcBorders>
              <w:top w:val="single" w:sz="4" w:space="0" w:color="002060"/>
              <w:left w:val="nil"/>
              <w:bottom w:val="single" w:sz="4" w:space="0" w:color="002060"/>
              <w:right w:val="nil"/>
            </w:tcBorders>
            <w:shd w:val="clear" w:color="auto" w:fill="FFFFFF" w:themeFill="background1"/>
            <w:noWrap/>
            <w:vAlign w:val="center"/>
            <w:hideMark/>
          </w:tcPr>
          <w:p w14:paraId="01EBAA1F" w14:textId="77777777" w:rsidR="00473C3B" w:rsidRPr="00671E8F" w:rsidRDefault="00473C3B" w:rsidP="00473C3B">
            <w:pPr>
              <w:spacing w:after="0" w:line="240" w:lineRule="auto"/>
              <w:jc w:val="right"/>
              <w:rPr>
                <w:rFonts w:eastAsia="Times New Roman" w:cstheme="minorHAnsi"/>
                <w:b/>
                <w:bCs/>
                <w:color w:val="002060"/>
                <w:sz w:val="18"/>
                <w:szCs w:val="18"/>
              </w:rPr>
            </w:pPr>
            <w:r w:rsidRPr="00671E8F">
              <w:rPr>
                <w:rFonts w:eastAsia="Times New Roman" w:cstheme="minorHAnsi"/>
                <w:b/>
                <w:bCs/>
                <w:color w:val="002060"/>
                <w:sz w:val="18"/>
                <w:szCs w:val="18"/>
              </w:rPr>
              <w:t>132.256,2</w:t>
            </w:r>
          </w:p>
        </w:tc>
        <w:tc>
          <w:tcPr>
            <w:tcW w:w="618" w:type="pct"/>
            <w:tcBorders>
              <w:top w:val="single" w:sz="4" w:space="0" w:color="002060"/>
              <w:left w:val="nil"/>
              <w:bottom w:val="single" w:sz="4" w:space="0" w:color="002060"/>
              <w:right w:val="nil"/>
            </w:tcBorders>
            <w:shd w:val="clear" w:color="auto" w:fill="FFFFFF" w:themeFill="background1"/>
            <w:noWrap/>
            <w:vAlign w:val="center"/>
            <w:hideMark/>
          </w:tcPr>
          <w:p w14:paraId="48EA1AF6" w14:textId="77777777" w:rsidR="00473C3B" w:rsidRPr="00671E8F" w:rsidRDefault="00473C3B" w:rsidP="00473C3B">
            <w:pPr>
              <w:spacing w:after="0" w:line="240" w:lineRule="auto"/>
              <w:jc w:val="right"/>
              <w:rPr>
                <w:rFonts w:eastAsia="Times New Roman" w:cstheme="minorHAnsi"/>
                <w:b/>
                <w:bCs/>
                <w:color w:val="002060"/>
                <w:sz w:val="18"/>
                <w:szCs w:val="18"/>
              </w:rPr>
            </w:pPr>
            <w:r w:rsidRPr="00671E8F">
              <w:rPr>
                <w:rFonts w:eastAsia="Times New Roman" w:cstheme="minorHAnsi"/>
                <w:b/>
                <w:bCs/>
                <w:color w:val="002060"/>
                <w:sz w:val="18"/>
                <w:szCs w:val="18"/>
              </w:rPr>
              <w:t>36.039,4</w:t>
            </w:r>
          </w:p>
        </w:tc>
        <w:tc>
          <w:tcPr>
            <w:tcW w:w="882" w:type="pct"/>
            <w:tcBorders>
              <w:top w:val="single" w:sz="4" w:space="0" w:color="002060"/>
              <w:left w:val="nil"/>
              <w:bottom w:val="single" w:sz="4" w:space="0" w:color="002060"/>
              <w:right w:val="nil"/>
            </w:tcBorders>
            <w:shd w:val="clear" w:color="auto" w:fill="FFFFFF" w:themeFill="background1"/>
            <w:noWrap/>
            <w:vAlign w:val="center"/>
            <w:hideMark/>
          </w:tcPr>
          <w:p w14:paraId="581935F2" w14:textId="77777777" w:rsidR="00473C3B" w:rsidRPr="00671E8F" w:rsidRDefault="00473C3B" w:rsidP="00473C3B">
            <w:pPr>
              <w:spacing w:after="0" w:line="240" w:lineRule="auto"/>
              <w:jc w:val="right"/>
              <w:rPr>
                <w:rFonts w:eastAsia="Times New Roman" w:cstheme="minorHAnsi"/>
                <w:b/>
                <w:bCs/>
                <w:color w:val="002060"/>
                <w:sz w:val="18"/>
                <w:szCs w:val="18"/>
              </w:rPr>
            </w:pPr>
            <w:r w:rsidRPr="00671E8F">
              <w:rPr>
                <w:rFonts w:eastAsia="Times New Roman" w:cstheme="minorHAnsi"/>
                <w:b/>
                <w:bCs/>
                <w:color w:val="002060"/>
                <w:sz w:val="18"/>
                <w:szCs w:val="18"/>
              </w:rPr>
              <w:t>46.735,5</w:t>
            </w:r>
          </w:p>
        </w:tc>
      </w:tr>
    </w:tbl>
    <w:p w14:paraId="1AC1D233"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Извор: Финансијски извештаји (АПР) и квартални извештај за 2024. годину</w:t>
      </w:r>
    </w:p>
    <w:p w14:paraId="18A9B08B" w14:textId="77777777" w:rsidR="00473C3B" w:rsidRPr="00671E8F" w:rsidRDefault="00473C3B" w:rsidP="00473C3B">
      <w:pPr>
        <w:spacing w:after="0" w:line="276" w:lineRule="auto"/>
        <w:rPr>
          <w:rFonts w:eastAsia="MS PGothic" w:cstheme="minorHAnsi"/>
          <w:sz w:val="16"/>
          <w:szCs w:val="16"/>
          <w:highlight w:val="yellow"/>
          <w:lang w:eastAsia="ja-JP"/>
        </w:rPr>
      </w:pPr>
    </w:p>
    <w:p w14:paraId="40E678F2" w14:textId="77777777" w:rsidR="00473C3B" w:rsidRPr="00671E8F" w:rsidRDefault="00473C3B" w:rsidP="00473C3B">
      <w:pPr>
        <w:spacing w:after="0" w:line="276" w:lineRule="auto"/>
        <w:rPr>
          <w:rFonts w:eastAsia="MS PGothic" w:cstheme="minorHAnsi"/>
          <w:sz w:val="18"/>
          <w:szCs w:val="18"/>
          <w:highlight w:val="yellow"/>
          <w:lang w:eastAsia="ja-JP"/>
        </w:rPr>
      </w:pPr>
    </w:p>
    <w:p w14:paraId="64BABB72" w14:textId="77777777" w:rsidR="00473C3B" w:rsidRPr="00671E8F" w:rsidRDefault="00473C3B" w:rsidP="00473C3B">
      <w:pPr>
        <w:spacing w:after="0" w:line="276" w:lineRule="auto"/>
        <w:rPr>
          <w:rFonts w:eastAsia="MS PGothic" w:cstheme="minorHAnsi"/>
          <w:sz w:val="18"/>
          <w:szCs w:val="18"/>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6AB5F4F4"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другом кварталу текуће године добит је остварило 22 предузећа у укупном износу од 46,7 млрд динара, што је више у односу на планирану добит од 36 млрд динара (29,7%). Највећи утицај на позитиван нето резултат у посматраном периоду имају „Електропривреда Србије” ад и ЈП „Србијагас” који су остварили нето добит у износу од 32,8 млрд динара односно 7,5 млрд динара.</w:t>
      </w:r>
    </w:p>
    <w:p w14:paraId="61832E19"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односу на остварен број добиташа на крају другог квартала, 14 предузећа је остварило негативан нето резултат у износу од 9,9 млрд динара, што је више од планираног губитка од 3,5 млрд динара (186%). Највећи утицај на негативан нето резултат у посматраном периоду имају ЈП „Путеви Србије” и „Електродистрибуција Србије” доо који су остварили нето губитак у износу од 4,1 млрд динара односно 2,6 млрд динара.</w:t>
      </w:r>
    </w:p>
    <w:p w14:paraId="008C5FC9" w14:textId="77777777" w:rsidR="00473C3B" w:rsidRPr="00671E8F" w:rsidRDefault="00473C3B" w:rsidP="00473C3B">
      <w:pPr>
        <w:rPr>
          <w:rFonts w:eastAsia="MS PGothic" w:cstheme="minorHAnsi"/>
          <w:szCs w:val="20"/>
          <w:lang w:eastAsia="ja-JP"/>
        </w:rPr>
        <w:sectPr w:rsidR="00473C3B" w:rsidRPr="00671E8F" w:rsidSect="00F45C01">
          <w:headerReference w:type="even" r:id="rId170"/>
          <w:footerReference w:type="even" r:id="rId171"/>
          <w:footerReference w:type="default" r:id="rId172"/>
          <w:headerReference w:type="first" r:id="rId173"/>
          <w:type w:val="continuous"/>
          <w:pgSz w:w="12240" w:h="15840"/>
          <w:pgMar w:top="1440" w:right="1440" w:bottom="1440" w:left="1440" w:header="720" w:footer="720" w:gutter="0"/>
          <w:cols w:num="2" w:space="720"/>
          <w:docGrid w:linePitch="360"/>
        </w:sectPr>
      </w:pPr>
    </w:p>
    <w:p w14:paraId="2443484F" w14:textId="77777777" w:rsidR="00473C3B" w:rsidRPr="00671E8F" w:rsidRDefault="00473C3B" w:rsidP="00473C3B">
      <w:pPr>
        <w:spacing w:after="120"/>
        <w:jc w:val="center"/>
        <w:rPr>
          <w:rFonts w:eastAsia="MS PGothic" w:cstheme="minorHAnsi"/>
          <w:b/>
          <w:color w:val="002060"/>
          <w:szCs w:val="20"/>
          <w:lang w:eastAsia="ja-JP"/>
        </w:rPr>
      </w:pPr>
    </w:p>
    <w:p w14:paraId="4439D192" w14:textId="06CDE1E1"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lastRenderedPageBreak/>
        <w:t>Табела 2</w:t>
      </w:r>
      <w:r w:rsidR="00FC5CD7" w:rsidRPr="00671E8F">
        <w:rPr>
          <w:rFonts w:eastAsia="MS PGothic" w:cstheme="minorHAnsi"/>
          <w:b/>
          <w:color w:val="002060"/>
          <w:szCs w:val="20"/>
          <w:lang w:eastAsia="ja-JP"/>
        </w:rPr>
        <w:t>1</w:t>
      </w:r>
      <w:r w:rsidRPr="00671E8F">
        <w:rPr>
          <w:rFonts w:eastAsia="MS PGothic" w:cstheme="minorHAnsi"/>
          <w:b/>
          <w:color w:val="002060"/>
          <w:szCs w:val="20"/>
          <w:lang w:eastAsia="ja-JP"/>
        </w:rPr>
        <w:t xml:space="preserve">. Државна предузећа која су остварила нето губитак у периоду 01.01–30.06.2024. године </w:t>
      </w:r>
      <w:r w:rsidRPr="00671E8F">
        <w:rPr>
          <w:rFonts w:eastAsia="MS PGothic" w:cstheme="minorHAnsi"/>
          <w:b/>
          <w:color w:val="002060"/>
          <w:szCs w:val="20"/>
          <w:lang w:eastAsia="ja-JP"/>
        </w:rPr>
        <w:br w:type="textWrapping" w:clear="all"/>
        <w:t>у млн динара</w:t>
      </w:r>
    </w:p>
    <w:tbl>
      <w:tblPr>
        <w:tblW w:w="5000" w:type="pct"/>
        <w:tblLook w:val="04A0" w:firstRow="1" w:lastRow="0" w:firstColumn="1" w:lastColumn="0" w:noHBand="0" w:noVBand="1"/>
      </w:tblPr>
      <w:tblGrid>
        <w:gridCol w:w="3980"/>
        <w:gridCol w:w="1265"/>
        <w:gridCol w:w="1265"/>
        <w:gridCol w:w="1586"/>
        <w:gridCol w:w="1264"/>
      </w:tblGrid>
      <w:tr w:rsidR="00473C3B" w:rsidRPr="00671E8F" w14:paraId="0333092F" w14:textId="77777777" w:rsidTr="00473C3B">
        <w:trPr>
          <w:trHeight w:val="20"/>
        </w:trPr>
        <w:tc>
          <w:tcPr>
            <w:tcW w:w="2126" w:type="pct"/>
            <w:tcBorders>
              <w:top w:val="single" w:sz="4" w:space="0" w:color="002060"/>
              <w:left w:val="nil"/>
              <w:bottom w:val="single" w:sz="4" w:space="0" w:color="002060"/>
              <w:right w:val="nil"/>
            </w:tcBorders>
            <w:shd w:val="clear" w:color="auto" w:fill="FFFFFF" w:themeFill="background1"/>
            <w:vAlign w:val="center"/>
            <w:hideMark/>
          </w:tcPr>
          <w:p w14:paraId="7929AF55"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Предузећа</w:t>
            </w:r>
          </w:p>
        </w:tc>
        <w:tc>
          <w:tcPr>
            <w:tcW w:w="676" w:type="pct"/>
            <w:tcBorders>
              <w:top w:val="single" w:sz="4" w:space="0" w:color="002060"/>
              <w:left w:val="nil"/>
              <w:bottom w:val="single" w:sz="4" w:space="0" w:color="002060"/>
              <w:right w:val="nil"/>
            </w:tcBorders>
            <w:shd w:val="clear" w:color="auto" w:fill="FFFFFF" w:themeFill="background1"/>
            <w:vAlign w:val="center"/>
            <w:hideMark/>
          </w:tcPr>
          <w:p w14:paraId="4F383794"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 xml:space="preserve">Реализација </w:t>
            </w:r>
            <w:r w:rsidRPr="00671E8F">
              <w:rPr>
                <w:rFonts w:eastAsia="Times New Roman" w:cstheme="minorHAnsi"/>
                <w:b/>
                <w:bCs/>
                <w:color w:val="203764"/>
                <w:sz w:val="18"/>
                <w:szCs w:val="18"/>
              </w:rPr>
              <w:br/>
              <w:t>2022</w:t>
            </w:r>
          </w:p>
        </w:tc>
        <w:tc>
          <w:tcPr>
            <w:tcW w:w="676" w:type="pct"/>
            <w:tcBorders>
              <w:top w:val="single" w:sz="4" w:space="0" w:color="002060"/>
              <w:left w:val="nil"/>
              <w:bottom w:val="single" w:sz="4" w:space="0" w:color="002060"/>
              <w:right w:val="nil"/>
            </w:tcBorders>
            <w:shd w:val="clear" w:color="auto" w:fill="FFFFFF" w:themeFill="background1"/>
            <w:vAlign w:val="center"/>
            <w:hideMark/>
          </w:tcPr>
          <w:p w14:paraId="3AB91197"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 xml:space="preserve">Реализација </w:t>
            </w:r>
            <w:r w:rsidRPr="00671E8F">
              <w:rPr>
                <w:rFonts w:eastAsia="Times New Roman" w:cstheme="minorHAnsi"/>
                <w:b/>
                <w:bCs/>
                <w:color w:val="203764"/>
                <w:sz w:val="18"/>
                <w:szCs w:val="18"/>
              </w:rPr>
              <w:br/>
              <w:t>2023</w:t>
            </w:r>
          </w:p>
        </w:tc>
        <w:tc>
          <w:tcPr>
            <w:tcW w:w="847" w:type="pct"/>
            <w:tcBorders>
              <w:top w:val="single" w:sz="4" w:space="0" w:color="002060"/>
              <w:left w:val="nil"/>
              <w:bottom w:val="single" w:sz="4" w:space="0" w:color="002060"/>
              <w:right w:val="nil"/>
            </w:tcBorders>
            <w:shd w:val="clear" w:color="auto" w:fill="FFFFFF" w:themeFill="background1"/>
            <w:vAlign w:val="center"/>
            <w:hideMark/>
          </w:tcPr>
          <w:p w14:paraId="68E4AC1D"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План                                                                                                                                                                                                                                                                                                                                                   01.01– 30.06.2024.</w:t>
            </w:r>
          </w:p>
        </w:tc>
        <w:tc>
          <w:tcPr>
            <w:tcW w:w="675" w:type="pct"/>
            <w:tcBorders>
              <w:top w:val="single" w:sz="4" w:space="0" w:color="002060"/>
              <w:left w:val="nil"/>
              <w:bottom w:val="single" w:sz="4" w:space="0" w:color="002060"/>
              <w:right w:val="nil"/>
            </w:tcBorders>
            <w:shd w:val="clear" w:color="auto" w:fill="FFFFFF" w:themeFill="background1"/>
            <w:vAlign w:val="center"/>
            <w:hideMark/>
          </w:tcPr>
          <w:p w14:paraId="27ABC1B5" w14:textId="77777777" w:rsidR="00473C3B" w:rsidRPr="00671E8F" w:rsidRDefault="00473C3B" w:rsidP="00473C3B">
            <w:pPr>
              <w:spacing w:after="0" w:line="240" w:lineRule="auto"/>
              <w:jc w:val="center"/>
              <w:rPr>
                <w:rFonts w:eastAsia="Times New Roman" w:cstheme="minorHAnsi"/>
                <w:b/>
                <w:bCs/>
                <w:color w:val="203764"/>
                <w:sz w:val="18"/>
                <w:szCs w:val="18"/>
              </w:rPr>
            </w:pPr>
            <w:r w:rsidRPr="00671E8F">
              <w:rPr>
                <w:rFonts w:eastAsia="Times New Roman" w:cstheme="minorHAnsi"/>
                <w:b/>
                <w:bCs/>
                <w:color w:val="203764"/>
                <w:sz w:val="18"/>
                <w:szCs w:val="18"/>
              </w:rPr>
              <w:t>Реализација                                                                                                                                                                                                                                                                                                                                              01.01– 30.06.2024.</w:t>
            </w:r>
          </w:p>
        </w:tc>
      </w:tr>
      <w:tr w:rsidR="00473C3B" w:rsidRPr="00671E8F" w14:paraId="40258FB1" w14:textId="77777777" w:rsidTr="00473C3B">
        <w:trPr>
          <w:trHeight w:val="20"/>
        </w:trPr>
        <w:tc>
          <w:tcPr>
            <w:tcW w:w="2126" w:type="pct"/>
            <w:tcBorders>
              <w:top w:val="nil"/>
              <w:left w:val="nil"/>
              <w:bottom w:val="nil"/>
              <w:right w:val="nil"/>
            </w:tcBorders>
            <w:shd w:val="clear" w:color="000000" w:fill="FFFFFF"/>
            <w:noWrap/>
            <w:vAlign w:val="center"/>
            <w:hideMark/>
          </w:tcPr>
          <w:p w14:paraId="57F40E0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„Путеви Србије”</w:t>
            </w:r>
          </w:p>
        </w:tc>
        <w:tc>
          <w:tcPr>
            <w:tcW w:w="676" w:type="pct"/>
            <w:tcBorders>
              <w:top w:val="nil"/>
              <w:left w:val="nil"/>
              <w:bottom w:val="nil"/>
              <w:right w:val="nil"/>
            </w:tcBorders>
            <w:shd w:val="clear" w:color="000000" w:fill="FFFFFF"/>
            <w:noWrap/>
            <w:vAlign w:val="center"/>
            <w:hideMark/>
          </w:tcPr>
          <w:p w14:paraId="48CB77C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(5.121,8)</w:t>
            </w:r>
          </w:p>
        </w:tc>
        <w:tc>
          <w:tcPr>
            <w:tcW w:w="676" w:type="pct"/>
            <w:tcBorders>
              <w:top w:val="nil"/>
              <w:left w:val="nil"/>
              <w:bottom w:val="nil"/>
              <w:right w:val="nil"/>
            </w:tcBorders>
            <w:shd w:val="clear" w:color="000000" w:fill="FFFFFF"/>
            <w:noWrap/>
            <w:vAlign w:val="center"/>
            <w:hideMark/>
          </w:tcPr>
          <w:p w14:paraId="40BF6F4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(6.818,9)</w:t>
            </w:r>
          </w:p>
        </w:tc>
        <w:tc>
          <w:tcPr>
            <w:tcW w:w="847" w:type="pct"/>
            <w:tcBorders>
              <w:top w:val="nil"/>
              <w:left w:val="nil"/>
              <w:bottom w:val="nil"/>
              <w:right w:val="nil"/>
            </w:tcBorders>
            <w:shd w:val="clear" w:color="000000" w:fill="FFFFFF"/>
            <w:noWrap/>
            <w:vAlign w:val="center"/>
          </w:tcPr>
          <w:p w14:paraId="0B1CCA0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2.356,3</w:t>
            </w:r>
          </w:p>
        </w:tc>
        <w:tc>
          <w:tcPr>
            <w:tcW w:w="675" w:type="pct"/>
            <w:tcBorders>
              <w:top w:val="nil"/>
              <w:left w:val="nil"/>
              <w:bottom w:val="nil"/>
              <w:right w:val="nil"/>
            </w:tcBorders>
            <w:shd w:val="clear" w:color="000000" w:fill="FFFFFF"/>
            <w:noWrap/>
            <w:vAlign w:val="center"/>
          </w:tcPr>
          <w:p w14:paraId="6A7FB3E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(4.120,8)</w:t>
            </w:r>
          </w:p>
        </w:tc>
      </w:tr>
      <w:tr w:rsidR="00473C3B" w:rsidRPr="00671E8F" w14:paraId="04E1FC4E" w14:textId="77777777" w:rsidTr="00473C3B">
        <w:trPr>
          <w:trHeight w:val="20"/>
        </w:trPr>
        <w:tc>
          <w:tcPr>
            <w:tcW w:w="2126" w:type="pct"/>
            <w:tcBorders>
              <w:top w:val="nil"/>
              <w:left w:val="nil"/>
              <w:bottom w:val="nil"/>
              <w:right w:val="nil"/>
            </w:tcBorders>
            <w:shd w:val="clear" w:color="000000" w:fill="FFFFFF"/>
            <w:noWrap/>
            <w:vAlign w:val="center"/>
            <w:hideMark/>
          </w:tcPr>
          <w:p w14:paraId="7C064CE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„Електродистрибуција Србије” доо</w:t>
            </w:r>
          </w:p>
        </w:tc>
        <w:tc>
          <w:tcPr>
            <w:tcW w:w="676" w:type="pct"/>
            <w:tcBorders>
              <w:top w:val="nil"/>
              <w:left w:val="nil"/>
              <w:bottom w:val="nil"/>
              <w:right w:val="nil"/>
            </w:tcBorders>
            <w:shd w:val="clear" w:color="000000" w:fill="FFFFFF"/>
            <w:noWrap/>
            <w:vAlign w:val="center"/>
            <w:hideMark/>
          </w:tcPr>
          <w:p w14:paraId="18C1C87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249,8</w:t>
            </w:r>
          </w:p>
        </w:tc>
        <w:tc>
          <w:tcPr>
            <w:tcW w:w="676" w:type="pct"/>
            <w:tcBorders>
              <w:top w:val="nil"/>
              <w:left w:val="nil"/>
              <w:bottom w:val="nil"/>
              <w:right w:val="nil"/>
            </w:tcBorders>
            <w:shd w:val="clear" w:color="000000" w:fill="FFFFFF"/>
            <w:noWrap/>
            <w:vAlign w:val="center"/>
            <w:hideMark/>
          </w:tcPr>
          <w:p w14:paraId="5D35134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(1.053,2)</w:t>
            </w:r>
          </w:p>
        </w:tc>
        <w:tc>
          <w:tcPr>
            <w:tcW w:w="847" w:type="pct"/>
            <w:tcBorders>
              <w:top w:val="nil"/>
              <w:left w:val="nil"/>
              <w:bottom w:val="nil"/>
              <w:right w:val="nil"/>
            </w:tcBorders>
            <w:shd w:val="clear" w:color="000000" w:fill="FFFFFF"/>
            <w:noWrap/>
            <w:vAlign w:val="center"/>
          </w:tcPr>
          <w:p w14:paraId="5831DA5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(1.693,5)</w:t>
            </w:r>
          </w:p>
        </w:tc>
        <w:tc>
          <w:tcPr>
            <w:tcW w:w="675" w:type="pct"/>
            <w:tcBorders>
              <w:top w:val="nil"/>
              <w:left w:val="nil"/>
              <w:bottom w:val="nil"/>
              <w:right w:val="nil"/>
            </w:tcBorders>
            <w:shd w:val="clear" w:color="000000" w:fill="FFFFFF"/>
            <w:noWrap/>
            <w:vAlign w:val="center"/>
          </w:tcPr>
          <w:p w14:paraId="0B92415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(2.634,4)</w:t>
            </w:r>
          </w:p>
        </w:tc>
      </w:tr>
      <w:tr w:rsidR="00473C3B" w:rsidRPr="00671E8F" w14:paraId="3504931A" w14:textId="77777777" w:rsidTr="00473C3B">
        <w:trPr>
          <w:trHeight w:val="20"/>
        </w:trPr>
        <w:tc>
          <w:tcPr>
            <w:tcW w:w="2126" w:type="pct"/>
            <w:tcBorders>
              <w:top w:val="nil"/>
              <w:left w:val="nil"/>
              <w:bottom w:val="nil"/>
              <w:right w:val="nil"/>
            </w:tcBorders>
            <w:shd w:val="clear" w:color="000000" w:fill="FFFFFF"/>
            <w:noWrap/>
            <w:vAlign w:val="center"/>
            <w:hideMark/>
          </w:tcPr>
          <w:p w14:paraId="6C98F14F"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„Инфраструктура железнице Србије” ад</w:t>
            </w:r>
          </w:p>
        </w:tc>
        <w:tc>
          <w:tcPr>
            <w:tcW w:w="676" w:type="pct"/>
            <w:tcBorders>
              <w:top w:val="nil"/>
              <w:left w:val="nil"/>
              <w:bottom w:val="nil"/>
              <w:right w:val="nil"/>
            </w:tcBorders>
            <w:shd w:val="clear" w:color="000000" w:fill="FFFFFF"/>
            <w:noWrap/>
            <w:vAlign w:val="center"/>
            <w:hideMark/>
          </w:tcPr>
          <w:p w14:paraId="426E4DA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(5.283,7)</w:t>
            </w:r>
          </w:p>
        </w:tc>
        <w:tc>
          <w:tcPr>
            <w:tcW w:w="676" w:type="pct"/>
            <w:tcBorders>
              <w:top w:val="nil"/>
              <w:left w:val="nil"/>
              <w:bottom w:val="nil"/>
              <w:right w:val="nil"/>
            </w:tcBorders>
            <w:shd w:val="clear" w:color="000000" w:fill="FFFFFF"/>
            <w:noWrap/>
            <w:vAlign w:val="center"/>
            <w:hideMark/>
          </w:tcPr>
          <w:p w14:paraId="1CA5AD2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(7.204,0)</w:t>
            </w:r>
          </w:p>
        </w:tc>
        <w:tc>
          <w:tcPr>
            <w:tcW w:w="847" w:type="pct"/>
            <w:tcBorders>
              <w:top w:val="nil"/>
              <w:left w:val="nil"/>
              <w:bottom w:val="nil"/>
              <w:right w:val="nil"/>
            </w:tcBorders>
            <w:shd w:val="clear" w:color="000000" w:fill="FFFFFF"/>
            <w:noWrap/>
            <w:vAlign w:val="center"/>
          </w:tcPr>
          <w:p w14:paraId="1AF06E7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(2.772,4)</w:t>
            </w:r>
          </w:p>
        </w:tc>
        <w:tc>
          <w:tcPr>
            <w:tcW w:w="675" w:type="pct"/>
            <w:tcBorders>
              <w:top w:val="nil"/>
              <w:left w:val="nil"/>
              <w:bottom w:val="nil"/>
              <w:right w:val="nil"/>
            </w:tcBorders>
            <w:shd w:val="clear" w:color="000000" w:fill="FFFFFF"/>
            <w:noWrap/>
            <w:vAlign w:val="center"/>
          </w:tcPr>
          <w:p w14:paraId="14CA6EA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(1.101,3)</w:t>
            </w:r>
          </w:p>
        </w:tc>
      </w:tr>
      <w:tr w:rsidR="00473C3B" w:rsidRPr="00671E8F" w14:paraId="240BDFB6" w14:textId="77777777" w:rsidTr="00473C3B">
        <w:trPr>
          <w:trHeight w:val="20"/>
        </w:trPr>
        <w:tc>
          <w:tcPr>
            <w:tcW w:w="2126" w:type="pct"/>
            <w:tcBorders>
              <w:top w:val="nil"/>
              <w:left w:val="nil"/>
              <w:bottom w:val="nil"/>
              <w:right w:val="nil"/>
            </w:tcBorders>
            <w:shd w:val="clear" w:color="000000" w:fill="FFFFFF"/>
            <w:noWrap/>
            <w:vAlign w:val="center"/>
            <w:hideMark/>
          </w:tcPr>
          <w:p w14:paraId="0B8C2564"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„Србија Карго” ад</w:t>
            </w:r>
          </w:p>
        </w:tc>
        <w:tc>
          <w:tcPr>
            <w:tcW w:w="676" w:type="pct"/>
            <w:tcBorders>
              <w:top w:val="nil"/>
              <w:left w:val="nil"/>
              <w:bottom w:val="nil"/>
              <w:right w:val="nil"/>
            </w:tcBorders>
            <w:shd w:val="clear" w:color="000000" w:fill="FFFFFF"/>
            <w:noWrap/>
            <w:vAlign w:val="center"/>
            <w:hideMark/>
          </w:tcPr>
          <w:p w14:paraId="1A8311B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(1.432,1)</w:t>
            </w:r>
          </w:p>
        </w:tc>
        <w:tc>
          <w:tcPr>
            <w:tcW w:w="676" w:type="pct"/>
            <w:tcBorders>
              <w:top w:val="nil"/>
              <w:left w:val="nil"/>
              <w:bottom w:val="nil"/>
              <w:right w:val="nil"/>
            </w:tcBorders>
            <w:shd w:val="clear" w:color="000000" w:fill="FFFFFF"/>
            <w:noWrap/>
            <w:vAlign w:val="center"/>
            <w:hideMark/>
          </w:tcPr>
          <w:p w14:paraId="314C8A8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(1.671,7)</w:t>
            </w:r>
          </w:p>
        </w:tc>
        <w:tc>
          <w:tcPr>
            <w:tcW w:w="847" w:type="pct"/>
            <w:tcBorders>
              <w:top w:val="nil"/>
              <w:left w:val="nil"/>
              <w:bottom w:val="nil"/>
              <w:right w:val="nil"/>
            </w:tcBorders>
            <w:shd w:val="clear" w:color="000000" w:fill="FFFFFF"/>
            <w:noWrap/>
            <w:vAlign w:val="center"/>
          </w:tcPr>
          <w:p w14:paraId="606A409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(409,0)</w:t>
            </w:r>
          </w:p>
        </w:tc>
        <w:tc>
          <w:tcPr>
            <w:tcW w:w="675" w:type="pct"/>
            <w:tcBorders>
              <w:top w:val="nil"/>
              <w:left w:val="nil"/>
              <w:bottom w:val="nil"/>
              <w:right w:val="nil"/>
            </w:tcBorders>
            <w:shd w:val="clear" w:color="000000" w:fill="FFFFFF"/>
            <w:noWrap/>
            <w:vAlign w:val="center"/>
          </w:tcPr>
          <w:p w14:paraId="673CD6DE"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(892,8)</w:t>
            </w:r>
          </w:p>
        </w:tc>
      </w:tr>
      <w:tr w:rsidR="00473C3B" w:rsidRPr="00671E8F" w14:paraId="299426EA" w14:textId="77777777" w:rsidTr="00473C3B">
        <w:trPr>
          <w:trHeight w:val="20"/>
        </w:trPr>
        <w:tc>
          <w:tcPr>
            <w:tcW w:w="2126" w:type="pct"/>
            <w:tcBorders>
              <w:top w:val="nil"/>
              <w:left w:val="nil"/>
              <w:bottom w:val="nil"/>
              <w:right w:val="nil"/>
            </w:tcBorders>
            <w:shd w:val="clear" w:color="000000" w:fill="FFFFFF"/>
            <w:noWrap/>
            <w:vAlign w:val="center"/>
            <w:hideMark/>
          </w:tcPr>
          <w:p w14:paraId="76921385"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ПЕУ „Ресавица”</w:t>
            </w:r>
          </w:p>
        </w:tc>
        <w:tc>
          <w:tcPr>
            <w:tcW w:w="676" w:type="pct"/>
            <w:tcBorders>
              <w:top w:val="nil"/>
              <w:left w:val="nil"/>
              <w:bottom w:val="nil"/>
              <w:right w:val="nil"/>
            </w:tcBorders>
            <w:shd w:val="clear" w:color="000000" w:fill="FFFFFF"/>
            <w:noWrap/>
            <w:vAlign w:val="center"/>
            <w:hideMark/>
          </w:tcPr>
          <w:p w14:paraId="5D03BD5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(1.621,1)</w:t>
            </w:r>
          </w:p>
        </w:tc>
        <w:tc>
          <w:tcPr>
            <w:tcW w:w="676" w:type="pct"/>
            <w:tcBorders>
              <w:top w:val="nil"/>
              <w:left w:val="nil"/>
              <w:bottom w:val="nil"/>
              <w:right w:val="nil"/>
            </w:tcBorders>
            <w:shd w:val="clear" w:color="000000" w:fill="FFFFFF"/>
            <w:noWrap/>
            <w:vAlign w:val="center"/>
            <w:hideMark/>
          </w:tcPr>
          <w:p w14:paraId="7382AAC2" w14:textId="0EDAEC5F" w:rsidR="00473C3B" w:rsidRPr="00671E8F" w:rsidRDefault="00473C3B" w:rsidP="005407DC">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w:t>
            </w:r>
            <w:r w:rsidR="005407DC" w:rsidRPr="00671E8F">
              <w:rPr>
                <w:rFonts w:eastAsia="Times New Roman" w:cstheme="minorHAnsi"/>
                <w:color w:val="002060"/>
                <w:sz w:val="18"/>
                <w:szCs w:val="18"/>
              </w:rPr>
              <w:t>2.152,4</w:t>
            </w:r>
            <w:r w:rsidRPr="00671E8F">
              <w:rPr>
                <w:rFonts w:eastAsia="Times New Roman" w:cstheme="minorHAnsi"/>
                <w:color w:val="002060"/>
                <w:sz w:val="18"/>
                <w:szCs w:val="18"/>
              </w:rPr>
              <w:t>)</w:t>
            </w:r>
          </w:p>
        </w:tc>
        <w:tc>
          <w:tcPr>
            <w:tcW w:w="847" w:type="pct"/>
            <w:tcBorders>
              <w:top w:val="nil"/>
              <w:left w:val="nil"/>
              <w:bottom w:val="nil"/>
              <w:right w:val="nil"/>
            </w:tcBorders>
            <w:shd w:val="clear" w:color="000000" w:fill="FFFFFF"/>
            <w:noWrap/>
            <w:vAlign w:val="center"/>
          </w:tcPr>
          <w:p w14:paraId="76DDC89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0,0</w:t>
            </w:r>
          </w:p>
        </w:tc>
        <w:tc>
          <w:tcPr>
            <w:tcW w:w="675" w:type="pct"/>
            <w:tcBorders>
              <w:top w:val="nil"/>
              <w:left w:val="nil"/>
              <w:bottom w:val="nil"/>
              <w:right w:val="nil"/>
            </w:tcBorders>
            <w:shd w:val="clear" w:color="000000" w:fill="FFFFFF"/>
            <w:noWrap/>
            <w:vAlign w:val="center"/>
          </w:tcPr>
          <w:p w14:paraId="35661DD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(519,1)</w:t>
            </w:r>
          </w:p>
        </w:tc>
      </w:tr>
      <w:tr w:rsidR="00473C3B" w:rsidRPr="00671E8F" w14:paraId="1C45EA68" w14:textId="77777777" w:rsidTr="00473C3B">
        <w:trPr>
          <w:trHeight w:val="20"/>
        </w:trPr>
        <w:tc>
          <w:tcPr>
            <w:tcW w:w="2126" w:type="pct"/>
            <w:tcBorders>
              <w:top w:val="nil"/>
              <w:left w:val="nil"/>
              <w:bottom w:val="nil"/>
              <w:right w:val="nil"/>
            </w:tcBorders>
            <w:shd w:val="clear" w:color="000000" w:fill="FFFFFF"/>
            <w:noWrap/>
            <w:vAlign w:val="center"/>
          </w:tcPr>
          <w:p w14:paraId="33A59602" w14:textId="6443C7FF"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 xml:space="preserve">Јавно </w:t>
            </w:r>
            <w:r w:rsidR="00351B52" w:rsidRPr="00671E8F">
              <w:rPr>
                <w:rFonts w:eastAsia="Times New Roman" w:cstheme="minorHAnsi"/>
                <w:color w:val="002060"/>
                <w:sz w:val="18"/>
                <w:szCs w:val="18"/>
              </w:rPr>
              <w:t>предузеће „</w:t>
            </w:r>
            <w:r w:rsidRPr="00671E8F">
              <w:rPr>
                <w:rFonts w:eastAsia="Times New Roman" w:cstheme="minorHAnsi"/>
                <w:color w:val="002060"/>
                <w:sz w:val="18"/>
                <w:szCs w:val="18"/>
              </w:rPr>
              <w:t>Југоимпорт-СДПР“</w:t>
            </w:r>
          </w:p>
        </w:tc>
        <w:tc>
          <w:tcPr>
            <w:tcW w:w="676" w:type="pct"/>
            <w:tcBorders>
              <w:top w:val="nil"/>
              <w:left w:val="nil"/>
              <w:bottom w:val="nil"/>
              <w:right w:val="nil"/>
            </w:tcBorders>
            <w:shd w:val="clear" w:color="000000" w:fill="FFFFFF"/>
            <w:noWrap/>
            <w:vAlign w:val="center"/>
          </w:tcPr>
          <w:p w14:paraId="72788AA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392,5</w:t>
            </w:r>
          </w:p>
        </w:tc>
        <w:tc>
          <w:tcPr>
            <w:tcW w:w="676" w:type="pct"/>
            <w:tcBorders>
              <w:top w:val="nil"/>
              <w:left w:val="nil"/>
              <w:bottom w:val="nil"/>
              <w:right w:val="nil"/>
            </w:tcBorders>
            <w:shd w:val="clear" w:color="000000" w:fill="FFFFFF"/>
            <w:noWrap/>
            <w:vAlign w:val="center"/>
          </w:tcPr>
          <w:p w14:paraId="156B8D1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601,7</w:t>
            </w:r>
          </w:p>
        </w:tc>
        <w:tc>
          <w:tcPr>
            <w:tcW w:w="847" w:type="pct"/>
            <w:tcBorders>
              <w:top w:val="nil"/>
              <w:left w:val="nil"/>
              <w:bottom w:val="nil"/>
              <w:right w:val="nil"/>
            </w:tcBorders>
            <w:shd w:val="clear" w:color="000000" w:fill="FFFFFF"/>
            <w:noWrap/>
            <w:vAlign w:val="center"/>
          </w:tcPr>
          <w:p w14:paraId="5A10B18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(788,1)</w:t>
            </w:r>
          </w:p>
        </w:tc>
        <w:tc>
          <w:tcPr>
            <w:tcW w:w="675" w:type="pct"/>
            <w:tcBorders>
              <w:top w:val="nil"/>
              <w:left w:val="nil"/>
              <w:bottom w:val="nil"/>
              <w:right w:val="nil"/>
            </w:tcBorders>
            <w:shd w:val="clear" w:color="000000" w:fill="FFFFFF"/>
            <w:noWrap/>
            <w:vAlign w:val="center"/>
          </w:tcPr>
          <w:p w14:paraId="4D78544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(301,3)</w:t>
            </w:r>
          </w:p>
        </w:tc>
      </w:tr>
      <w:tr w:rsidR="00473C3B" w:rsidRPr="00671E8F" w14:paraId="3606212F" w14:textId="77777777" w:rsidTr="00473C3B">
        <w:trPr>
          <w:trHeight w:val="20"/>
        </w:trPr>
        <w:tc>
          <w:tcPr>
            <w:tcW w:w="2126" w:type="pct"/>
            <w:tcBorders>
              <w:top w:val="nil"/>
              <w:left w:val="nil"/>
              <w:bottom w:val="nil"/>
              <w:right w:val="nil"/>
            </w:tcBorders>
            <w:shd w:val="clear" w:color="000000" w:fill="FFFFFF"/>
            <w:noWrap/>
            <w:vAlign w:val="center"/>
            <w:hideMark/>
          </w:tcPr>
          <w:p w14:paraId="413E5D9D"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„Завод за уџбенике”</w:t>
            </w:r>
          </w:p>
        </w:tc>
        <w:tc>
          <w:tcPr>
            <w:tcW w:w="676" w:type="pct"/>
            <w:tcBorders>
              <w:top w:val="nil"/>
              <w:left w:val="nil"/>
              <w:bottom w:val="nil"/>
              <w:right w:val="nil"/>
            </w:tcBorders>
            <w:shd w:val="clear" w:color="000000" w:fill="FFFFFF"/>
            <w:noWrap/>
            <w:vAlign w:val="center"/>
            <w:hideMark/>
          </w:tcPr>
          <w:p w14:paraId="109A34F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(213,6)</w:t>
            </w:r>
          </w:p>
        </w:tc>
        <w:tc>
          <w:tcPr>
            <w:tcW w:w="676" w:type="pct"/>
            <w:tcBorders>
              <w:top w:val="nil"/>
              <w:left w:val="nil"/>
              <w:bottom w:val="nil"/>
              <w:right w:val="nil"/>
            </w:tcBorders>
            <w:shd w:val="clear" w:color="000000" w:fill="FFFFFF"/>
            <w:noWrap/>
            <w:vAlign w:val="center"/>
            <w:hideMark/>
          </w:tcPr>
          <w:p w14:paraId="06EEB4E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(96,8)</w:t>
            </w:r>
          </w:p>
        </w:tc>
        <w:tc>
          <w:tcPr>
            <w:tcW w:w="847" w:type="pct"/>
            <w:tcBorders>
              <w:top w:val="nil"/>
              <w:left w:val="nil"/>
              <w:bottom w:val="nil"/>
              <w:right w:val="nil"/>
            </w:tcBorders>
            <w:shd w:val="clear" w:color="000000" w:fill="FFFFFF"/>
            <w:noWrap/>
            <w:vAlign w:val="center"/>
            <w:hideMark/>
          </w:tcPr>
          <w:p w14:paraId="0E9F059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(46,6)</w:t>
            </w:r>
          </w:p>
        </w:tc>
        <w:tc>
          <w:tcPr>
            <w:tcW w:w="675" w:type="pct"/>
            <w:tcBorders>
              <w:top w:val="nil"/>
              <w:left w:val="nil"/>
              <w:bottom w:val="nil"/>
              <w:right w:val="nil"/>
            </w:tcBorders>
            <w:shd w:val="clear" w:color="000000" w:fill="FFFFFF"/>
            <w:noWrap/>
            <w:vAlign w:val="center"/>
            <w:hideMark/>
          </w:tcPr>
          <w:p w14:paraId="05A56AF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(154,8)</w:t>
            </w:r>
          </w:p>
        </w:tc>
      </w:tr>
      <w:tr w:rsidR="00473C3B" w:rsidRPr="00671E8F" w14:paraId="28506C7E" w14:textId="77777777" w:rsidTr="00473C3B">
        <w:trPr>
          <w:trHeight w:val="20"/>
        </w:trPr>
        <w:tc>
          <w:tcPr>
            <w:tcW w:w="2126" w:type="pct"/>
            <w:tcBorders>
              <w:top w:val="nil"/>
              <w:left w:val="nil"/>
              <w:bottom w:val="nil"/>
              <w:right w:val="nil"/>
            </w:tcBorders>
            <w:shd w:val="clear" w:color="000000" w:fill="FFFFFF"/>
            <w:noWrap/>
            <w:vAlign w:val="center"/>
          </w:tcPr>
          <w:p w14:paraId="2433E789"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Коридори Србије“ доо</w:t>
            </w:r>
          </w:p>
        </w:tc>
        <w:tc>
          <w:tcPr>
            <w:tcW w:w="676" w:type="pct"/>
            <w:tcBorders>
              <w:top w:val="nil"/>
              <w:left w:val="nil"/>
              <w:bottom w:val="nil"/>
              <w:right w:val="nil"/>
            </w:tcBorders>
            <w:shd w:val="clear" w:color="000000" w:fill="FFFFFF"/>
            <w:noWrap/>
            <w:vAlign w:val="center"/>
          </w:tcPr>
          <w:p w14:paraId="764635FA"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0,0</w:t>
            </w:r>
          </w:p>
        </w:tc>
        <w:tc>
          <w:tcPr>
            <w:tcW w:w="676" w:type="pct"/>
            <w:tcBorders>
              <w:top w:val="nil"/>
              <w:left w:val="nil"/>
              <w:bottom w:val="nil"/>
              <w:right w:val="nil"/>
            </w:tcBorders>
            <w:shd w:val="clear" w:color="000000" w:fill="FFFFFF"/>
            <w:noWrap/>
            <w:vAlign w:val="center"/>
          </w:tcPr>
          <w:p w14:paraId="7E91B566"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0,0</w:t>
            </w:r>
          </w:p>
        </w:tc>
        <w:tc>
          <w:tcPr>
            <w:tcW w:w="847" w:type="pct"/>
            <w:tcBorders>
              <w:top w:val="nil"/>
              <w:left w:val="nil"/>
              <w:bottom w:val="nil"/>
              <w:right w:val="nil"/>
            </w:tcBorders>
            <w:shd w:val="clear" w:color="000000" w:fill="FFFFFF"/>
            <w:noWrap/>
            <w:vAlign w:val="center"/>
          </w:tcPr>
          <w:p w14:paraId="36E8F46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0,0</w:t>
            </w:r>
          </w:p>
        </w:tc>
        <w:tc>
          <w:tcPr>
            <w:tcW w:w="675" w:type="pct"/>
            <w:tcBorders>
              <w:top w:val="nil"/>
              <w:left w:val="nil"/>
              <w:bottom w:val="nil"/>
              <w:right w:val="nil"/>
            </w:tcBorders>
            <w:shd w:val="clear" w:color="000000" w:fill="FFFFFF"/>
            <w:noWrap/>
            <w:vAlign w:val="center"/>
          </w:tcPr>
          <w:p w14:paraId="21F3FD7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(83,3)</w:t>
            </w:r>
          </w:p>
        </w:tc>
      </w:tr>
      <w:tr w:rsidR="00473C3B" w:rsidRPr="00671E8F" w14:paraId="274D77E4" w14:textId="77777777" w:rsidTr="00473C3B">
        <w:trPr>
          <w:trHeight w:val="20"/>
        </w:trPr>
        <w:tc>
          <w:tcPr>
            <w:tcW w:w="2126" w:type="pct"/>
            <w:tcBorders>
              <w:top w:val="nil"/>
              <w:left w:val="nil"/>
              <w:bottom w:val="nil"/>
              <w:right w:val="nil"/>
            </w:tcBorders>
            <w:shd w:val="clear" w:color="000000" w:fill="FFFFFF"/>
            <w:noWrap/>
            <w:vAlign w:val="center"/>
          </w:tcPr>
          <w:p w14:paraId="305EED93"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за склоништа</w:t>
            </w:r>
          </w:p>
        </w:tc>
        <w:tc>
          <w:tcPr>
            <w:tcW w:w="676" w:type="pct"/>
            <w:tcBorders>
              <w:top w:val="nil"/>
              <w:left w:val="nil"/>
              <w:bottom w:val="nil"/>
              <w:right w:val="nil"/>
            </w:tcBorders>
            <w:shd w:val="clear" w:color="000000" w:fill="FFFFFF"/>
            <w:noWrap/>
            <w:vAlign w:val="center"/>
          </w:tcPr>
          <w:p w14:paraId="44CCE50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(112,9)</w:t>
            </w:r>
          </w:p>
        </w:tc>
        <w:tc>
          <w:tcPr>
            <w:tcW w:w="676" w:type="pct"/>
            <w:tcBorders>
              <w:top w:val="nil"/>
              <w:left w:val="nil"/>
              <w:bottom w:val="nil"/>
              <w:right w:val="nil"/>
            </w:tcBorders>
            <w:shd w:val="clear" w:color="000000" w:fill="FFFFFF"/>
            <w:noWrap/>
            <w:vAlign w:val="center"/>
          </w:tcPr>
          <w:p w14:paraId="037B72C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(106,9)</w:t>
            </w:r>
          </w:p>
        </w:tc>
        <w:tc>
          <w:tcPr>
            <w:tcW w:w="847" w:type="pct"/>
            <w:tcBorders>
              <w:top w:val="nil"/>
              <w:left w:val="nil"/>
              <w:bottom w:val="nil"/>
              <w:right w:val="nil"/>
            </w:tcBorders>
            <w:shd w:val="clear" w:color="000000" w:fill="FFFFFF"/>
            <w:noWrap/>
            <w:vAlign w:val="center"/>
          </w:tcPr>
          <w:p w14:paraId="31EFBE7F"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(63,8)</w:t>
            </w:r>
          </w:p>
        </w:tc>
        <w:tc>
          <w:tcPr>
            <w:tcW w:w="675" w:type="pct"/>
            <w:tcBorders>
              <w:top w:val="nil"/>
              <w:left w:val="nil"/>
              <w:bottom w:val="nil"/>
              <w:right w:val="nil"/>
            </w:tcBorders>
            <w:shd w:val="clear" w:color="000000" w:fill="FFFFFF"/>
            <w:noWrap/>
            <w:vAlign w:val="center"/>
          </w:tcPr>
          <w:p w14:paraId="556BE56D"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(41,1)</w:t>
            </w:r>
          </w:p>
        </w:tc>
      </w:tr>
      <w:tr w:rsidR="00473C3B" w:rsidRPr="00671E8F" w14:paraId="374B6387" w14:textId="77777777" w:rsidTr="00473C3B">
        <w:trPr>
          <w:trHeight w:val="20"/>
        </w:trPr>
        <w:tc>
          <w:tcPr>
            <w:tcW w:w="2126" w:type="pct"/>
            <w:tcBorders>
              <w:top w:val="nil"/>
              <w:left w:val="nil"/>
              <w:bottom w:val="nil"/>
              <w:right w:val="nil"/>
            </w:tcBorders>
            <w:shd w:val="clear" w:color="000000" w:fill="FFFFFF"/>
            <w:noWrap/>
            <w:vAlign w:val="center"/>
          </w:tcPr>
          <w:p w14:paraId="61FD31E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водопривредно предузеће „Србијаводе”</w:t>
            </w:r>
          </w:p>
        </w:tc>
        <w:tc>
          <w:tcPr>
            <w:tcW w:w="676" w:type="pct"/>
            <w:tcBorders>
              <w:top w:val="nil"/>
              <w:left w:val="nil"/>
              <w:bottom w:val="nil"/>
              <w:right w:val="nil"/>
            </w:tcBorders>
            <w:shd w:val="clear" w:color="000000" w:fill="FFFFFF"/>
            <w:noWrap/>
            <w:vAlign w:val="center"/>
          </w:tcPr>
          <w:p w14:paraId="496F6C9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37,8</w:t>
            </w:r>
          </w:p>
        </w:tc>
        <w:tc>
          <w:tcPr>
            <w:tcW w:w="676" w:type="pct"/>
            <w:tcBorders>
              <w:top w:val="nil"/>
              <w:left w:val="nil"/>
              <w:bottom w:val="nil"/>
              <w:right w:val="nil"/>
            </w:tcBorders>
            <w:shd w:val="clear" w:color="000000" w:fill="FFFFFF"/>
            <w:noWrap/>
            <w:vAlign w:val="center"/>
          </w:tcPr>
          <w:p w14:paraId="52A5AD4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16,1</w:t>
            </w:r>
          </w:p>
        </w:tc>
        <w:tc>
          <w:tcPr>
            <w:tcW w:w="847" w:type="pct"/>
            <w:tcBorders>
              <w:top w:val="nil"/>
              <w:left w:val="nil"/>
              <w:bottom w:val="nil"/>
              <w:right w:val="nil"/>
            </w:tcBorders>
            <w:shd w:val="clear" w:color="000000" w:fill="FFFFFF"/>
            <w:noWrap/>
            <w:vAlign w:val="center"/>
          </w:tcPr>
          <w:p w14:paraId="38F46CA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(44,3)</w:t>
            </w:r>
          </w:p>
        </w:tc>
        <w:tc>
          <w:tcPr>
            <w:tcW w:w="675" w:type="pct"/>
            <w:tcBorders>
              <w:top w:val="nil"/>
              <w:left w:val="nil"/>
              <w:bottom w:val="nil"/>
              <w:right w:val="nil"/>
            </w:tcBorders>
            <w:shd w:val="clear" w:color="000000" w:fill="FFFFFF"/>
            <w:noWrap/>
            <w:vAlign w:val="center"/>
          </w:tcPr>
          <w:p w14:paraId="13F84A69"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(25,8)</w:t>
            </w:r>
          </w:p>
        </w:tc>
      </w:tr>
      <w:tr w:rsidR="00473C3B" w:rsidRPr="00671E8F" w14:paraId="487995B0" w14:textId="77777777" w:rsidTr="00473C3B">
        <w:trPr>
          <w:trHeight w:val="20"/>
        </w:trPr>
        <w:tc>
          <w:tcPr>
            <w:tcW w:w="2126" w:type="pct"/>
            <w:tcBorders>
              <w:top w:val="nil"/>
              <w:left w:val="nil"/>
              <w:bottom w:val="nil"/>
              <w:right w:val="nil"/>
            </w:tcBorders>
            <w:shd w:val="clear" w:color="000000" w:fill="FFFFFF"/>
            <w:noWrap/>
            <w:vAlign w:val="center"/>
          </w:tcPr>
          <w:p w14:paraId="62361386"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„Транснафта” ад</w:t>
            </w:r>
          </w:p>
        </w:tc>
        <w:tc>
          <w:tcPr>
            <w:tcW w:w="676" w:type="pct"/>
            <w:tcBorders>
              <w:top w:val="nil"/>
              <w:left w:val="nil"/>
              <w:bottom w:val="nil"/>
              <w:right w:val="nil"/>
            </w:tcBorders>
            <w:shd w:val="clear" w:color="000000" w:fill="FFFFFF"/>
            <w:noWrap/>
            <w:vAlign w:val="center"/>
          </w:tcPr>
          <w:p w14:paraId="4F97E19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344,4</w:t>
            </w:r>
          </w:p>
        </w:tc>
        <w:tc>
          <w:tcPr>
            <w:tcW w:w="676" w:type="pct"/>
            <w:tcBorders>
              <w:top w:val="nil"/>
              <w:left w:val="nil"/>
              <w:bottom w:val="nil"/>
              <w:right w:val="nil"/>
            </w:tcBorders>
            <w:shd w:val="clear" w:color="000000" w:fill="FFFFFF"/>
            <w:noWrap/>
            <w:vAlign w:val="center"/>
          </w:tcPr>
          <w:p w14:paraId="10B5EC2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279,0</w:t>
            </w:r>
          </w:p>
        </w:tc>
        <w:tc>
          <w:tcPr>
            <w:tcW w:w="847" w:type="pct"/>
            <w:tcBorders>
              <w:top w:val="nil"/>
              <w:left w:val="nil"/>
              <w:bottom w:val="nil"/>
              <w:right w:val="nil"/>
            </w:tcBorders>
            <w:shd w:val="clear" w:color="000000" w:fill="FFFFFF"/>
            <w:noWrap/>
            <w:vAlign w:val="center"/>
          </w:tcPr>
          <w:p w14:paraId="2E31FBB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15,1</w:t>
            </w:r>
          </w:p>
        </w:tc>
        <w:tc>
          <w:tcPr>
            <w:tcW w:w="675" w:type="pct"/>
            <w:tcBorders>
              <w:top w:val="nil"/>
              <w:left w:val="nil"/>
              <w:bottom w:val="nil"/>
              <w:right w:val="nil"/>
            </w:tcBorders>
            <w:shd w:val="clear" w:color="000000" w:fill="FFFFFF"/>
            <w:noWrap/>
            <w:vAlign w:val="center"/>
          </w:tcPr>
          <w:p w14:paraId="4E91BFD8"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(24,5)</w:t>
            </w:r>
          </w:p>
        </w:tc>
      </w:tr>
      <w:tr w:rsidR="00473C3B" w:rsidRPr="00671E8F" w14:paraId="2972C33F" w14:textId="77777777" w:rsidTr="00473C3B">
        <w:trPr>
          <w:trHeight w:val="20"/>
        </w:trPr>
        <w:tc>
          <w:tcPr>
            <w:tcW w:w="2126" w:type="pct"/>
            <w:tcBorders>
              <w:top w:val="nil"/>
              <w:left w:val="nil"/>
              <w:bottom w:val="nil"/>
              <w:right w:val="nil"/>
            </w:tcBorders>
            <w:shd w:val="clear" w:color="000000" w:fill="FFFFFF"/>
            <w:noWrap/>
            <w:vAlign w:val="center"/>
          </w:tcPr>
          <w:p w14:paraId="7B706111"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„Национални парк Ђердап”</w:t>
            </w:r>
          </w:p>
        </w:tc>
        <w:tc>
          <w:tcPr>
            <w:tcW w:w="676" w:type="pct"/>
            <w:tcBorders>
              <w:top w:val="nil"/>
              <w:left w:val="nil"/>
              <w:bottom w:val="nil"/>
              <w:right w:val="nil"/>
            </w:tcBorders>
            <w:shd w:val="clear" w:color="000000" w:fill="FFFFFF"/>
            <w:noWrap/>
            <w:vAlign w:val="center"/>
          </w:tcPr>
          <w:p w14:paraId="2148CB1B"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13,6</w:t>
            </w:r>
          </w:p>
        </w:tc>
        <w:tc>
          <w:tcPr>
            <w:tcW w:w="676" w:type="pct"/>
            <w:tcBorders>
              <w:top w:val="nil"/>
              <w:left w:val="nil"/>
              <w:bottom w:val="nil"/>
              <w:right w:val="nil"/>
            </w:tcBorders>
            <w:shd w:val="clear" w:color="000000" w:fill="FFFFFF"/>
            <w:noWrap/>
            <w:vAlign w:val="center"/>
          </w:tcPr>
          <w:p w14:paraId="00A47D17"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15,6</w:t>
            </w:r>
          </w:p>
        </w:tc>
        <w:tc>
          <w:tcPr>
            <w:tcW w:w="847" w:type="pct"/>
            <w:tcBorders>
              <w:top w:val="nil"/>
              <w:left w:val="nil"/>
              <w:bottom w:val="nil"/>
              <w:right w:val="nil"/>
            </w:tcBorders>
            <w:shd w:val="clear" w:color="000000" w:fill="FFFFFF"/>
            <w:noWrap/>
            <w:vAlign w:val="center"/>
          </w:tcPr>
          <w:p w14:paraId="415F8A4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8,9</w:t>
            </w:r>
          </w:p>
        </w:tc>
        <w:tc>
          <w:tcPr>
            <w:tcW w:w="675" w:type="pct"/>
            <w:tcBorders>
              <w:top w:val="nil"/>
              <w:left w:val="nil"/>
              <w:bottom w:val="nil"/>
              <w:right w:val="nil"/>
            </w:tcBorders>
            <w:shd w:val="clear" w:color="000000" w:fill="FFFFFF"/>
            <w:noWrap/>
            <w:vAlign w:val="center"/>
          </w:tcPr>
          <w:p w14:paraId="0947FAF2"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(22,6)</w:t>
            </w:r>
          </w:p>
        </w:tc>
      </w:tr>
      <w:tr w:rsidR="00473C3B" w:rsidRPr="00671E8F" w14:paraId="636ADEA4" w14:textId="77777777" w:rsidTr="00473C3B">
        <w:trPr>
          <w:trHeight w:val="20"/>
        </w:trPr>
        <w:tc>
          <w:tcPr>
            <w:tcW w:w="2126" w:type="pct"/>
            <w:tcBorders>
              <w:top w:val="nil"/>
              <w:left w:val="nil"/>
              <w:bottom w:val="nil"/>
              <w:right w:val="nil"/>
            </w:tcBorders>
            <w:shd w:val="clear" w:color="000000" w:fill="FFFFFF"/>
            <w:noWrap/>
            <w:vAlign w:val="center"/>
          </w:tcPr>
          <w:p w14:paraId="32B91D9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„Железнице Србије” ад</w:t>
            </w:r>
          </w:p>
        </w:tc>
        <w:tc>
          <w:tcPr>
            <w:tcW w:w="676" w:type="pct"/>
            <w:tcBorders>
              <w:top w:val="nil"/>
              <w:left w:val="nil"/>
              <w:bottom w:val="nil"/>
              <w:right w:val="nil"/>
            </w:tcBorders>
            <w:shd w:val="clear" w:color="000000" w:fill="FFFFFF"/>
            <w:noWrap/>
            <w:vAlign w:val="center"/>
          </w:tcPr>
          <w:p w14:paraId="02B1955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(1.237,8)</w:t>
            </w:r>
          </w:p>
        </w:tc>
        <w:tc>
          <w:tcPr>
            <w:tcW w:w="676" w:type="pct"/>
            <w:tcBorders>
              <w:top w:val="nil"/>
              <w:left w:val="nil"/>
              <w:bottom w:val="nil"/>
              <w:right w:val="nil"/>
            </w:tcBorders>
            <w:shd w:val="clear" w:color="000000" w:fill="FFFFFF"/>
            <w:noWrap/>
            <w:vAlign w:val="center"/>
          </w:tcPr>
          <w:p w14:paraId="71BB99E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(167,7)</w:t>
            </w:r>
          </w:p>
        </w:tc>
        <w:tc>
          <w:tcPr>
            <w:tcW w:w="847" w:type="pct"/>
            <w:tcBorders>
              <w:top w:val="nil"/>
              <w:left w:val="nil"/>
              <w:bottom w:val="nil"/>
              <w:right w:val="nil"/>
            </w:tcBorders>
            <w:shd w:val="clear" w:color="000000" w:fill="FFFFFF"/>
            <w:noWrap/>
            <w:vAlign w:val="center"/>
          </w:tcPr>
          <w:p w14:paraId="450CF91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(38,7)</w:t>
            </w:r>
          </w:p>
        </w:tc>
        <w:tc>
          <w:tcPr>
            <w:tcW w:w="675" w:type="pct"/>
            <w:tcBorders>
              <w:top w:val="nil"/>
              <w:left w:val="nil"/>
              <w:bottom w:val="nil"/>
              <w:right w:val="nil"/>
            </w:tcBorders>
            <w:shd w:val="clear" w:color="000000" w:fill="FFFFFF"/>
            <w:noWrap/>
            <w:vAlign w:val="center"/>
          </w:tcPr>
          <w:p w14:paraId="1DBC7F43"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(5,8)</w:t>
            </w:r>
          </w:p>
        </w:tc>
      </w:tr>
      <w:tr w:rsidR="00473C3B" w:rsidRPr="00671E8F" w14:paraId="1F2DC7EC" w14:textId="77777777" w:rsidTr="00473C3B">
        <w:trPr>
          <w:trHeight w:val="20"/>
        </w:trPr>
        <w:tc>
          <w:tcPr>
            <w:tcW w:w="2126" w:type="pct"/>
            <w:tcBorders>
              <w:top w:val="nil"/>
              <w:left w:val="nil"/>
              <w:bottom w:val="nil"/>
              <w:right w:val="nil"/>
            </w:tcBorders>
            <w:shd w:val="clear" w:color="000000" w:fill="FFFFFF"/>
            <w:noWrap/>
            <w:vAlign w:val="center"/>
          </w:tcPr>
          <w:p w14:paraId="15EC275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Јавно предузеће “Стара планина“</w:t>
            </w:r>
          </w:p>
        </w:tc>
        <w:tc>
          <w:tcPr>
            <w:tcW w:w="676" w:type="pct"/>
            <w:tcBorders>
              <w:top w:val="nil"/>
              <w:left w:val="nil"/>
              <w:bottom w:val="nil"/>
              <w:right w:val="nil"/>
            </w:tcBorders>
            <w:shd w:val="clear" w:color="000000" w:fill="FFFFFF"/>
            <w:noWrap/>
            <w:vAlign w:val="center"/>
          </w:tcPr>
          <w:p w14:paraId="1FAE5F25"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3,0</w:t>
            </w:r>
          </w:p>
        </w:tc>
        <w:tc>
          <w:tcPr>
            <w:tcW w:w="676" w:type="pct"/>
            <w:tcBorders>
              <w:top w:val="nil"/>
              <w:left w:val="nil"/>
              <w:bottom w:val="nil"/>
              <w:right w:val="nil"/>
            </w:tcBorders>
            <w:shd w:val="clear" w:color="000000" w:fill="FFFFFF"/>
            <w:noWrap/>
            <w:vAlign w:val="center"/>
          </w:tcPr>
          <w:p w14:paraId="7F84D1C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2,4</w:t>
            </w:r>
          </w:p>
        </w:tc>
        <w:tc>
          <w:tcPr>
            <w:tcW w:w="847" w:type="pct"/>
            <w:tcBorders>
              <w:top w:val="nil"/>
              <w:left w:val="nil"/>
              <w:bottom w:val="nil"/>
              <w:right w:val="nil"/>
            </w:tcBorders>
            <w:shd w:val="clear" w:color="000000" w:fill="FFFFFF"/>
            <w:noWrap/>
            <w:vAlign w:val="center"/>
          </w:tcPr>
          <w:p w14:paraId="25718AA1"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8,8</w:t>
            </w:r>
          </w:p>
        </w:tc>
        <w:tc>
          <w:tcPr>
            <w:tcW w:w="675" w:type="pct"/>
            <w:tcBorders>
              <w:top w:val="nil"/>
              <w:left w:val="nil"/>
              <w:bottom w:val="nil"/>
              <w:right w:val="nil"/>
            </w:tcBorders>
            <w:shd w:val="clear" w:color="000000" w:fill="FFFFFF"/>
            <w:noWrap/>
            <w:vAlign w:val="center"/>
          </w:tcPr>
          <w:p w14:paraId="0FDFFE5C" w14:textId="77777777" w:rsidR="00473C3B" w:rsidRPr="00671E8F" w:rsidRDefault="00473C3B" w:rsidP="00473C3B">
            <w:pPr>
              <w:spacing w:after="0" w:line="240" w:lineRule="auto"/>
              <w:jc w:val="center"/>
              <w:rPr>
                <w:rFonts w:eastAsia="Times New Roman" w:cstheme="minorHAnsi"/>
                <w:color w:val="002060"/>
                <w:sz w:val="18"/>
                <w:szCs w:val="18"/>
              </w:rPr>
            </w:pPr>
            <w:r w:rsidRPr="00671E8F">
              <w:rPr>
                <w:rFonts w:eastAsia="Times New Roman" w:cstheme="minorHAnsi"/>
                <w:color w:val="002060"/>
                <w:sz w:val="18"/>
                <w:szCs w:val="18"/>
              </w:rPr>
              <w:t>(1,8)</w:t>
            </w:r>
          </w:p>
        </w:tc>
      </w:tr>
      <w:tr w:rsidR="00473C3B" w:rsidRPr="00671E8F" w14:paraId="2597FACC" w14:textId="77777777" w:rsidTr="00473C3B">
        <w:trPr>
          <w:trHeight w:val="20"/>
        </w:trPr>
        <w:tc>
          <w:tcPr>
            <w:tcW w:w="2126" w:type="pct"/>
            <w:tcBorders>
              <w:top w:val="single" w:sz="4" w:space="0" w:color="002060"/>
              <w:left w:val="nil"/>
              <w:bottom w:val="single" w:sz="4" w:space="0" w:color="002060"/>
              <w:right w:val="nil"/>
            </w:tcBorders>
            <w:shd w:val="clear" w:color="auto" w:fill="FFFFFF" w:themeFill="background1"/>
            <w:noWrap/>
            <w:vAlign w:val="center"/>
            <w:hideMark/>
          </w:tcPr>
          <w:p w14:paraId="3A5B5A90" w14:textId="77777777" w:rsidR="00473C3B" w:rsidRPr="00671E8F" w:rsidRDefault="00473C3B" w:rsidP="00473C3B">
            <w:pPr>
              <w:spacing w:after="0" w:line="240" w:lineRule="auto"/>
              <w:jc w:val="left"/>
              <w:rPr>
                <w:rFonts w:eastAsia="Times New Roman" w:cstheme="minorHAnsi"/>
                <w:b/>
                <w:bCs/>
                <w:color w:val="002060"/>
                <w:sz w:val="18"/>
                <w:szCs w:val="18"/>
              </w:rPr>
            </w:pPr>
            <w:r w:rsidRPr="00671E8F">
              <w:rPr>
                <w:rFonts w:eastAsia="Times New Roman" w:cstheme="minorHAnsi"/>
                <w:b/>
                <w:bCs/>
                <w:color w:val="002060"/>
                <w:sz w:val="18"/>
                <w:szCs w:val="18"/>
              </w:rPr>
              <w:t>Укупно:</w:t>
            </w:r>
          </w:p>
        </w:tc>
        <w:tc>
          <w:tcPr>
            <w:tcW w:w="676" w:type="pct"/>
            <w:tcBorders>
              <w:top w:val="single" w:sz="4" w:space="0" w:color="002060"/>
              <w:left w:val="nil"/>
              <w:bottom w:val="single" w:sz="4" w:space="0" w:color="002060"/>
              <w:right w:val="nil"/>
            </w:tcBorders>
            <w:shd w:val="clear" w:color="auto" w:fill="FFFFFF" w:themeFill="background1"/>
            <w:noWrap/>
            <w:vAlign w:val="center"/>
            <w:hideMark/>
          </w:tcPr>
          <w:p w14:paraId="5DAE1822"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(13.981,9)</w:t>
            </w:r>
          </w:p>
        </w:tc>
        <w:tc>
          <w:tcPr>
            <w:tcW w:w="676" w:type="pct"/>
            <w:tcBorders>
              <w:top w:val="single" w:sz="4" w:space="0" w:color="002060"/>
              <w:left w:val="nil"/>
              <w:bottom w:val="single" w:sz="4" w:space="0" w:color="002060"/>
              <w:right w:val="nil"/>
            </w:tcBorders>
            <w:shd w:val="clear" w:color="auto" w:fill="FFFFFF" w:themeFill="background1"/>
            <w:noWrap/>
            <w:vAlign w:val="center"/>
            <w:hideMark/>
          </w:tcPr>
          <w:p w14:paraId="7AE0B7AD"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(17.943,8)</w:t>
            </w:r>
          </w:p>
        </w:tc>
        <w:tc>
          <w:tcPr>
            <w:tcW w:w="847" w:type="pct"/>
            <w:tcBorders>
              <w:top w:val="single" w:sz="4" w:space="0" w:color="002060"/>
              <w:left w:val="nil"/>
              <w:bottom w:val="single" w:sz="4" w:space="0" w:color="002060"/>
              <w:right w:val="nil"/>
            </w:tcBorders>
            <w:shd w:val="clear" w:color="auto" w:fill="FFFFFF" w:themeFill="background1"/>
            <w:noWrap/>
            <w:vAlign w:val="center"/>
            <w:hideMark/>
          </w:tcPr>
          <w:p w14:paraId="19F35432"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(3.467,2)</w:t>
            </w:r>
          </w:p>
        </w:tc>
        <w:tc>
          <w:tcPr>
            <w:tcW w:w="675" w:type="pct"/>
            <w:tcBorders>
              <w:top w:val="single" w:sz="4" w:space="0" w:color="002060"/>
              <w:left w:val="nil"/>
              <w:bottom w:val="single" w:sz="4" w:space="0" w:color="002060"/>
              <w:right w:val="nil"/>
            </w:tcBorders>
            <w:shd w:val="clear" w:color="auto" w:fill="FFFFFF" w:themeFill="background1"/>
            <w:noWrap/>
            <w:vAlign w:val="center"/>
            <w:hideMark/>
          </w:tcPr>
          <w:p w14:paraId="26F1CED1" w14:textId="77777777" w:rsidR="00473C3B" w:rsidRPr="00671E8F" w:rsidRDefault="00473C3B" w:rsidP="00473C3B">
            <w:pPr>
              <w:spacing w:after="0" w:line="240" w:lineRule="auto"/>
              <w:jc w:val="center"/>
              <w:rPr>
                <w:rFonts w:eastAsia="Times New Roman" w:cstheme="minorHAnsi"/>
                <w:b/>
                <w:bCs/>
                <w:color w:val="002060"/>
                <w:sz w:val="18"/>
                <w:szCs w:val="18"/>
              </w:rPr>
            </w:pPr>
            <w:r w:rsidRPr="00671E8F">
              <w:rPr>
                <w:rFonts w:eastAsia="Times New Roman" w:cstheme="minorHAnsi"/>
                <w:b/>
                <w:bCs/>
                <w:color w:val="002060"/>
                <w:sz w:val="18"/>
                <w:szCs w:val="18"/>
              </w:rPr>
              <w:t>(9.929,1)</w:t>
            </w:r>
          </w:p>
        </w:tc>
      </w:tr>
    </w:tbl>
    <w:p w14:paraId="527D39E7"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Извор: Финансијски извештаји (АПР) и квартални извештај за 2024. годину</w:t>
      </w:r>
    </w:p>
    <w:p w14:paraId="29232BEF" w14:textId="77777777" w:rsidR="00473C3B" w:rsidRPr="00671E8F" w:rsidRDefault="00473C3B" w:rsidP="00473C3B">
      <w:pPr>
        <w:spacing w:after="0" w:line="240" w:lineRule="auto"/>
        <w:jc w:val="center"/>
        <w:rPr>
          <w:rFonts w:ascii="Calibri" w:eastAsia="Times New Roman" w:hAnsi="Calibri" w:cs="Calibri"/>
          <w:b/>
          <w:bCs/>
          <w:color w:val="203764"/>
          <w:szCs w:val="20"/>
          <w:highlight w:val="yellow"/>
        </w:rPr>
      </w:pPr>
    </w:p>
    <w:p w14:paraId="45594192" w14:textId="77777777" w:rsidR="00473C3B" w:rsidRPr="00671E8F" w:rsidRDefault="00473C3B" w:rsidP="00473C3B">
      <w:pPr>
        <w:rPr>
          <w:rFonts w:eastAsia="MS PGothic" w:cstheme="minorHAnsi"/>
          <w:szCs w:val="20"/>
          <w:highlight w:val="yellow"/>
          <w:lang w:eastAsia="ja-JP"/>
        </w:rPr>
        <w:sectPr w:rsidR="00473C3B" w:rsidRPr="00671E8F" w:rsidSect="00F45C01">
          <w:headerReference w:type="even" r:id="rId174"/>
          <w:footerReference w:type="even" r:id="rId175"/>
          <w:footerReference w:type="default" r:id="rId176"/>
          <w:headerReference w:type="first" r:id="rId177"/>
          <w:type w:val="continuous"/>
          <w:pgSz w:w="12240" w:h="15840"/>
          <w:pgMar w:top="1440" w:right="1440" w:bottom="1440" w:left="1440" w:header="720" w:footer="720" w:gutter="0"/>
          <w:cols w:space="720"/>
          <w:docGrid w:linePitch="360"/>
        </w:sectPr>
      </w:pPr>
    </w:p>
    <w:p w14:paraId="0C355E66" w14:textId="77777777" w:rsidR="00473C3B" w:rsidRPr="00671E8F" w:rsidRDefault="00473C3B" w:rsidP="00473C3B">
      <w:pPr>
        <w:spacing w:line="256" w:lineRule="auto"/>
        <w:rPr>
          <w:rFonts w:ascii="Calibri" w:eastAsia="MS PGothic" w:hAnsi="Calibri" w:cs="Calibri"/>
          <w:strike/>
          <w:color w:val="44546A"/>
          <w:szCs w:val="20"/>
          <w:highlight w:val="yellow"/>
          <w:lang w:eastAsia="ja-JP"/>
        </w:rPr>
      </w:pPr>
      <w:r w:rsidRPr="00671E8F">
        <w:rPr>
          <w:rFonts w:ascii="Calibri" w:eastAsia="MS PGothic" w:hAnsi="Calibri" w:cs="Calibri"/>
          <w:color w:val="44546A"/>
          <w:szCs w:val="20"/>
          <w:lang w:eastAsia="ja-JP"/>
        </w:rPr>
        <w:t xml:space="preserve">Нови Закон о управљању привредним друштвима у власништву Републике Србије, чија je примена почела у септембру 2024. године, очекује се да ће допринети смањењу фискалних ризика и унапређењу рада државних предузећа. Овим законом ће се кроз централизовано управљање омогућити боље праћење рада државних предузећа, а промена правне форме јавних предузећа у акционарска друштва или друштва са ограниченом одговорношћу допринеће професионализацији корпоративног управљања, чиме ће се повећати економска ефикасност и конкурентност привреде. Општи циљ овог закона је да се створи одрживо и ефикасно управљање предузећима у власништву Републике Србије. </w:t>
      </w:r>
    </w:p>
    <w:p w14:paraId="76733928" w14:textId="77777777" w:rsidR="00473C3B" w:rsidRPr="00671E8F" w:rsidRDefault="00473C3B" w:rsidP="00473C3B">
      <w:pPr>
        <w:spacing w:line="256" w:lineRule="auto"/>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Сектор за праћење фискалних ризика врши процену фискалних ризика државних предузећа уз помоћ Алтман З-скор модела. Поред основног модела користи се и прилагођени Алтман З" а који је се примењује углавном за тржишта у развоју, односно примењује се у оним земљама које немају развијено тржиште капитала. Прилагођени Алтман З"-скор модел представља линеарну комбинацију од 4 финансијска рацио показатеља којима су додељени одговарајући коефицијенти.</w:t>
      </w:r>
    </w:p>
    <w:p w14:paraId="3D64A606" w14:textId="77777777" w:rsidR="00473C3B" w:rsidRPr="00671E8F" w:rsidRDefault="00473C3B" w:rsidP="00473C3B">
      <w:pPr>
        <w:spacing w:after="120"/>
        <w:jc w:val="center"/>
        <w:rPr>
          <w:rFonts w:eastAsia="MS PGothic" w:cstheme="minorHAnsi"/>
          <w:b/>
          <w:color w:val="002060"/>
          <w:szCs w:val="20"/>
          <w:lang w:eastAsia="ja-JP"/>
        </w:rPr>
      </w:pPr>
    </w:p>
    <w:p w14:paraId="5941FCA2" w14:textId="77777777" w:rsidR="00473C3B" w:rsidRPr="00671E8F" w:rsidRDefault="00473C3B" w:rsidP="00473C3B">
      <w:pPr>
        <w:spacing w:after="120"/>
        <w:jc w:val="center"/>
        <w:rPr>
          <w:rFonts w:eastAsia="MS PGothic" w:cstheme="minorHAnsi"/>
          <w:b/>
          <w:color w:val="002060"/>
          <w:szCs w:val="20"/>
          <w:lang w:eastAsia="ja-JP"/>
        </w:rPr>
      </w:pPr>
    </w:p>
    <w:p w14:paraId="5385C57E" w14:textId="6F6C68B4"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2</w:t>
      </w:r>
      <w:r w:rsidR="00FC5CD7" w:rsidRPr="00671E8F">
        <w:rPr>
          <w:rFonts w:eastAsia="MS PGothic" w:cstheme="minorHAnsi"/>
          <w:b/>
          <w:color w:val="002060"/>
          <w:szCs w:val="20"/>
          <w:lang w:eastAsia="ja-JP"/>
        </w:rPr>
        <w:t>2</w:t>
      </w:r>
      <w:r w:rsidRPr="00671E8F">
        <w:rPr>
          <w:rFonts w:eastAsia="MS PGothic" w:cstheme="minorHAnsi"/>
          <w:b/>
          <w:color w:val="002060"/>
          <w:szCs w:val="20"/>
          <w:lang w:eastAsia="ja-JP"/>
        </w:rPr>
        <w:t>. Резултати прилагођеног Алтман З" скора по годинама за 36 државних предузећа</w:t>
      </w:r>
    </w:p>
    <w:tbl>
      <w:tblPr>
        <w:tblW w:w="4180" w:type="dxa"/>
        <w:tblLook w:val="04A0" w:firstRow="1" w:lastRow="0" w:firstColumn="1" w:lastColumn="0" w:noHBand="0" w:noVBand="1"/>
      </w:tblPr>
      <w:tblGrid>
        <w:gridCol w:w="1300"/>
        <w:gridCol w:w="960"/>
        <w:gridCol w:w="960"/>
        <w:gridCol w:w="960"/>
      </w:tblGrid>
      <w:tr w:rsidR="00473C3B" w:rsidRPr="00671E8F" w14:paraId="487832C5" w14:textId="77777777" w:rsidTr="00473C3B">
        <w:trPr>
          <w:trHeight w:val="300"/>
        </w:trPr>
        <w:tc>
          <w:tcPr>
            <w:tcW w:w="1300" w:type="dxa"/>
            <w:tcBorders>
              <w:top w:val="single" w:sz="4" w:space="0" w:color="002060"/>
              <w:left w:val="nil"/>
              <w:bottom w:val="single" w:sz="4" w:space="0" w:color="002060"/>
              <w:right w:val="nil"/>
            </w:tcBorders>
            <w:shd w:val="clear" w:color="auto" w:fill="auto"/>
            <w:noWrap/>
            <w:vAlign w:val="center"/>
            <w:hideMark/>
          </w:tcPr>
          <w:p w14:paraId="4DF6492A"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Врста ризика</w:t>
            </w:r>
          </w:p>
        </w:tc>
        <w:tc>
          <w:tcPr>
            <w:tcW w:w="960" w:type="dxa"/>
            <w:tcBorders>
              <w:top w:val="single" w:sz="4" w:space="0" w:color="002060"/>
              <w:left w:val="nil"/>
              <w:bottom w:val="single" w:sz="4" w:space="0" w:color="002060"/>
              <w:right w:val="nil"/>
            </w:tcBorders>
            <w:shd w:val="clear" w:color="auto" w:fill="auto"/>
            <w:noWrap/>
            <w:vAlign w:val="center"/>
            <w:hideMark/>
          </w:tcPr>
          <w:p w14:paraId="7C61BAA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960" w:type="dxa"/>
            <w:tcBorders>
              <w:top w:val="single" w:sz="4" w:space="0" w:color="002060"/>
              <w:left w:val="nil"/>
              <w:bottom w:val="single" w:sz="4" w:space="0" w:color="002060"/>
              <w:right w:val="nil"/>
            </w:tcBorders>
            <w:shd w:val="clear" w:color="auto" w:fill="auto"/>
            <w:noWrap/>
            <w:vAlign w:val="center"/>
            <w:hideMark/>
          </w:tcPr>
          <w:p w14:paraId="4C42962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960" w:type="dxa"/>
            <w:tcBorders>
              <w:top w:val="single" w:sz="4" w:space="0" w:color="002060"/>
              <w:left w:val="nil"/>
              <w:bottom w:val="single" w:sz="4" w:space="0" w:color="002060"/>
              <w:right w:val="nil"/>
            </w:tcBorders>
            <w:shd w:val="clear" w:color="auto" w:fill="auto"/>
            <w:noWrap/>
            <w:vAlign w:val="center"/>
            <w:hideMark/>
          </w:tcPr>
          <w:p w14:paraId="3187F96A"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r>
      <w:tr w:rsidR="00473C3B" w:rsidRPr="00671E8F" w14:paraId="3BF3F79F" w14:textId="77777777" w:rsidTr="00473C3B">
        <w:trPr>
          <w:trHeight w:val="300"/>
        </w:trPr>
        <w:tc>
          <w:tcPr>
            <w:tcW w:w="1300" w:type="dxa"/>
            <w:tcBorders>
              <w:top w:val="single" w:sz="4" w:space="0" w:color="002060"/>
              <w:left w:val="nil"/>
              <w:bottom w:val="nil"/>
              <w:right w:val="nil"/>
            </w:tcBorders>
            <w:shd w:val="clear" w:color="auto" w:fill="auto"/>
            <w:noWrap/>
            <w:vAlign w:val="center"/>
            <w:hideMark/>
          </w:tcPr>
          <w:p w14:paraId="4640928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Низак</w:t>
            </w:r>
          </w:p>
        </w:tc>
        <w:tc>
          <w:tcPr>
            <w:tcW w:w="960" w:type="dxa"/>
            <w:tcBorders>
              <w:top w:val="single" w:sz="4" w:space="0" w:color="002060"/>
              <w:left w:val="nil"/>
              <w:bottom w:val="nil"/>
              <w:right w:val="nil"/>
            </w:tcBorders>
            <w:shd w:val="clear" w:color="auto" w:fill="auto"/>
            <w:noWrap/>
            <w:vAlign w:val="center"/>
            <w:hideMark/>
          </w:tcPr>
          <w:p w14:paraId="3642DCAD"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22</w:t>
            </w:r>
          </w:p>
        </w:tc>
        <w:tc>
          <w:tcPr>
            <w:tcW w:w="960" w:type="dxa"/>
            <w:tcBorders>
              <w:top w:val="single" w:sz="4" w:space="0" w:color="002060"/>
              <w:left w:val="nil"/>
              <w:bottom w:val="nil"/>
              <w:right w:val="nil"/>
            </w:tcBorders>
            <w:shd w:val="clear" w:color="auto" w:fill="auto"/>
            <w:noWrap/>
            <w:vAlign w:val="center"/>
            <w:hideMark/>
          </w:tcPr>
          <w:p w14:paraId="3E18AE31"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23</w:t>
            </w:r>
          </w:p>
        </w:tc>
        <w:tc>
          <w:tcPr>
            <w:tcW w:w="960" w:type="dxa"/>
            <w:tcBorders>
              <w:top w:val="single" w:sz="4" w:space="0" w:color="002060"/>
              <w:left w:val="nil"/>
              <w:bottom w:val="nil"/>
              <w:right w:val="nil"/>
            </w:tcBorders>
            <w:shd w:val="clear" w:color="auto" w:fill="auto"/>
            <w:noWrap/>
            <w:vAlign w:val="center"/>
            <w:hideMark/>
          </w:tcPr>
          <w:p w14:paraId="53DF635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23</w:t>
            </w:r>
          </w:p>
        </w:tc>
      </w:tr>
      <w:tr w:rsidR="00473C3B" w:rsidRPr="00671E8F" w14:paraId="016E9E76" w14:textId="77777777" w:rsidTr="00473C3B">
        <w:trPr>
          <w:trHeight w:val="300"/>
        </w:trPr>
        <w:tc>
          <w:tcPr>
            <w:tcW w:w="1300" w:type="dxa"/>
            <w:tcBorders>
              <w:top w:val="nil"/>
              <w:left w:val="nil"/>
              <w:right w:val="nil"/>
            </w:tcBorders>
            <w:shd w:val="clear" w:color="auto" w:fill="auto"/>
            <w:noWrap/>
            <w:vAlign w:val="center"/>
            <w:hideMark/>
          </w:tcPr>
          <w:p w14:paraId="196F6CE0"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Средњи</w:t>
            </w:r>
          </w:p>
        </w:tc>
        <w:tc>
          <w:tcPr>
            <w:tcW w:w="960" w:type="dxa"/>
            <w:tcBorders>
              <w:top w:val="nil"/>
              <w:left w:val="nil"/>
              <w:right w:val="nil"/>
            </w:tcBorders>
            <w:shd w:val="clear" w:color="auto" w:fill="auto"/>
            <w:noWrap/>
            <w:vAlign w:val="center"/>
            <w:hideMark/>
          </w:tcPr>
          <w:p w14:paraId="62B0863E"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4</w:t>
            </w:r>
          </w:p>
        </w:tc>
        <w:tc>
          <w:tcPr>
            <w:tcW w:w="960" w:type="dxa"/>
            <w:tcBorders>
              <w:top w:val="nil"/>
              <w:left w:val="nil"/>
              <w:right w:val="nil"/>
            </w:tcBorders>
            <w:shd w:val="clear" w:color="auto" w:fill="auto"/>
            <w:noWrap/>
            <w:vAlign w:val="center"/>
            <w:hideMark/>
          </w:tcPr>
          <w:p w14:paraId="291AF38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4</w:t>
            </w:r>
          </w:p>
        </w:tc>
        <w:tc>
          <w:tcPr>
            <w:tcW w:w="960" w:type="dxa"/>
            <w:tcBorders>
              <w:top w:val="nil"/>
              <w:left w:val="nil"/>
              <w:right w:val="nil"/>
            </w:tcBorders>
            <w:shd w:val="clear" w:color="auto" w:fill="auto"/>
            <w:noWrap/>
            <w:vAlign w:val="center"/>
            <w:hideMark/>
          </w:tcPr>
          <w:p w14:paraId="09FE722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6</w:t>
            </w:r>
          </w:p>
        </w:tc>
      </w:tr>
      <w:tr w:rsidR="00473C3B" w:rsidRPr="00671E8F" w14:paraId="16E6DD3A" w14:textId="77777777" w:rsidTr="00473C3B">
        <w:trPr>
          <w:trHeight w:val="300"/>
        </w:trPr>
        <w:tc>
          <w:tcPr>
            <w:tcW w:w="1300" w:type="dxa"/>
            <w:tcBorders>
              <w:top w:val="nil"/>
              <w:left w:val="nil"/>
              <w:bottom w:val="single" w:sz="4" w:space="0" w:color="002060"/>
              <w:right w:val="nil"/>
            </w:tcBorders>
            <w:shd w:val="clear" w:color="auto" w:fill="auto"/>
            <w:noWrap/>
            <w:vAlign w:val="center"/>
            <w:hideMark/>
          </w:tcPr>
          <w:p w14:paraId="0BC1C93F"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Висок</w:t>
            </w:r>
          </w:p>
        </w:tc>
        <w:tc>
          <w:tcPr>
            <w:tcW w:w="960" w:type="dxa"/>
            <w:tcBorders>
              <w:top w:val="nil"/>
              <w:left w:val="nil"/>
              <w:bottom w:val="single" w:sz="4" w:space="0" w:color="002060"/>
              <w:right w:val="nil"/>
            </w:tcBorders>
            <w:shd w:val="clear" w:color="auto" w:fill="auto"/>
            <w:noWrap/>
            <w:vAlign w:val="center"/>
            <w:hideMark/>
          </w:tcPr>
          <w:p w14:paraId="24522818"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10</w:t>
            </w:r>
          </w:p>
        </w:tc>
        <w:tc>
          <w:tcPr>
            <w:tcW w:w="960" w:type="dxa"/>
            <w:tcBorders>
              <w:top w:val="nil"/>
              <w:left w:val="nil"/>
              <w:bottom w:val="single" w:sz="4" w:space="0" w:color="002060"/>
              <w:right w:val="nil"/>
            </w:tcBorders>
            <w:shd w:val="clear" w:color="auto" w:fill="auto"/>
            <w:noWrap/>
            <w:vAlign w:val="center"/>
            <w:hideMark/>
          </w:tcPr>
          <w:p w14:paraId="7ED8D427"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9</w:t>
            </w:r>
          </w:p>
        </w:tc>
        <w:tc>
          <w:tcPr>
            <w:tcW w:w="960" w:type="dxa"/>
            <w:tcBorders>
              <w:top w:val="nil"/>
              <w:left w:val="nil"/>
              <w:bottom w:val="single" w:sz="4" w:space="0" w:color="002060"/>
              <w:right w:val="nil"/>
            </w:tcBorders>
            <w:shd w:val="clear" w:color="auto" w:fill="auto"/>
            <w:noWrap/>
            <w:vAlign w:val="center"/>
            <w:hideMark/>
          </w:tcPr>
          <w:p w14:paraId="5F4FE3E6"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7</w:t>
            </w:r>
          </w:p>
        </w:tc>
      </w:tr>
    </w:tbl>
    <w:p w14:paraId="31C1B869" w14:textId="77777777" w:rsidR="00473C3B" w:rsidRPr="00671E8F" w:rsidRDefault="00473C3B" w:rsidP="00473C3B">
      <w:pPr>
        <w:spacing w:before="40" w:after="0" w:line="276" w:lineRule="auto"/>
        <w:rPr>
          <w:rFonts w:eastAsia="MS PGothic" w:cstheme="minorHAnsi"/>
          <w:sz w:val="16"/>
          <w:szCs w:val="16"/>
          <w:lang w:eastAsia="ja-JP"/>
        </w:rPr>
      </w:pPr>
      <w:r w:rsidRPr="00671E8F">
        <w:rPr>
          <w:rFonts w:eastAsia="MS PGothic" w:cstheme="minorHAnsi"/>
          <w:sz w:val="16"/>
          <w:szCs w:val="16"/>
          <w:lang w:eastAsia="ja-JP"/>
        </w:rPr>
        <w:t>Извор: Министарство финансија</w:t>
      </w:r>
    </w:p>
    <w:p w14:paraId="6FCC72C7" w14:textId="77777777" w:rsidR="00473C3B" w:rsidRPr="00671E8F" w:rsidRDefault="00473C3B" w:rsidP="00473C3B">
      <w:pPr>
        <w:spacing w:before="160"/>
        <w:rPr>
          <w:rFonts w:eastAsia="MS PGothic" w:cstheme="minorHAnsi"/>
          <w:szCs w:val="20"/>
          <w:lang w:eastAsia="ja-JP"/>
        </w:rPr>
      </w:pPr>
      <w:r w:rsidRPr="00671E8F">
        <w:rPr>
          <w:rFonts w:eastAsia="MS PGothic" w:cstheme="minorHAnsi"/>
          <w:szCs w:val="20"/>
          <w:lang w:eastAsia="ja-JP"/>
        </w:rPr>
        <w:t>Према подацима из званичних финансијских извештаја достављених на дан 31. децембра 2023. године, од 36 државних предузећа, применом овог модела идентификовано је учешће 19,4% државних предузећа која су високоризична, 16,7% државних предузеће имају умерен ризик док преостала државна предузећа (63,9%) имају низак ризик у пословању. Државна предузећа код којих је идентификован висок ризик пословања су из енергетског сектора, железничког саобраћаја и грађевинско-техничке гране. Посматрано кроз годишње периоде, приметан је опадајући тренд код високоризичних предузећа, где је у 2021. години било 10 високоризичних предузећа, док се на крају 2023. године тај број смањио на 7.</w:t>
      </w:r>
    </w:p>
    <w:p w14:paraId="115C25F2"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Квантификација ризика представља један од главних изазова у процени ризика и његовом материјалном изражавању. Према моделу који примењује Сектор за праћење ризика, квантификација ризика подразумева </w:t>
      </w:r>
      <w:r w:rsidRPr="00671E8F">
        <w:rPr>
          <w:rFonts w:eastAsia="MS PGothic" w:cstheme="minorHAnsi"/>
          <w:szCs w:val="20"/>
          <w:lang w:eastAsia="ja-JP"/>
        </w:rPr>
        <w:lastRenderedPageBreak/>
        <w:t>идентификовање и приказ потенцијалних издатака који могу настати за појединачна предузећа, односно представљају потенцијалну претњу за буџет Републике Србије, јер могу довести до непланираних интервенција у отплати обавеза државним предузећима. Ови издаци се најчешће називају „очекивани издаци“ и они представљају статистички прорачун, који укључује комбинацију вероватноће настанка издатка и величине годишњих обавеза по кредитима, као једних од најосетљивијих и највећих издатaка који могу захтевати подршку из буџета.</w:t>
      </w:r>
    </w:p>
    <w:p w14:paraId="17286CE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Према резултатима модела, укупан фискални ризик односно очекивани издатака за 36 државних предузећа за 2024. годину процењује се на око 5,1 млрд динара. Ови резултати указују на неопходност континуираног праћења и управљања ризиком како би се ублажиле потенцијалне финансијске последице по јавне финансије, уз истовремено развијање мера које би ојачале стабилност ових предузећа.</w:t>
      </w:r>
    </w:p>
    <w:p w14:paraId="04E60E3F"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Очекивани издаци у наредне три године пројектовани су на незнатно нижем нивоу. Процене указују да ће у 2025. години износити 4,8 млрд динара, у 2026. такође 4,8 млрд динара, док се за 2027. годину предвиђа смањење на 4,6 млрд динара. Имајући у виду да на величину очекиваног издатка директно утичу годишње обавезе по кредитима, свако ново задуживање предузећа довело би до повећања очекиваног издатка, што указује на значај контроле дуга и одрживог управљања финансијским обавезама.</w:t>
      </w:r>
    </w:p>
    <w:p w14:paraId="08BD28D5"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Министарство финансија у наредном периоду наставиће са даљим унапређењем анализа, прикупљања квалитативни информација, унапређењем модела, а све у  циљу да се модел учини свеобухватнијим и прецизнијим, како би се обезбедила поуздана основа за управљање ризицима и подржала одрживост јавних финансија.</w:t>
      </w:r>
    </w:p>
    <w:p w14:paraId="5BD431B8"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Уплата добити</w:t>
      </w:r>
    </w:p>
    <w:p w14:paraId="76843E7A"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Уплата добити од стране државних предузећа и дивиденди друштава капитала у којима држава има власништво представљају део непореских прихода. Од успешности пословања ових предузећа зависи и висина прихода буџета по овом основу. Уплата редовне добити и дивиденди је редован буџетски непорески приход, док се уплате из нераспоређене добити третирају као приход са једнократним карактером и не представљају трајни извор прихода.</w:t>
      </w:r>
    </w:p>
    <w:p w14:paraId="4A5DB7F8"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Привредна друштва чији је оснивач Република Србија или у којима Република Србија има учешће у власништву дужна су да најкасније до 30. новембра текуће буџетске године у буџет Републике Србије уплате најмање 50% сразмерног дела добити по завршном рачуну за претходну годину, који у складу са законом који уређује привредна друштва припада Републици Србији као члану друштва.</w:t>
      </w:r>
    </w:p>
    <w:p w14:paraId="0867836F"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Изузетно, уз сагласност Владе, обавезу по основу уплате добити нема субјекат који донесе одлуку да из добити покрије губитак или повећа капитал или средства употреби за финансирање инвестиција.</w:t>
      </w:r>
    </w:p>
    <w:p w14:paraId="0629E0BE" w14:textId="77777777" w:rsidR="00473C3B" w:rsidRPr="00671E8F" w:rsidRDefault="00473C3B" w:rsidP="00473C3B">
      <w:pPr>
        <w:rPr>
          <w:rFonts w:eastAsia="MS PGothic" w:cstheme="minorHAnsi"/>
          <w:szCs w:val="20"/>
          <w:lang w:eastAsia="ja-JP"/>
        </w:rPr>
        <w:sectPr w:rsidR="00473C3B" w:rsidRPr="00671E8F" w:rsidSect="00473C3B">
          <w:type w:val="continuous"/>
          <w:pgSz w:w="12240" w:h="15840"/>
          <w:pgMar w:top="1440" w:right="1440" w:bottom="1440" w:left="1440" w:header="720" w:footer="720" w:gutter="0"/>
          <w:cols w:num="2" w:space="720"/>
          <w:docGrid w:linePitch="360"/>
        </w:sectPr>
      </w:pPr>
    </w:p>
    <w:p w14:paraId="0F9F7AF8" w14:textId="09FC94ED"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 2</w:t>
      </w:r>
      <w:r w:rsidR="00FC5CD7" w:rsidRPr="00671E8F">
        <w:rPr>
          <w:rFonts w:eastAsia="MS PGothic" w:cstheme="minorHAnsi"/>
          <w:b/>
          <w:color w:val="002060"/>
          <w:szCs w:val="20"/>
          <w:lang w:eastAsia="ja-JP"/>
        </w:rPr>
        <w:t>3</w:t>
      </w:r>
      <w:r w:rsidRPr="00671E8F">
        <w:rPr>
          <w:rFonts w:eastAsia="MS PGothic" w:cstheme="minorHAnsi"/>
          <w:b/>
          <w:color w:val="002060"/>
          <w:szCs w:val="20"/>
          <w:lang w:eastAsia="ja-JP"/>
        </w:rPr>
        <w:t>: Учешће уплаћене добити у укупним приходима буџета Републике Србије</w:t>
      </w:r>
    </w:p>
    <w:tbl>
      <w:tblPr>
        <w:tblW w:w="5000" w:type="pct"/>
        <w:tblLook w:val="04A0" w:firstRow="1" w:lastRow="0" w:firstColumn="1" w:lastColumn="0" w:noHBand="0" w:noVBand="1"/>
      </w:tblPr>
      <w:tblGrid>
        <w:gridCol w:w="5200"/>
        <w:gridCol w:w="1041"/>
        <w:gridCol w:w="1041"/>
        <w:gridCol w:w="1041"/>
        <w:gridCol w:w="1037"/>
      </w:tblGrid>
      <w:tr w:rsidR="00473C3B" w:rsidRPr="00671E8F" w14:paraId="43AAD6B2" w14:textId="77777777" w:rsidTr="00473C3B">
        <w:trPr>
          <w:trHeight w:val="20"/>
        </w:trPr>
        <w:tc>
          <w:tcPr>
            <w:tcW w:w="2778" w:type="pct"/>
            <w:tcBorders>
              <w:top w:val="single" w:sz="4" w:space="0" w:color="002060"/>
              <w:left w:val="nil"/>
            </w:tcBorders>
            <w:shd w:val="clear" w:color="auto" w:fill="auto"/>
            <w:noWrap/>
            <w:vAlign w:val="bottom"/>
            <w:hideMark/>
          </w:tcPr>
          <w:p w14:paraId="743D3A6E" w14:textId="77777777" w:rsidR="00473C3B" w:rsidRPr="00671E8F" w:rsidRDefault="00473C3B" w:rsidP="00473C3B">
            <w:pPr>
              <w:spacing w:after="0" w:line="240" w:lineRule="auto"/>
              <w:jc w:val="left"/>
              <w:rPr>
                <w:rFonts w:ascii="Times New Roman" w:eastAsia="Times New Roman" w:hAnsi="Times New Roman" w:cs="Times New Roman"/>
                <w:color w:val="auto"/>
                <w:sz w:val="18"/>
                <w:szCs w:val="18"/>
              </w:rPr>
            </w:pPr>
          </w:p>
        </w:tc>
        <w:tc>
          <w:tcPr>
            <w:tcW w:w="556" w:type="pct"/>
            <w:tcBorders>
              <w:top w:val="single" w:sz="4" w:space="0" w:color="002060"/>
              <w:bottom w:val="single" w:sz="4" w:space="0" w:color="002060"/>
            </w:tcBorders>
            <w:shd w:val="clear" w:color="auto" w:fill="FFFFFF" w:themeFill="background1"/>
            <w:noWrap/>
            <w:vAlign w:val="center"/>
            <w:hideMark/>
          </w:tcPr>
          <w:p w14:paraId="6BF792F5"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2020</w:t>
            </w:r>
          </w:p>
        </w:tc>
        <w:tc>
          <w:tcPr>
            <w:tcW w:w="556" w:type="pct"/>
            <w:tcBorders>
              <w:top w:val="single" w:sz="4" w:space="0" w:color="002060"/>
              <w:bottom w:val="single" w:sz="4" w:space="0" w:color="002060"/>
            </w:tcBorders>
            <w:shd w:val="clear" w:color="auto" w:fill="FFFFFF" w:themeFill="background1"/>
            <w:noWrap/>
            <w:vAlign w:val="center"/>
            <w:hideMark/>
          </w:tcPr>
          <w:p w14:paraId="13CDAABB"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2021</w:t>
            </w:r>
          </w:p>
        </w:tc>
        <w:tc>
          <w:tcPr>
            <w:tcW w:w="556" w:type="pct"/>
            <w:tcBorders>
              <w:top w:val="single" w:sz="4" w:space="0" w:color="002060"/>
              <w:bottom w:val="single" w:sz="4" w:space="0" w:color="002060"/>
            </w:tcBorders>
            <w:shd w:val="clear" w:color="auto" w:fill="FFFFFF" w:themeFill="background1"/>
            <w:noWrap/>
            <w:vAlign w:val="center"/>
            <w:hideMark/>
          </w:tcPr>
          <w:p w14:paraId="541B86CC"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2022</w:t>
            </w:r>
          </w:p>
        </w:tc>
        <w:tc>
          <w:tcPr>
            <w:tcW w:w="556" w:type="pct"/>
            <w:tcBorders>
              <w:top w:val="single" w:sz="4" w:space="0" w:color="002060"/>
              <w:bottom w:val="single" w:sz="4" w:space="0" w:color="002060"/>
            </w:tcBorders>
            <w:shd w:val="clear" w:color="auto" w:fill="FFFFFF" w:themeFill="background1"/>
            <w:noWrap/>
            <w:vAlign w:val="center"/>
            <w:hideMark/>
          </w:tcPr>
          <w:p w14:paraId="3F0F2929" w14:textId="77777777" w:rsidR="00473C3B" w:rsidRPr="00671E8F" w:rsidRDefault="00473C3B" w:rsidP="00473C3B">
            <w:pPr>
              <w:spacing w:after="0" w:line="240" w:lineRule="auto"/>
              <w:jc w:val="center"/>
              <w:rPr>
                <w:rFonts w:ascii="Calibri" w:eastAsia="Times New Roman" w:hAnsi="Calibri" w:cs="Calibri"/>
                <w:b/>
                <w:bCs/>
                <w:color w:val="002060"/>
                <w:sz w:val="18"/>
                <w:szCs w:val="18"/>
              </w:rPr>
            </w:pPr>
            <w:r w:rsidRPr="00671E8F">
              <w:rPr>
                <w:rFonts w:ascii="Calibri" w:eastAsia="Times New Roman" w:hAnsi="Calibri" w:cs="Calibri"/>
                <w:b/>
                <w:bCs/>
                <w:color w:val="002060"/>
                <w:sz w:val="18"/>
                <w:szCs w:val="18"/>
              </w:rPr>
              <w:t>2023</w:t>
            </w:r>
          </w:p>
        </w:tc>
      </w:tr>
      <w:tr w:rsidR="00473C3B" w:rsidRPr="00671E8F" w14:paraId="19204A9A" w14:textId="77777777" w:rsidTr="00473C3B">
        <w:trPr>
          <w:trHeight w:val="20"/>
        </w:trPr>
        <w:tc>
          <w:tcPr>
            <w:tcW w:w="2778" w:type="pct"/>
            <w:shd w:val="clear" w:color="auto" w:fill="FFFFFF" w:themeFill="background1"/>
            <w:noWrap/>
            <w:vAlign w:val="center"/>
            <w:hideMark/>
          </w:tcPr>
          <w:p w14:paraId="0BFB4B7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Укупни приходи буџета Републике Србије, у млрд динара</w:t>
            </w:r>
          </w:p>
        </w:tc>
        <w:tc>
          <w:tcPr>
            <w:tcW w:w="556" w:type="pct"/>
            <w:tcBorders>
              <w:top w:val="single" w:sz="4" w:space="0" w:color="002060"/>
              <w:left w:val="nil"/>
            </w:tcBorders>
            <w:shd w:val="clear" w:color="auto" w:fill="FFFFFF" w:themeFill="background1"/>
            <w:noWrap/>
            <w:vAlign w:val="center"/>
            <w:hideMark/>
          </w:tcPr>
          <w:p w14:paraId="428B2E8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1.257,4</w:t>
            </w:r>
          </w:p>
        </w:tc>
        <w:tc>
          <w:tcPr>
            <w:tcW w:w="556" w:type="pct"/>
            <w:tcBorders>
              <w:top w:val="single" w:sz="4" w:space="0" w:color="002060"/>
            </w:tcBorders>
            <w:shd w:val="clear" w:color="auto" w:fill="FFFFFF" w:themeFill="background1"/>
            <w:noWrap/>
            <w:vAlign w:val="center"/>
            <w:hideMark/>
          </w:tcPr>
          <w:p w14:paraId="70840AFD"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1.465,4</w:t>
            </w:r>
          </w:p>
        </w:tc>
        <w:tc>
          <w:tcPr>
            <w:tcW w:w="556" w:type="pct"/>
            <w:tcBorders>
              <w:top w:val="single" w:sz="4" w:space="0" w:color="002060"/>
            </w:tcBorders>
            <w:shd w:val="clear" w:color="auto" w:fill="FFFFFF" w:themeFill="background1"/>
            <w:noWrap/>
            <w:vAlign w:val="center"/>
            <w:hideMark/>
          </w:tcPr>
          <w:p w14:paraId="14A67CF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1.680,3</w:t>
            </w:r>
          </w:p>
        </w:tc>
        <w:tc>
          <w:tcPr>
            <w:tcW w:w="556" w:type="pct"/>
            <w:tcBorders>
              <w:top w:val="single" w:sz="4" w:space="0" w:color="002060"/>
            </w:tcBorders>
            <w:shd w:val="clear" w:color="auto" w:fill="FFFFFF" w:themeFill="background1"/>
            <w:noWrap/>
            <w:vAlign w:val="center"/>
            <w:hideMark/>
          </w:tcPr>
          <w:p w14:paraId="5215606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1.889,1</w:t>
            </w:r>
          </w:p>
        </w:tc>
      </w:tr>
      <w:tr w:rsidR="00473C3B" w:rsidRPr="00671E8F" w14:paraId="3BD8B46D" w14:textId="77777777" w:rsidTr="00473C3B">
        <w:trPr>
          <w:trHeight w:val="20"/>
        </w:trPr>
        <w:tc>
          <w:tcPr>
            <w:tcW w:w="2778" w:type="pct"/>
            <w:tcBorders>
              <w:top w:val="nil"/>
            </w:tcBorders>
            <w:shd w:val="clear" w:color="auto" w:fill="FFFFFF" w:themeFill="background1"/>
            <w:noWrap/>
            <w:vAlign w:val="center"/>
            <w:hideMark/>
          </w:tcPr>
          <w:p w14:paraId="06DAC11A"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Непорески приходи буџета Републике Србије, у млрд динара</w:t>
            </w:r>
          </w:p>
        </w:tc>
        <w:tc>
          <w:tcPr>
            <w:tcW w:w="556" w:type="pct"/>
            <w:tcBorders>
              <w:top w:val="nil"/>
              <w:left w:val="nil"/>
            </w:tcBorders>
            <w:shd w:val="clear" w:color="auto" w:fill="FFFFFF" w:themeFill="background1"/>
            <w:noWrap/>
            <w:vAlign w:val="center"/>
            <w:hideMark/>
          </w:tcPr>
          <w:p w14:paraId="112EBD0B"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149,8</w:t>
            </w:r>
          </w:p>
        </w:tc>
        <w:tc>
          <w:tcPr>
            <w:tcW w:w="556" w:type="pct"/>
            <w:tcBorders>
              <w:top w:val="nil"/>
            </w:tcBorders>
            <w:shd w:val="clear" w:color="auto" w:fill="FFFFFF" w:themeFill="background1"/>
            <w:noWrap/>
            <w:vAlign w:val="center"/>
            <w:hideMark/>
          </w:tcPr>
          <w:p w14:paraId="4917041F"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156,6</w:t>
            </w:r>
          </w:p>
        </w:tc>
        <w:tc>
          <w:tcPr>
            <w:tcW w:w="556" w:type="pct"/>
            <w:tcBorders>
              <w:top w:val="nil"/>
            </w:tcBorders>
            <w:shd w:val="clear" w:color="auto" w:fill="FFFFFF" w:themeFill="background1"/>
            <w:noWrap/>
            <w:vAlign w:val="center"/>
            <w:hideMark/>
          </w:tcPr>
          <w:p w14:paraId="1305EAC9"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170,8</w:t>
            </w:r>
          </w:p>
        </w:tc>
        <w:tc>
          <w:tcPr>
            <w:tcW w:w="556" w:type="pct"/>
            <w:tcBorders>
              <w:top w:val="nil"/>
            </w:tcBorders>
            <w:shd w:val="clear" w:color="auto" w:fill="FFFFFF" w:themeFill="background1"/>
            <w:noWrap/>
            <w:vAlign w:val="center"/>
            <w:hideMark/>
          </w:tcPr>
          <w:p w14:paraId="650CEC7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193,9</w:t>
            </w:r>
          </w:p>
        </w:tc>
      </w:tr>
      <w:tr w:rsidR="00473C3B" w:rsidRPr="00671E8F" w14:paraId="03A8F439" w14:textId="77777777" w:rsidTr="00473C3B">
        <w:trPr>
          <w:trHeight w:val="20"/>
        </w:trPr>
        <w:tc>
          <w:tcPr>
            <w:tcW w:w="2778" w:type="pct"/>
            <w:tcBorders>
              <w:top w:val="nil"/>
            </w:tcBorders>
            <w:shd w:val="clear" w:color="auto" w:fill="FFFFFF" w:themeFill="background1"/>
            <w:noWrap/>
            <w:vAlign w:val="center"/>
            <w:hideMark/>
          </w:tcPr>
          <w:p w14:paraId="038E849B" w14:textId="77777777" w:rsidR="00473C3B" w:rsidRPr="00671E8F" w:rsidRDefault="00473C3B" w:rsidP="00473C3B">
            <w:pPr>
              <w:spacing w:after="0" w:line="240" w:lineRule="auto"/>
              <w:jc w:val="left"/>
              <w:rPr>
                <w:rFonts w:eastAsia="Times New Roman" w:cstheme="minorHAnsi"/>
                <w:color w:val="002060"/>
                <w:sz w:val="18"/>
                <w:szCs w:val="18"/>
              </w:rPr>
            </w:pPr>
            <w:r w:rsidRPr="00671E8F">
              <w:rPr>
                <w:rFonts w:eastAsia="Times New Roman" w:cstheme="minorHAnsi"/>
                <w:color w:val="002060"/>
                <w:sz w:val="18"/>
                <w:szCs w:val="18"/>
              </w:rPr>
              <w:t>Уплаћена добит предузећа, у млрд динара</w:t>
            </w:r>
          </w:p>
        </w:tc>
        <w:tc>
          <w:tcPr>
            <w:tcW w:w="556" w:type="pct"/>
            <w:tcBorders>
              <w:top w:val="nil"/>
              <w:left w:val="nil"/>
            </w:tcBorders>
            <w:shd w:val="clear" w:color="auto" w:fill="FFFFFF" w:themeFill="background1"/>
            <w:noWrap/>
            <w:vAlign w:val="center"/>
            <w:hideMark/>
          </w:tcPr>
          <w:p w14:paraId="0D81DAF8"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3,0</w:t>
            </w:r>
          </w:p>
        </w:tc>
        <w:tc>
          <w:tcPr>
            <w:tcW w:w="556" w:type="pct"/>
            <w:tcBorders>
              <w:top w:val="nil"/>
            </w:tcBorders>
            <w:shd w:val="clear" w:color="auto" w:fill="FFFFFF" w:themeFill="background1"/>
            <w:noWrap/>
            <w:vAlign w:val="center"/>
            <w:hideMark/>
          </w:tcPr>
          <w:p w14:paraId="49BA1976"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4,6</w:t>
            </w:r>
          </w:p>
        </w:tc>
        <w:tc>
          <w:tcPr>
            <w:tcW w:w="556" w:type="pct"/>
            <w:tcBorders>
              <w:top w:val="nil"/>
            </w:tcBorders>
            <w:shd w:val="clear" w:color="auto" w:fill="FFFFFF" w:themeFill="background1"/>
            <w:noWrap/>
            <w:vAlign w:val="center"/>
            <w:hideMark/>
          </w:tcPr>
          <w:p w14:paraId="036F94A5"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1,9</w:t>
            </w:r>
          </w:p>
        </w:tc>
        <w:tc>
          <w:tcPr>
            <w:tcW w:w="556" w:type="pct"/>
            <w:tcBorders>
              <w:top w:val="nil"/>
            </w:tcBorders>
            <w:shd w:val="clear" w:color="auto" w:fill="FFFFFF" w:themeFill="background1"/>
            <w:noWrap/>
            <w:vAlign w:val="center"/>
            <w:hideMark/>
          </w:tcPr>
          <w:p w14:paraId="6AA62A12" w14:textId="77777777" w:rsidR="00473C3B" w:rsidRPr="00671E8F" w:rsidRDefault="00473C3B" w:rsidP="00473C3B">
            <w:pPr>
              <w:spacing w:after="0" w:line="240" w:lineRule="auto"/>
              <w:jc w:val="center"/>
              <w:rPr>
                <w:rFonts w:ascii="Calibri" w:eastAsia="Times New Roman" w:hAnsi="Calibri" w:cs="Calibri"/>
                <w:color w:val="002060"/>
                <w:sz w:val="18"/>
                <w:szCs w:val="18"/>
              </w:rPr>
            </w:pPr>
            <w:r w:rsidRPr="00671E8F">
              <w:rPr>
                <w:rFonts w:ascii="Calibri" w:eastAsia="Times New Roman" w:hAnsi="Calibri" w:cs="Calibri"/>
                <w:color w:val="002060"/>
                <w:sz w:val="18"/>
                <w:szCs w:val="18"/>
              </w:rPr>
              <w:t>4,3</w:t>
            </w:r>
          </w:p>
        </w:tc>
      </w:tr>
      <w:tr w:rsidR="00473C3B" w:rsidRPr="00671E8F" w14:paraId="7F520DB7" w14:textId="77777777" w:rsidTr="00473C3B">
        <w:trPr>
          <w:trHeight w:val="20"/>
        </w:trPr>
        <w:tc>
          <w:tcPr>
            <w:tcW w:w="2778" w:type="pct"/>
            <w:tcBorders>
              <w:top w:val="nil"/>
            </w:tcBorders>
            <w:shd w:val="clear" w:color="auto" w:fill="FFFFFF" w:themeFill="background1"/>
            <w:vAlign w:val="center"/>
            <w:hideMark/>
          </w:tcPr>
          <w:p w14:paraId="03ADCF9B" w14:textId="77777777" w:rsidR="00473C3B" w:rsidRPr="00671E8F" w:rsidRDefault="00473C3B" w:rsidP="00473C3B">
            <w:pPr>
              <w:spacing w:after="0" w:line="240" w:lineRule="auto"/>
              <w:jc w:val="left"/>
              <w:rPr>
                <w:rFonts w:eastAsia="Times New Roman" w:cstheme="minorHAnsi"/>
                <w:i/>
                <w:iCs/>
                <w:color w:val="002060"/>
                <w:sz w:val="18"/>
                <w:szCs w:val="18"/>
              </w:rPr>
            </w:pPr>
            <w:r w:rsidRPr="00671E8F">
              <w:rPr>
                <w:rFonts w:eastAsia="Times New Roman" w:cstheme="minorHAnsi"/>
                <w:i/>
                <w:iCs/>
                <w:color w:val="002060"/>
                <w:sz w:val="18"/>
                <w:szCs w:val="18"/>
              </w:rPr>
              <w:t>% учешће уплаћене добити у укупним приходима буџета РС</w:t>
            </w:r>
          </w:p>
        </w:tc>
        <w:tc>
          <w:tcPr>
            <w:tcW w:w="556" w:type="pct"/>
            <w:tcBorders>
              <w:top w:val="nil"/>
              <w:left w:val="nil"/>
            </w:tcBorders>
            <w:shd w:val="clear" w:color="auto" w:fill="FFFFFF" w:themeFill="background1"/>
            <w:noWrap/>
            <w:vAlign w:val="center"/>
            <w:hideMark/>
          </w:tcPr>
          <w:p w14:paraId="3E0216D2"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0,2%</w:t>
            </w:r>
          </w:p>
        </w:tc>
        <w:tc>
          <w:tcPr>
            <w:tcW w:w="556" w:type="pct"/>
            <w:tcBorders>
              <w:top w:val="nil"/>
            </w:tcBorders>
            <w:shd w:val="clear" w:color="auto" w:fill="FFFFFF" w:themeFill="background1"/>
            <w:noWrap/>
            <w:vAlign w:val="center"/>
            <w:hideMark/>
          </w:tcPr>
          <w:p w14:paraId="713241E4"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0,3%</w:t>
            </w:r>
          </w:p>
        </w:tc>
        <w:tc>
          <w:tcPr>
            <w:tcW w:w="556" w:type="pct"/>
            <w:tcBorders>
              <w:top w:val="nil"/>
            </w:tcBorders>
            <w:shd w:val="clear" w:color="auto" w:fill="FFFFFF" w:themeFill="background1"/>
            <w:noWrap/>
            <w:vAlign w:val="center"/>
            <w:hideMark/>
          </w:tcPr>
          <w:p w14:paraId="3016AC3C"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0,1%</w:t>
            </w:r>
          </w:p>
        </w:tc>
        <w:tc>
          <w:tcPr>
            <w:tcW w:w="556" w:type="pct"/>
            <w:tcBorders>
              <w:top w:val="nil"/>
            </w:tcBorders>
            <w:shd w:val="clear" w:color="auto" w:fill="FFFFFF" w:themeFill="background1"/>
            <w:noWrap/>
            <w:vAlign w:val="center"/>
            <w:hideMark/>
          </w:tcPr>
          <w:p w14:paraId="70DA3C8E"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0,2%</w:t>
            </w:r>
          </w:p>
        </w:tc>
      </w:tr>
      <w:tr w:rsidR="00473C3B" w:rsidRPr="00671E8F" w14:paraId="30B9A7A5" w14:textId="77777777" w:rsidTr="00473C3B">
        <w:trPr>
          <w:trHeight w:val="20"/>
        </w:trPr>
        <w:tc>
          <w:tcPr>
            <w:tcW w:w="2778" w:type="pct"/>
            <w:tcBorders>
              <w:top w:val="nil"/>
              <w:bottom w:val="single" w:sz="4" w:space="0" w:color="auto"/>
            </w:tcBorders>
            <w:shd w:val="clear" w:color="auto" w:fill="FFFFFF" w:themeFill="background1"/>
            <w:vAlign w:val="center"/>
            <w:hideMark/>
          </w:tcPr>
          <w:p w14:paraId="09E528AF" w14:textId="77777777" w:rsidR="00473C3B" w:rsidRPr="00671E8F" w:rsidRDefault="00473C3B" w:rsidP="00473C3B">
            <w:pPr>
              <w:spacing w:after="0" w:line="240" w:lineRule="auto"/>
              <w:jc w:val="left"/>
              <w:rPr>
                <w:rFonts w:eastAsia="Times New Roman" w:cstheme="minorHAnsi"/>
                <w:i/>
                <w:iCs/>
                <w:color w:val="002060"/>
                <w:sz w:val="18"/>
                <w:szCs w:val="18"/>
              </w:rPr>
            </w:pPr>
            <w:r w:rsidRPr="00671E8F">
              <w:rPr>
                <w:rFonts w:eastAsia="Times New Roman" w:cstheme="minorHAnsi"/>
                <w:i/>
                <w:iCs/>
                <w:color w:val="002060"/>
                <w:sz w:val="18"/>
                <w:szCs w:val="18"/>
              </w:rPr>
              <w:t>% учешће уплаћене добити у непореским приходима буџета РС</w:t>
            </w:r>
          </w:p>
        </w:tc>
        <w:tc>
          <w:tcPr>
            <w:tcW w:w="556" w:type="pct"/>
            <w:tcBorders>
              <w:top w:val="nil"/>
              <w:left w:val="nil"/>
              <w:bottom w:val="single" w:sz="4" w:space="0" w:color="auto"/>
            </w:tcBorders>
            <w:shd w:val="clear" w:color="auto" w:fill="FFFFFF" w:themeFill="background1"/>
            <w:noWrap/>
            <w:vAlign w:val="center"/>
            <w:hideMark/>
          </w:tcPr>
          <w:p w14:paraId="37567726"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2,0%</w:t>
            </w:r>
          </w:p>
        </w:tc>
        <w:tc>
          <w:tcPr>
            <w:tcW w:w="556" w:type="pct"/>
            <w:tcBorders>
              <w:top w:val="nil"/>
              <w:bottom w:val="single" w:sz="4" w:space="0" w:color="auto"/>
            </w:tcBorders>
            <w:shd w:val="clear" w:color="auto" w:fill="FFFFFF" w:themeFill="background1"/>
            <w:noWrap/>
            <w:vAlign w:val="center"/>
            <w:hideMark/>
          </w:tcPr>
          <w:p w14:paraId="0B25C1C7"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2,9%</w:t>
            </w:r>
          </w:p>
        </w:tc>
        <w:tc>
          <w:tcPr>
            <w:tcW w:w="556" w:type="pct"/>
            <w:tcBorders>
              <w:top w:val="nil"/>
              <w:bottom w:val="single" w:sz="4" w:space="0" w:color="auto"/>
            </w:tcBorders>
            <w:shd w:val="clear" w:color="auto" w:fill="FFFFFF" w:themeFill="background1"/>
            <w:noWrap/>
            <w:vAlign w:val="center"/>
            <w:hideMark/>
          </w:tcPr>
          <w:p w14:paraId="4287A205"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1,1%</w:t>
            </w:r>
          </w:p>
        </w:tc>
        <w:tc>
          <w:tcPr>
            <w:tcW w:w="556" w:type="pct"/>
            <w:tcBorders>
              <w:top w:val="nil"/>
              <w:bottom w:val="single" w:sz="4" w:space="0" w:color="auto"/>
            </w:tcBorders>
            <w:shd w:val="clear" w:color="auto" w:fill="FFFFFF" w:themeFill="background1"/>
            <w:noWrap/>
            <w:vAlign w:val="center"/>
            <w:hideMark/>
          </w:tcPr>
          <w:p w14:paraId="685F7288" w14:textId="77777777" w:rsidR="00473C3B" w:rsidRPr="00671E8F" w:rsidRDefault="00473C3B" w:rsidP="00473C3B">
            <w:pPr>
              <w:spacing w:after="0" w:line="240" w:lineRule="auto"/>
              <w:jc w:val="center"/>
              <w:rPr>
                <w:rFonts w:ascii="Calibri" w:eastAsia="Times New Roman" w:hAnsi="Calibri" w:cs="Calibri"/>
                <w:i/>
                <w:iCs/>
                <w:color w:val="002060"/>
                <w:sz w:val="18"/>
                <w:szCs w:val="18"/>
              </w:rPr>
            </w:pPr>
            <w:r w:rsidRPr="00671E8F">
              <w:rPr>
                <w:rFonts w:ascii="Calibri" w:eastAsia="Times New Roman" w:hAnsi="Calibri" w:cs="Calibri"/>
                <w:i/>
                <w:iCs/>
                <w:color w:val="002060"/>
                <w:sz w:val="18"/>
                <w:szCs w:val="18"/>
              </w:rPr>
              <w:t>2,2%</w:t>
            </w:r>
          </w:p>
        </w:tc>
      </w:tr>
    </w:tbl>
    <w:p w14:paraId="5D612F6B" w14:textId="77777777" w:rsidR="00473C3B" w:rsidRPr="00671E8F" w:rsidRDefault="00473C3B" w:rsidP="00473C3B">
      <w:pPr>
        <w:spacing w:after="0" w:line="276" w:lineRule="auto"/>
        <w:rPr>
          <w:rFonts w:eastAsia="MS PGothic" w:cstheme="minorHAnsi"/>
          <w:sz w:val="16"/>
          <w:szCs w:val="16"/>
          <w:lang w:eastAsia="ja-JP"/>
        </w:rPr>
      </w:pPr>
      <w:r w:rsidRPr="00671E8F">
        <w:rPr>
          <w:rFonts w:eastAsia="MS PGothic" w:cstheme="minorHAnsi"/>
          <w:sz w:val="16"/>
          <w:szCs w:val="16"/>
          <w:lang w:eastAsia="ja-JP"/>
        </w:rPr>
        <w:t>Извор: Министарство финансија</w:t>
      </w:r>
    </w:p>
    <w:p w14:paraId="74650AD6" w14:textId="77777777" w:rsidR="00473C3B" w:rsidRPr="00671E8F" w:rsidRDefault="00473C3B" w:rsidP="00473C3B">
      <w:pPr>
        <w:spacing w:after="0" w:line="276" w:lineRule="auto"/>
        <w:rPr>
          <w:rFonts w:eastAsia="MS PGothic" w:cstheme="minorHAnsi"/>
          <w:sz w:val="16"/>
          <w:szCs w:val="16"/>
          <w:highlight w:val="yellow"/>
          <w:lang w:eastAsia="ja-JP"/>
        </w:rPr>
        <w:sectPr w:rsidR="00473C3B" w:rsidRPr="00671E8F" w:rsidSect="00F45C01">
          <w:type w:val="continuous"/>
          <w:pgSz w:w="12240" w:h="15840"/>
          <w:pgMar w:top="1440" w:right="1440" w:bottom="1440" w:left="1440" w:header="720" w:footer="720" w:gutter="0"/>
          <w:cols w:space="720"/>
          <w:docGrid w:linePitch="360"/>
        </w:sectPr>
      </w:pPr>
    </w:p>
    <w:p w14:paraId="635DB451" w14:textId="77777777" w:rsidR="00473C3B" w:rsidRPr="00671E8F" w:rsidRDefault="00473C3B" w:rsidP="00473C3B">
      <w:pPr>
        <w:rPr>
          <w:rFonts w:ascii="Calibri" w:eastAsia="MS PGothic" w:hAnsi="Calibri" w:cs="Calibri"/>
          <w:color w:val="44546A"/>
          <w:szCs w:val="20"/>
          <w:lang w:eastAsia="ja-JP"/>
        </w:rPr>
      </w:pPr>
    </w:p>
    <w:p w14:paraId="1CDB7BF1" w14:textId="77777777" w:rsidR="00473C3B" w:rsidRPr="00671E8F" w:rsidRDefault="00473C3B" w:rsidP="00473C3B">
      <w:pPr>
        <w:rPr>
          <w:rFonts w:ascii="Calibri" w:eastAsia="MS PGothic" w:hAnsi="Calibri" w:cs="Calibri"/>
          <w:color w:val="44546A"/>
          <w:szCs w:val="20"/>
          <w:lang w:eastAsia="ja-JP"/>
        </w:rPr>
        <w:sectPr w:rsidR="00473C3B" w:rsidRPr="00671E8F" w:rsidSect="00473C3B">
          <w:type w:val="continuous"/>
          <w:pgSz w:w="12240" w:h="15840"/>
          <w:pgMar w:top="1440" w:right="1440" w:bottom="1350" w:left="1440" w:header="720" w:footer="720" w:gutter="0"/>
          <w:cols w:num="2" w:space="720"/>
          <w:docGrid w:linePitch="360"/>
        </w:sectPr>
      </w:pPr>
    </w:p>
    <w:p w14:paraId="2B2E9156"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Од стране 36 државних предузећа која прати Сектор за праћење фискалних ризика, у току 2023. године по овом основу уплаћено је 4,3 млрд динара у буџет Републике.</w:t>
      </w:r>
    </w:p>
    <w:p w14:paraId="348A6057"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Укупна уплаћена добит предузећа у буџет Републике Србије у 2023. години чинила је 0,23% укупног прихода буџета Републике Србије (2022: 0,12%), односно 2,22% непореског прихода буџета Републике Србије (2022: 1,13%). У структури уплата </w:t>
      </w:r>
      <w:r w:rsidRPr="00671E8F">
        <w:rPr>
          <w:rFonts w:ascii="Calibri" w:eastAsia="MS PGothic" w:hAnsi="Calibri" w:cs="Calibri"/>
          <w:color w:val="44546A"/>
          <w:szCs w:val="20"/>
          <w:lang w:eastAsia="ja-JP"/>
        </w:rPr>
        <w:lastRenderedPageBreak/>
        <w:t>у 2023. години доминантно учешће имају уплате од ЈП „Србијагас” 2,2 млрд динара и ЈП „Пошта” Србије 1,2 млрд динара.</w:t>
      </w:r>
    </w:p>
    <w:p w14:paraId="3B9ECA1D" w14:textId="77777777" w:rsidR="00473C3B" w:rsidRPr="00671E8F" w:rsidRDefault="00473C3B" w:rsidP="00473C3B">
      <w:pPr>
        <w:rPr>
          <w:rFonts w:ascii="Calibri" w:eastAsia="MS PGothic" w:hAnsi="Calibri" w:cs="Calibri"/>
          <w:bCs/>
          <w:color w:val="44546A"/>
          <w:szCs w:val="20"/>
          <w:lang w:eastAsia="ja-JP"/>
        </w:rPr>
      </w:pPr>
      <w:r w:rsidRPr="00671E8F">
        <w:rPr>
          <w:rFonts w:ascii="Calibri" w:eastAsia="MS PGothic" w:hAnsi="Calibri" w:cs="Calibri"/>
          <w:color w:val="44546A"/>
          <w:szCs w:val="20"/>
          <w:lang w:eastAsia="ja-JP"/>
        </w:rPr>
        <w:t>Ублажавање потенцијалних ризика, који настају као последица пословања државних предузећа, обухвата низ мера везаних за одговорност, профитабилност и транспарентност у пословању ових предузећа. Процеси реструктурирања</w:t>
      </w:r>
      <w:r w:rsidRPr="00671E8F">
        <w:rPr>
          <w:rFonts w:ascii="Calibri" w:eastAsia="MS PGothic" w:hAnsi="Calibri" w:cs="Calibri"/>
          <w:bCs/>
          <w:color w:val="44546A"/>
          <w:szCs w:val="20"/>
          <w:lang w:eastAsia="ja-JP"/>
        </w:rPr>
        <w:t xml:space="preserve"> покренути су у „Електропривреди Србије” ад, ЈП „Србијагас</w:t>
      </w:r>
      <w:r w:rsidRPr="00671E8F">
        <w:rPr>
          <w:rFonts w:ascii="Calibri" w:eastAsia="MS PGothic" w:hAnsi="Calibri" w:cs="Calibri"/>
          <w:color w:val="44546A"/>
          <w:szCs w:val="20"/>
          <w:lang w:eastAsia="ja-JP"/>
        </w:rPr>
        <w:t>”</w:t>
      </w:r>
      <w:r w:rsidRPr="00671E8F">
        <w:rPr>
          <w:rFonts w:ascii="Calibri" w:eastAsia="MS PGothic" w:hAnsi="Calibri" w:cs="Calibri"/>
          <w:bCs/>
          <w:color w:val="44546A"/>
          <w:szCs w:val="20"/>
          <w:lang w:eastAsia="ja-JP"/>
        </w:rPr>
        <w:t xml:space="preserve"> и „Железнице Србије” ад, при чему ће од успешности самог процеса реструктурирања и брзине спровођења усвојених мера зависити ефикасност пословања у будућности.</w:t>
      </w:r>
    </w:p>
    <w:p w14:paraId="55BC9293" w14:textId="77777777" w:rsidR="00473C3B" w:rsidRPr="00671E8F" w:rsidRDefault="00473C3B" w:rsidP="00473C3B">
      <w:pPr>
        <w:spacing w:after="120"/>
        <w:jc w:val="center"/>
        <w:rPr>
          <w:rFonts w:eastAsia="MS PGothic" w:cstheme="minorHAnsi"/>
          <w:b/>
          <w:color w:val="002060"/>
          <w:spacing w:val="-4"/>
          <w:szCs w:val="20"/>
          <w:lang w:eastAsia="ja-JP"/>
        </w:rPr>
      </w:pPr>
    </w:p>
    <w:p w14:paraId="3E4FFBA7" w14:textId="6E1FB654" w:rsidR="00473C3B" w:rsidRPr="00671E8F" w:rsidRDefault="00473C3B" w:rsidP="00473C3B">
      <w:pPr>
        <w:spacing w:after="120"/>
        <w:jc w:val="center"/>
        <w:rPr>
          <w:rFonts w:eastAsia="MS PGothic" w:cstheme="minorHAnsi"/>
          <w:b/>
          <w:color w:val="002060"/>
          <w:spacing w:val="-4"/>
          <w:szCs w:val="20"/>
          <w:lang w:eastAsia="ja-JP"/>
        </w:rPr>
      </w:pPr>
      <w:r w:rsidRPr="00671E8F">
        <w:rPr>
          <w:rFonts w:eastAsia="MS PGothic" w:cstheme="minorHAnsi"/>
          <w:b/>
          <w:color w:val="002060"/>
          <w:spacing w:val="-4"/>
          <w:szCs w:val="20"/>
          <w:lang w:eastAsia="ja-JP"/>
        </w:rPr>
        <w:t>Табела 2</w:t>
      </w:r>
      <w:r w:rsidR="00FC5CD7" w:rsidRPr="00671E8F">
        <w:rPr>
          <w:rFonts w:eastAsia="MS PGothic" w:cstheme="minorHAnsi"/>
          <w:b/>
          <w:color w:val="002060"/>
          <w:spacing w:val="-4"/>
          <w:szCs w:val="20"/>
          <w:lang w:eastAsia="ja-JP"/>
        </w:rPr>
        <w:t>4</w:t>
      </w:r>
      <w:r w:rsidRPr="00671E8F">
        <w:rPr>
          <w:rFonts w:eastAsia="MS PGothic" w:cstheme="minorHAnsi"/>
          <w:b/>
          <w:color w:val="002060"/>
          <w:spacing w:val="-4"/>
          <w:szCs w:val="20"/>
          <w:lang w:eastAsia="ja-JP"/>
        </w:rPr>
        <w:t>: Уплате добити у буџет РС по предузећимa, млрд динара</w:t>
      </w:r>
    </w:p>
    <w:tbl>
      <w:tblPr>
        <w:tblW w:w="4500" w:type="dxa"/>
        <w:tblLook w:val="04A0" w:firstRow="1" w:lastRow="0" w:firstColumn="1" w:lastColumn="0" w:noHBand="0" w:noVBand="1"/>
      </w:tblPr>
      <w:tblGrid>
        <w:gridCol w:w="2160"/>
        <w:gridCol w:w="1371"/>
        <w:gridCol w:w="969"/>
      </w:tblGrid>
      <w:tr w:rsidR="00473C3B" w:rsidRPr="00671E8F" w14:paraId="29918C20" w14:textId="77777777" w:rsidTr="00473C3B">
        <w:trPr>
          <w:trHeight w:val="20"/>
        </w:trPr>
        <w:tc>
          <w:tcPr>
            <w:tcW w:w="2160" w:type="dxa"/>
            <w:tcBorders>
              <w:top w:val="single" w:sz="4" w:space="0" w:color="002060"/>
              <w:left w:val="nil"/>
              <w:bottom w:val="single" w:sz="4" w:space="0" w:color="002060"/>
              <w:right w:val="nil"/>
            </w:tcBorders>
            <w:shd w:val="clear" w:color="auto" w:fill="FFFFFF" w:themeFill="background1"/>
            <w:vAlign w:val="center"/>
            <w:hideMark/>
          </w:tcPr>
          <w:p w14:paraId="1D75FEE0" w14:textId="77777777" w:rsidR="00473C3B" w:rsidRPr="00671E8F" w:rsidRDefault="00473C3B" w:rsidP="00473C3B">
            <w:pPr>
              <w:spacing w:after="0" w:line="240" w:lineRule="auto"/>
              <w:contextualSpacing/>
              <w:jc w:val="left"/>
              <w:rPr>
                <w:rFonts w:eastAsia="Times New Roman" w:cstheme="minorHAnsi"/>
                <w:b/>
                <w:bCs/>
                <w:color w:val="002060"/>
                <w:sz w:val="16"/>
                <w:szCs w:val="16"/>
              </w:rPr>
            </w:pPr>
            <w:r w:rsidRPr="00671E8F">
              <w:rPr>
                <w:rFonts w:eastAsia="Times New Roman" w:cstheme="minorHAnsi"/>
                <w:b/>
                <w:bCs/>
                <w:color w:val="002060"/>
                <w:sz w:val="16"/>
                <w:szCs w:val="16"/>
              </w:rPr>
              <w:t>Уплатиоци добити</w:t>
            </w:r>
          </w:p>
        </w:tc>
        <w:tc>
          <w:tcPr>
            <w:tcW w:w="1371" w:type="dxa"/>
            <w:tcBorders>
              <w:top w:val="single" w:sz="4" w:space="0" w:color="002060"/>
              <w:left w:val="nil"/>
              <w:bottom w:val="single" w:sz="4" w:space="0" w:color="002060"/>
              <w:right w:val="nil"/>
            </w:tcBorders>
            <w:shd w:val="clear" w:color="auto" w:fill="FFFFFF" w:themeFill="background1"/>
            <w:vAlign w:val="center"/>
            <w:hideMark/>
          </w:tcPr>
          <w:p w14:paraId="52BF9C9C" w14:textId="77777777" w:rsidR="00473C3B" w:rsidRPr="00671E8F" w:rsidRDefault="00473C3B" w:rsidP="00473C3B">
            <w:pPr>
              <w:spacing w:after="0" w:line="240" w:lineRule="auto"/>
              <w:contextualSpacing/>
              <w:jc w:val="center"/>
              <w:rPr>
                <w:rFonts w:eastAsia="Times New Roman" w:cstheme="minorHAnsi"/>
                <w:b/>
                <w:bCs/>
                <w:color w:val="002060"/>
                <w:sz w:val="16"/>
                <w:szCs w:val="16"/>
              </w:rPr>
            </w:pPr>
            <w:r w:rsidRPr="00671E8F">
              <w:rPr>
                <w:rFonts w:eastAsia="Times New Roman" w:cstheme="minorHAnsi"/>
                <w:b/>
                <w:bCs/>
                <w:color w:val="002060"/>
                <w:sz w:val="16"/>
                <w:szCs w:val="16"/>
              </w:rPr>
              <w:t>2022</w:t>
            </w:r>
          </w:p>
        </w:tc>
        <w:tc>
          <w:tcPr>
            <w:tcW w:w="969" w:type="dxa"/>
            <w:tcBorders>
              <w:top w:val="single" w:sz="4" w:space="0" w:color="002060"/>
              <w:left w:val="nil"/>
              <w:bottom w:val="single" w:sz="4" w:space="0" w:color="002060"/>
              <w:right w:val="nil"/>
            </w:tcBorders>
            <w:shd w:val="clear" w:color="auto" w:fill="FFFFFF" w:themeFill="background1"/>
            <w:vAlign w:val="center"/>
            <w:hideMark/>
          </w:tcPr>
          <w:p w14:paraId="1BE7E038" w14:textId="77777777" w:rsidR="00473C3B" w:rsidRPr="00671E8F" w:rsidRDefault="00473C3B" w:rsidP="00473C3B">
            <w:pPr>
              <w:spacing w:after="0" w:line="240" w:lineRule="auto"/>
              <w:contextualSpacing/>
              <w:jc w:val="center"/>
              <w:rPr>
                <w:rFonts w:eastAsia="Times New Roman" w:cstheme="minorHAnsi"/>
                <w:b/>
                <w:bCs/>
                <w:color w:val="002060"/>
                <w:sz w:val="16"/>
                <w:szCs w:val="16"/>
              </w:rPr>
            </w:pPr>
            <w:r w:rsidRPr="00671E8F">
              <w:rPr>
                <w:rFonts w:eastAsia="Times New Roman" w:cstheme="minorHAnsi"/>
                <w:b/>
                <w:bCs/>
                <w:color w:val="002060"/>
                <w:sz w:val="16"/>
                <w:szCs w:val="16"/>
              </w:rPr>
              <w:t>2023</w:t>
            </w:r>
          </w:p>
        </w:tc>
      </w:tr>
      <w:tr w:rsidR="00473C3B" w:rsidRPr="00671E8F" w14:paraId="2ED09C24" w14:textId="77777777" w:rsidTr="00473C3B">
        <w:trPr>
          <w:trHeight w:val="20"/>
        </w:trPr>
        <w:tc>
          <w:tcPr>
            <w:tcW w:w="2160" w:type="dxa"/>
            <w:tcBorders>
              <w:top w:val="nil"/>
              <w:left w:val="nil"/>
              <w:bottom w:val="nil"/>
              <w:right w:val="nil"/>
            </w:tcBorders>
            <w:shd w:val="clear" w:color="auto" w:fill="auto"/>
            <w:noWrap/>
            <w:vAlign w:val="center"/>
            <w:hideMark/>
          </w:tcPr>
          <w:p w14:paraId="4FB981EA"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ЈП Србијагас</w:t>
            </w:r>
          </w:p>
        </w:tc>
        <w:tc>
          <w:tcPr>
            <w:tcW w:w="1371" w:type="dxa"/>
            <w:tcBorders>
              <w:top w:val="nil"/>
              <w:left w:val="nil"/>
              <w:bottom w:val="nil"/>
              <w:right w:val="nil"/>
            </w:tcBorders>
            <w:shd w:val="clear" w:color="auto" w:fill="auto"/>
            <w:noWrap/>
            <w:vAlign w:val="center"/>
            <w:hideMark/>
          </w:tcPr>
          <w:p w14:paraId="1AB9C321"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0,0</w:t>
            </w:r>
          </w:p>
        </w:tc>
        <w:tc>
          <w:tcPr>
            <w:tcW w:w="969" w:type="dxa"/>
            <w:tcBorders>
              <w:top w:val="nil"/>
              <w:left w:val="nil"/>
              <w:bottom w:val="nil"/>
              <w:right w:val="nil"/>
            </w:tcBorders>
            <w:shd w:val="clear" w:color="000000" w:fill="FFFFFF"/>
            <w:noWrap/>
            <w:vAlign w:val="center"/>
            <w:hideMark/>
          </w:tcPr>
          <w:p w14:paraId="637F89A6"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2,2</w:t>
            </w:r>
          </w:p>
        </w:tc>
      </w:tr>
      <w:tr w:rsidR="00473C3B" w:rsidRPr="00671E8F" w14:paraId="2FF992B5" w14:textId="77777777" w:rsidTr="00473C3B">
        <w:trPr>
          <w:trHeight w:val="20"/>
        </w:trPr>
        <w:tc>
          <w:tcPr>
            <w:tcW w:w="2160" w:type="dxa"/>
            <w:tcBorders>
              <w:top w:val="nil"/>
              <w:left w:val="nil"/>
              <w:bottom w:val="nil"/>
              <w:right w:val="nil"/>
            </w:tcBorders>
            <w:shd w:val="clear" w:color="auto" w:fill="auto"/>
            <w:noWrap/>
            <w:vAlign w:val="center"/>
            <w:hideMark/>
          </w:tcPr>
          <w:p w14:paraId="1402EE11"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ЈП Пошта Србије</w:t>
            </w:r>
          </w:p>
        </w:tc>
        <w:tc>
          <w:tcPr>
            <w:tcW w:w="1371" w:type="dxa"/>
            <w:tcBorders>
              <w:top w:val="nil"/>
              <w:left w:val="nil"/>
              <w:bottom w:val="nil"/>
              <w:right w:val="nil"/>
            </w:tcBorders>
            <w:shd w:val="clear" w:color="auto" w:fill="auto"/>
            <w:noWrap/>
            <w:vAlign w:val="center"/>
            <w:hideMark/>
          </w:tcPr>
          <w:p w14:paraId="4F73C59C"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1,1</w:t>
            </w:r>
          </w:p>
        </w:tc>
        <w:tc>
          <w:tcPr>
            <w:tcW w:w="969" w:type="dxa"/>
            <w:tcBorders>
              <w:top w:val="nil"/>
              <w:left w:val="nil"/>
              <w:bottom w:val="nil"/>
              <w:right w:val="nil"/>
            </w:tcBorders>
            <w:shd w:val="clear" w:color="000000" w:fill="FFFFFF"/>
            <w:noWrap/>
            <w:vAlign w:val="center"/>
            <w:hideMark/>
          </w:tcPr>
          <w:p w14:paraId="2770DDCC"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1,2</w:t>
            </w:r>
          </w:p>
        </w:tc>
      </w:tr>
      <w:tr w:rsidR="00473C3B" w:rsidRPr="00671E8F" w14:paraId="4DBE5674" w14:textId="77777777" w:rsidTr="00473C3B">
        <w:trPr>
          <w:trHeight w:val="20"/>
        </w:trPr>
        <w:tc>
          <w:tcPr>
            <w:tcW w:w="2160" w:type="dxa"/>
            <w:tcBorders>
              <w:top w:val="nil"/>
              <w:left w:val="nil"/>
              <w:bottom w:val="nil"/>
              <w:right w:val="nil"/>
            </w:tcBorders>
            <w:shd w:val="clear" w:color="auto" w:fill="auto"/>
            <w:noWrap/>
            <w:vAlign w:val="center"/>
            <w:hideMark/>
          </w:tcPr>
          <w:p w14:paraId="147DFB0E"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ЈП Србијашуме</w:t>
            </w:r>
          </w:p>
        </w:tc>
        <w:tc>
          <w:tcPr>
            <w:tcW w:w="1371" w:type="dxa"/>
            <w:tcBorders>
              <w:top w:val="nil"/>
              <w:left w:val="nil"/>
              <w:bottom w:val="nil"/>
              <w:right w:val="nil"/>
            </w:tcBorders>
            <w:shd w:val="clear" w:color="auto" w:fill="auto"/>
            <w:noWrap/>
            <w:vAlign w:val="center"/>
            <w:hideMark/>
          </w:tcPr>
          <w:p w14:paraId="4014FEA2"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0,4</w:t>
            </w:r>
          </w:p>
        </w:tc>
        <w:tc>
          <w:tcPr>
            <w:tcW w:w="969" w:type="dxa"/>
            <w:tcBorders>
              <w:top w:val="nil"/>
              <w:left w:val="nil"/>
              <w:bottom w:val="nil"/>
              <w:right w:val="nil"/>
            </w:tcBorders>
            <w:shd w:val="clear" w:color="000000" w:fill="FFFFFF"/>
            <w:noWrap/>
            <w:vAlign w:val="center"/>
            <w:hideMark/>
          </w:tcPr>
          <w:p w14:paraId="00796FB0"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0,4</w:t>
            </w:r>
          </w:p>
        </w:tc>
      </w:tr>
      <w:tr w:rsidR="00473C3B" w:rsidRPr="00671E8F" w14:paraId="0A7CA8EA" w14:textId="77777777" w:rsidTr="00473C3B">
        <w:trPr>
          <w:trHeight w:val="20"/>
        </w:trPr>
        <w:tc>
          <w:tcPr>
            <w:tcW w:w="2160" w:type="dxa"/>
            <w:tcBorders>
              <w:top w:val="nil"/>
              <w:left w:val="nil"/>
              <w:bottom w:val="nil"/>
              <w:right w:val="nil"/>
            </w:tcBorders>
            <w:shd w:val="clear" w:color="auto" w:fill="auto"/>
            <w:noWrap/>
            <w:vAlign w:val="center"/>
            <w:hideMark/>
          </w:tcPr>
          <w:p w14:paraId="1A077DBB"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Југоимпорт</w:t>
            </w:r>
          </w:p>
        </w:tc>
        <w:tc>
          <w:tcPr>
            <w:tcW w:w="1371" w:type="dxa"/>
            <w:tcBorders>
              <w:top w:val="nil"/>
              <w:left w:val="nil"/>
              <w:bottom w:val="nil"/>
              <w:right w:val="nil"/>
            </w:tcBorders>
            <w:shd w:val="clear" w:color="auto" w:fill="auto"/>
            <w:noWrap/>
            <w:vAlign w:val="center"/>
            <w:hideMark/>
          </w:tcPr>
          <w:p w14:paraId="2C6F28DB"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0,0</w:t>
            </w:r>
          </w:p>
        </w:tc>
        <w:tc>
          <w:tcPr>
            <w:tcW w:w="969" w:type="dxa"/>
            <w:tcBorders>
              <w:top w:val="nil"/>
              <w:left w:val="nil"/>
              <w:bottom w:val="nil"/>
              <w:right w:val="nil"/>
            </w:tcBorders>
            <w:shd w:val="clear" w:color="000000" w:fill="FFFFFF"/>
            <w:noWrap/>
            <w:vAlign w:val="center"/>
            <w:hideMark/>
          </w:tcPr>
          <w:p w14:paraId="3F7F1CB2"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0,2</w:t>
            </w:r>
          </w:p>
        </w:tc>
      </w:tr>
      <w:tr w:rsidR="00473C3B" w:rsidRPr="00671E8F" w14:paraId="342B21A8" w14:textId="77777777" w:rsidTr="00473C3B">
        <w:trPr>
          <w:trHeight w:val="20"/>
        </w:trPr>
        <w:tc>
          <w:tcPr>
            <w:tcW w:w="2160" w:type="dxa"/>
            <w:tcBorders>
              <w:top w:val="nil"/>
              <w:left w:val="nil"/>
              <w:bottom w:val="nil"/>
              <w:right w:val="nil"/>
            </w:tcBorders>
            <w:shd w:val="clear" w:color="auto" w:fill="auto"/>
            <w:noWrap/>
            <w:vAlign w:val="center"/>
            <w:hideMark/>
          </w:tcPr>
          <w:p w14:paraId="6B68E116"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 xml:space="preserve"> Државна лутрија Србије</w:t>
            </w:r>
          </w:p>
        </w:tc>
        <w:tc>
          <w:tcPr>
            <w:tcW w:w="1371" w:type="dxa"/>
            <w:tcBorders>
              <w:top w:val="nil"/>
              <w:left w:val="nil"/>
              <w:bottom w:val="nil"/>
              <w:right w:val="nil"/>
            </w:tcBorders>
            <w:shd w:val="clear" w:color="auto" w:fill="auto"/>
            <w:noWrap/>
            <w:vAlign w:val="center"/>
            <w:hideMark/>
          </w:tcPr>
          <w:p w14:paraId="318FFF28"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0,1</w:t>
            </w:r>
          </w:p>
        </w:tc>
        <w:tc>
          <w:tcPr>
            <w:tcW w:w="969" w:type="dxa"/>
            <w:tcBorders>
              <w:top w:val="nil"/>
              <w:left w:val="nil"/>
              <w:bottom w:val="nil"/>
              <w:right w:val="nil"/>
            </w:tcBorders>
            <w:shd w:val="clear" w:color="000000" w:fill="FFFFFF"/>
            <w:noWrap/>
            <w:vAlign w:val="center"/>
            <w:hideMark/>
          </w:tcPr>
          <w:p w14:paraId="7C3C663D"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0,1</w:t>
            </w:r>
          </w:p>
        </w:tc>
      </w:tr>
      <w:tr w:rsidR="00473C3B" w:rsidRPr="00671E8F" w14:paraId="04E5FC15" w14:textId="77777777" w:rsidTr="00473C3B">
        <w:trPr>
          <w:trHeight w:val="20"/>
        </w:trPr>
        <w:tc>
          <w:tcPr>
            <w:tcW w:w="2160" w:type="dxa"/>
            <w:tcBorders>
              <w:top w:val="nil"/>
              <w:left w:val="nil"/>
              <w:bottom w:val="nil"/>
              <w:right w:val="nil"/>
            </w:tcBorders>
            <w:shd w:val="clear" w:color="auto" w:fill="auto"/>
            <w:noWrap/>
            <w:vAlign w:val="center"/>
            <w:hideMark/>
          </w:tcPr>
          <w:p w14:paraId="75B6E84B" w14:textId="77777777" w:rsidR="00473C3B" w:rsidRPr="00671E8F" w:rsidRDefault="00473C3B" w:rsidP="00473C3B">
            <w:pPr>
              <w:spacing w:after="0" w:line="240" w:lineRule="auto"/>
              <w:contextualSpacing/>
              <w:jc w:val="left"/>
              <w:rPr>
                <w:rFonts w:eastAsia="Times New Roman" w:cstheme="minorHAnsi"/>
                <w:color w:val="002060"/>
                <w:sz w:val="16"/>
                <w:szCs w:val="16"/>
              </w:rPr>
            </w:pPr>
            <w:r w:rsidRPr="00671E8F">
              <w:rPr>
                <w:rFonts w:eastAsia="Times New Roman" w:cstheme="minorHAnsi"/>
                <w:color w:val="002060"/>
                <w:sz w:val="16"/>
                <w:szCs w:val="16"/>
              </w:rPr>
              <w:t>Остала предузећа</w:t>
            </w:r>
          </w:p>
        </w:tc>
        <w:tc>
          <w:tcPr>
            <w:tcW w:w="1371" w:type="dxa"/>
            <w:tcBorders>
              <w:top w:val="nil"/>
              <w:left w:val="nil"/>
              <w:bottom w:val="nil"/>
              <w:right w:val="nil"/>
            </w:tcBorders>
            <w:shd w:val="clear" w:color="auto" w:fill="auto"/>
            <w:noWrap/>
            <w:vAlign w:val="center"/>
            <w:hideMark/>
          </w:tcPr>
          <w:p w14:paraId="04FA8348"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0,3</w:t>
            </w:r>
          </w:p>
        </w:tc>
        <w:tc>
          <w:tcPr>
            <w:tcW w:w="969" w:type="dxa"/>
            <w:tcBorders>
              <w:top w:val="nil"/>
              <w:left w:val="nil"/>
              <w:bottom w:val="nil"/>
              <w:right w:val="nil"/>
            </w:tcBorders>
            <w:shd w:val="clear" w:color="000000" w:fill="FFFFFF"/>
            <w:noWrap/>
            <w:vAlign w:val="center"/>
            <w:hideMark/>
          </w:tcPr>
          <w:p w14:paraId="198B025A" w14:textId="77777777" w:rsidR="00473C3B" w:rsidRPr="00671E8F" w:rsidRDefault="00473C3B" w:rsidP="00473C3B">
            <w:pPr>
              <w:spacing w:after="0" w:line="240" w:lineRule="auto"/>
              <w:contextualSpacing/>
              <w:jc w:val="center"/>
              <w:rPr>
                <w:rFonts w:eastAsia="Times New Roman" w:cstheme="minorHAnsi"/>
                <w:color w:val="002060"/>
                <w:sz w:val="16"/>
                <w:szCs w:val="16"/>
              </w:rPr>
            </w:pPr>
            <w:r w:rsidRPr="00671E8F">
              <w:rPr>
                <w:rFonts w:eastAsia="Times New Roman" w:cstheme="minorHAnsi"/>
                <w:color w:val="002060"/>
                <w:sz w:val="16"/>
                <w:szCs w:val="16"/>
              </w:rPr>
              <w:t>0,2</w:t>
            </w:r>
          </w:p>
        </w:tc>
      </w:tr>
      <w:tr w:rsidR="00473C3B" w:rsidRPr="00671E8F" w14:paraId="4CE941E2" w14:textId="77777777" w:rsidTr="00473C3B">
        <w:trPr>
          <w:trHeight w:val="20"/>
        </w:trPr>
        <w:tc>
          <w:tcPr>
            <w:tcW w:w="2160" w:type="dxa"/>
            <w:tcBorders>
              <w:top w:val="single" w:sz="4" w:space="0" w:color="002060"/>
              <w:left w:val="nil"/>
              <w:bottom w:val="single" w:sz="4" w:space="0" w:color="002060"/>
              <w:right w:val="nil"/>
            </w:tcBorders>
            <w:shd w:val="clear" w:color="auto" w:fill="FFFFFF" w:themeFill="background1"/>
            <w:vAlign w:val="center"/>
            <w:hideMark/>
          </w:tcPr>
          <w:p w14:paraId="06046CC0" w14:textId="77777777" w:rsidR="00473C3B" w:rsidRPr="00671E8F" w:rsidRDefault="00473C3B" w:rsidP="00473C3B">
            <w:pPr>
              <w:spacing w:after="0" w:line="240" w:lineRule="auto"/>
              <w:contextualSpacing/>
              <w:jc w:val="left"/>
              <w:rPr>
                <w:rFonts w:eastAsia="Times New Roman" w:cstheme="minorHAnsi"/>
                <w:b/>
                <w:bCs/>
                <w:color w:val="002060"/>
                <w:sz w:val="16"/>
                <w:szCs w:val="16"/>
              </w:rPr>
            </w:pPr>
            <w:r w:rsidRPr="00671E8F">
              <w:rPr>
                <w:rFonts w:eastAsia="Times New Roman" w:cstheme="minorHAnsi"/>
                <w:b/>
                <w:bCs/>
                <w:color w:val="002060"/>
                <w:sz w:val="16"/>
                <w:szCs w:val="16"/>
              </w:rPr>
              <w:t>Укупно</w:t>
            </w:r>
          </w:p>
        </w:tc>
        <w:tc>
          <w:tcPr>
            <w:tcW w:w="1371" w:type="dxa"/>
            <w:tcBorders>
              <w:top w:val="single" w:sz="4" w:space="0" w:color="002060"/>
              <w:left w:val="nil"/>
              <w:bottom w:val="single" w:sz="4" w:space="0" w:color="002060"/>
              <w:right w:val="nil"/>
            </w:tcBorders>
            <w:shd w:val="clear" w:color="auto" w:fill="FFFFFF" w:themeFill="background1"/>
            <w:vAlign w:val="center"/>
            <w:hideMark/>
          </w:tcPr>
          <w:p w14:paraId="72CCC149" w14:textId="77777777" w:rsidR="00473C3B" w:rsidRPr="00671E8F" w:rsidRDefault="00473C3B" w:rsidP="00473C3B">
            <w:pPr>
              <w:spacing w:after="0" w:line="240" w:lineRule="auto"/>
              <w:contextualSpacing/>
              <w:jc w:val="center"/>
              <w:rPr>
                <w:rFonts w:eastAsia="Times New Roman" w:cstheme="minorHAnsi"/>
                <w:b/>
                <w:bCs/>
                <w:color w:val="002060"/>
                <w:sz w:val="16"/>
                <w:szCs w:val="16"/>
              </w:rPr>
            </w:pPr>
            <w:r w:rsidRPr="00671E8F">
              <w:rPr>
                <w:rFonts w:eastAsia="Times New Roman" w:cstheme="minorHAnsi"/>
                <w:b/>
                <w:bCs/>
                <w:color w:val="002060"/>
                <w:sz w:val="16"/>
                <w:szCs w:val="16"/>
              </w:rPr>
              <w:t>1,9</w:t>
            </w:r>
          </w:p>
        </w:tc>
        <w:tc>
          <w:tcPr>
            <w:tcW w:w="969" w:type="dxa"/>
            <w:tcBorders>
              <w:top w:val="single" w:sz="4" w:space="0" w:color="002060"/>
              <w:left w:val="nil"/>
              <w:bottom w:val="single" w:sz="4" w:space="0" w:color="002060"/>
              <w:right w:val="nil"/>
            </w:tcBorders>
            <w:shd w:val="clear" w:color="auto" w:fill="FFFFFF" w:themeFill="background1"/>
            <w:vAlign w:val="center"/>
            <w:hideMark/>
          </w:tcPr>
          <w:p w14:paraId="34200EEC" w14:textId="77777777" w:rsidR="00473C3B" w:rsidRPr="00671E8F" w:rsidRDefault="00473C3B" w:rsidP="00473C3B">
            <w:pPr>
              <w:spacing w:after="0" w:line="240" w:lineRule="auto"/>
              <w:contextualSpacing/>
              <w:jc w:val="center"/>
              <w:rPr>
                <w:rFonts w:eastAsia="Times New Roman" w:cstheme="minorHAnsi"/>
                <w:b/>
                <w:bCs/>
                <w:color w:val="002060"/>
                <w:sz w:val="16"/>
                <w:szCs w:val="16"/>
              </w:rPr>
            </w:pPr>
            <w:r w:rsidRPr="00671E8F">
              <w:rPr>
                <w:rFonts w:eastAsia="Times New Roman" w:cstheme="minorHAnsi"/>
                <w:b/>
                <w:bCs/>
                <w:color w:val="002060"/>
                <w:sz w:val="16"/>
                <w:szCs w:val="16"/>
              </w:rPr>
              <w:t>4,3</w:t>
            </w:r>
          </w:p>
        </w:tc>
      </w:tr>
    </w:tbl>
    <w:p w14:paraId="040C755A" w14:textId="2192BB18" w:rsidR="00473C3B" w:rsidRPr="00671E8F" w:rsidRDefault="006B475C" w:rsidP="006B475C">
      <w:pPr>
        <w:spacing w:after="0" w:line="276" w:lineRule="auto"/>
        <w:rPr>
          <w:rFonts w:ascii="Calibri" w:eastAsia="MS PGothic" w:hAnsi="Calibri" w:cs="Calibri"/>
          <w:color w:val="44546A"/>
          <w:sz w:val="14"/>
          <w:szCs w:val="14"/>
          <w:lang w:eastAsia="ja-JP"/>
        </w:rPr>
        <w:sectPr w:rsidR="00473C3B" w:rsidRPr="00671E8F" w:rsidSect="00473C3B">
          <w:type w:val="continuous"/>
          <w:pgSz w:w="12240" w:h="15840"/>
          <w:pgMar w:top="1440" w:right="1440" w:bottom="1350" w:left="1440" w:header="720" w:footer="720" w:gutter="0"/>
          <w:cols w:num="2" w:space="720"/>
          <w:docGrid w:linePitch="360"/>
        </w:sectPr>
      </w:pPr>
      <w:r w:rsidRPr="00671E8F">
        <w:rPr>
          <w:rFonts w:ascii="Calibri" w:eastAsia="MS PGothic" w:hAnsi="Calibri" w:cs="Calibri"/>
          <w:color w:val="44546A"/>
          <w:sz w:val="14"/>
          <w:szCs w:val="14"/>
          <w:lang w:eastAsia="ja-JP"/>
        </w:rPr>
        <w:t>Извор: Министарство финансија</w:t>
      </w:r>
    </w:p>
    <w:p w14:paraId="02DF8B26" w14:textId="77777777" w:rsidR="00473C3B" w:rsidRPr="00671E8F" w:rsidRDefault="00473C3B" w:rsidP="00473C3B">
      <w:pPr>
        <w:jc w:val="left"/>
        <w:rPr>
          <w:rFonts w:ascii="Calibri" w:eastAsia="Calibri" w:hAnsi="Calibri" w:cs="Calibri"/>
          <w:b/>
          <w:bCs/>
          <w:color w:val="2F5496" w:themeColor="accent1" w:themeShade="BF"/>
          <w:sz w:val="22"/>
          <w:szCs w:val="20"/>
        </w:rPr>
      </w:pPr>
      <w:r w:rsidRPr="00671E8F">
        <w:rPr>
          <w:rFonts w:ascii="Calibri" w:eastAsia="Calibri" w:hAnsi="Calibri" w:cs="Calibri"/>
          <w:b/>
          <w:bCs/>
          <w:color w:val="2F5496" w:themeColor="accent1" w:themeShade="BF"/>
          <w:sz w:val="22"/>
          <w:szCs w:val="20"/>
        </w:rPr>
        <w:t>Државне финансијске институције, банкарски систем и осигурање депозита</w:t>
      </w:r>
    </w:p>
    <w:p w14:paraId="54E9F4C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Пре периода фискалне консолидације Република Србија имала је значајне фискалне трошкове спашавања државних банака. Укупни трошкови државних интервенција у банкарском сектору у периоду 2012–2015.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банака успешнијим, укључујући и исплату осигураних и неосигураних депозита (за шта су коришћена и средства Фонда за осигурање депозита).</w:t>
      </w:r>
    </w:p>
    <w:p w14:paraId="2E5FD361"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Република Србија данас у банкарском сектору земље има директан удео у капиталу:</w:t>
      </w:r>
    </w:p>
    <w:p w14:paraId="2D3D085B"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Банке Поштанска штедионица а.д. Београд (78,54%), Српске банке а.д. Београд (76,69%).</w:t>
      </w:r>
    </w:p>
    <w:p w14:paraId="197655EA"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 циљу доследног спровођења излазне стратегије и смањења фискалних ризика по овом основу настављају се реформске активности у области државних финансијских институција започете 2012. године, односно 2015. године.</w:t>
      </w:r>
    </w:p>
    <w:p w14:paraId="6BCAB717" w14:textId="77777777" w:rsidR="00473C3B" w:rsidRPr="00671E8F" w:rsidRDefault="00473C3B" w:rsidP="00473C3B">
      <w:pPr>
        <w:rPr>
          <w:rFonts w:ascii="Calibri" w:eastAsia="MS PGothic" w:hAnsi="Calibri" w:cs="Calibri"/>
          <w:b/>
          <w:color w:val="2F5496" w:themeColor="accent1" w:themeShade="BF"/>
          <w:szCs w:val="20"/>
          <w:lang w:eastAsia="ja-JP"/>
        </w:rPr>
      </w:pPr>
      <w:r w:rsidRPr="00671E8F">
        <w:rPr>
          <w:rFonts w:ascii="Calibri" w:eastAsia="MS PGothic" w:hAnsi="Calibri" w:cs="Calibri"/>
          <w:b/>
          <w:color w:val="2F5496" w:themeColor="accent1" w:themeShade="BF"/>
          <w:szCs w:val="20"/>
          <w:lang w:eastAsia="ja-JP"/>
        </w:rPr>
        <w:t>Банка Поштанска штедионица (БПШ)</w:t>
      </w:r>
    </w:p>
    <w:p w14:paraId="5ADED953"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Пословну стратегију за период 2024-2026. година усвојила је Скупштина БПШ у децембру 2023. године. Према пословној стратегији, БПШ ће наставити са реализацијом активности са акцентом на даље унапређење и развој у следећим областима: пословање са физичким лицима, предузетницима, микро, малим и </w:t>
      </w:r>
      <w:r w:rsidRPr="00671E8F">
        <w:rPr>
          <w:rFonts w:ascii="Calibri" w:eastAsia="MS PGothic" w:hAnsi="Calibri" w:cs="Calibri"/>
          <w:color w:val="44546A"/>
          <w:szCs w:val="20"/>
          <w:lang w:eastAsia="ja-JP"/>
        </w:rPr>
        <w:t>средњим правним лицима, јединицама локалне самоуправе, јавним предузећима чији је оснивач Република Србија или аутономна покрајина или јединица локалне самоуправе и привредним друштвима у којима Република Србија или аутономна покрајина или јединица локалне самоуправе има власништво; побољшање интерне организације банке, корпоративног управљања и управљања ризиком; јачање ИТ инфраструктуре.</w:t>
      </w:r>
    </w:p>
    <w:p w14:paraId="32443B9D"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Како би се омогућило ублажавање економских и финансијских последица, насталих услед пандемије COVID-19, Банка поступа у складу са Законом о утврђивању гарантне шеме као мере подршке привреди за ублажавање последица пандемије болести COVID-19 изазване вирусом SARS-CoV-2 („Службени гласник РС”, бр. 153/20 и 40/21) и Законом о утврђивању друге гарантне шеме као мера додатне подршке привреди услед продуженог негативног утицаја пандемије болести COVID-19 изазване вирусом SARS-CoV-2 („Службени гласник РС”, бр. 40/21 и 129/21).</w:t>
      </w:r>
    </w:p>
    <w:p w14:paraId="7EAFD68A" w14:textId="77777777" w:rsidR="00473C3B" w:rsidRPr="00671E8F" w:rsidRDefault="00473C3B" w:rsidP="00473C3B">
      <w:pPr>
        <w:rPr>
          <w:rFonts w:ascii="Calibri" w:eastAsia="MS PGothic" w:hAnsi="Calibri" w:cs="Calibri"/>
          <w:color w:val="2F5496" w:themeColor="accent1" w:themeShade="BF"/>
          <w:szCs w:val="20"/>
          <w:lang w:eastAsia="ja-JP"/>
        </w:rPr>
      </w:pPr>
      <w:r w:rsidRPr="00671E8F">
        <w:rPr>
          <w:rFonts w:ascii="Calibri" w:eastAsia="MS PGothic" w:hAnsi="Calibri" w:cs="Calibri"/>
          <w:b/>
          <w:color w:val="2F5496" w:themeColor="accent1" w:themeShade="BF"/>
          <w:szCs w:val="20"/>
          <w:lang w:eastAsia="ja-JP"/>
        </w:rPr>
        <w:t>Српска банка</w:t>
      </w:r>
    </w:p>
    <w:p w14:paraId="3AC66A8A" w14:textId="2911C2A5"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складу са Владином стратегијом за државне банке, формирана је Стручна радна група за трансформацију Српске банке у специјализовану финансијску институцију за пружање свих врста финансијских услуга и подршке наменској индустрији Републике Србије дана 21. јануара 2019. године и почела је са формалним радом у марту 2019. године када је одржана конститутивна седница. Због наставка пандемије COVID-19, као и кризе изазване ратом у Украјини и текућих </w:t>
      </w:r>
      <w:r w:rsidRPr="00671E8F">
        <w:rPr>
          <w:rFonts w:ascii="Calibri" w:eastAsia="MS PGothic" w:hAnsi="Calibri" w:cs="Calibri"/>
          <w:color w:val="44546A"/>
          <w:szCs w:val="20"/>
          <w:lang w:eastAsia="ja-JP"/>
        </w:rPr>
        <w:lastRenderedPageBreak/>
        <w:t>активности у оквиру Министарства финансија, очекује се да ће активности усмерене на трансформацију Српске банке бити настављене</w:t>
      </w:r>
      <w:r w:rsidR="00560E5F">
        <w:rPr>
          <w:rFonts w:ascii="Calibri" w:eastAsia="MS PGothic" w:hAnsi="Calibri" w:cs="Calibri"/>
          <w:color w:val="44546A"/>
          <w:szCs w:val="20"/>
          <w:lang w:val="sr-Cyrl-RS" w:eastAsia="ja-JP"/>
        </w:rPr>
        <w:t xml:space="preserve"> </w:t>
      </w:r>
      <w:r w:rsidRPr="00671E8F">
        <w:rPr>
          <w:rFonts w:ascii="Calibri" w:eastAsia="MS PGothic" w:hAnsi="Calibri" w:cs="Calibri"/>
          <w:color w:val="44546A"/>
          <w:szCs w:val="20"/>
          <w:lang w:eastAsia="ja-JP"/>
        </w:rPr>
        <w:t>у наредном периоду.</w:t>
      </w:r>
    </w:p>
    <w:p w14:paraId="3474B8CE" w14:textId="5318352D" w:rsidR="00B0023C" w:rsidRPr="00671E8F" w:rsidRDefault="00473C3B" w:rsidP="00B0023C">
      <w:r w:rsidRPr="00671E8F">
        <w:rPr>
          <w:rFonts w:ascii="Calibri" w:eastAsia="MS PGothic" w:hAnsi="Calibri" w:cs="Calibri"/>
          <w:color w:val="44546A"/>
          <w:szCs w:val="20"/>
          <w:lang w:eastAsia="ja-JP"/>
        </w:rPr>
        <w:t>Реформа прописа који уређују српски финансијски систем спроведена је фебруара 2015. године. 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Агенције за осигурање депозита (у даљем тексту: АОД)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671E8F">
        <w:rPr>
          <w:rFonts w:ascii="Calibri" w:eastAsia="MS PGothic" w:hAnsi="Calibri" w:cs="Calibri"/>
          <w:i/>
          <w:color w:val="44546A"/>
          <w:szCs w:val="20"/>
          <w:lang w:eastAsia="ja-JP"/>
        </w:rPr>
        <w:t>Bank Recovery and Resolution Directive – BRRD</w:t>
      </w:r>
      <w:r w:rsidRPr="00671E8F">
        <w:rPr>
          <w:rFonts w:ascii="Calibri" w:eastAsia="MS PGothic" w:hAnsi="Calibri" w:cs="Calibri"/>
          <w:color w:val="44546A"/>
          <w:szCs w:val="20"/>
          <w:lang w:eastAsia="ja-JP"/>
        </w:rPr>
        <w:t>)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ЕУ у овој области, а током 2017. године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прилагођавање извештајног система новим регулаторним решењима.</w:t>
      </w:r>
      <w:r w:rsidR="00B0023C" w:rsidRPr="00671E8F">
        <w:rPr>
          <w:rFonts w:ascii="Calibri" w:eastAsia="MS PGothic" w:hAnsi="Calibri" w:cs="Calibri"/>
          <w:color w:val="44546A"/>
          <w:szCs w:val="20"/>
          <w:lang w:eastAsia="ja-JP"/>
        </w:rPr>
        <w:t xml:space="preserve"> НБС континуирано унапређује регулаторни оквир за банке, у складу са потребама домаћег тржишта и праксе, најбољим упоредним праксама и пруденцијалним прописима Европске уније. Поред низа регулаторних мера које су усвојене у претходном периоду ради очувања и даљег јачања финансијске стабилности, НБС је, поступајући у складу са стратешким опредељењем да спроводи правне тековине ЕУ у области финансијских услуга </w:t>
      </w:r>
      <w:r w:rsidR="00B0023C" w:rsidRPr="00671E8F">
        <w:rPr>
          <w:rFonts w:ascii="Calibri" w:eastAsia="MS PGothic" w:hAnsi="Calibri" w:cs="Calibri"/>
          <w:color w:val="44546A"/>
          <w:szCs w:val="20"/>
          <w:lang w:eastAsia="ja-JP"/>
        </w:rPr>
        <w:t>(као водећа институција у тој области) у новембру 2023. године усвојила Одлуку о управљању ризиком ликвидности банке (</w:t>
      </w:r>
      <w:r w:rsidR="00B0023C" w:rsidRPr="00671E8F">
        <w:rPr>
          <w:rFonts w:ascii="Calibri" w:eastAsia="Calibri" w:hAnsi="Calibri" w:cs="Calibri"/>
          <w:bCs/>
          <w:color w:val="0070C0"/>
          <w:szCs w:val="72"/>
        </w:rPr>
        <w:t>„</w:t>
      </w:r>
      <w:r w:rsidR="00B0023C" w:rsidRPr="00671E8F">
        <w:rPr>
          <w:rFonts w:ascii="Calibri" w:eastAsia="MS PGothic" w:hAnsi="Calibri" w:cs="Calibri"/>
          <w:color w:val="44546A"/>
          <w:szCs w:val="20"/>
          <w:lang w:eastAsia="ja-JP"/>
        </w:rPr>
        <w:t>Службени гласник РС</w:t>
      </w:r>
      <w:r w:rsidR="00B0023C" w:rsidRPr="00671E8F">
        <w:rPr>
          <w:rFonts w:ascii="Calibri" w:eastAsia="Calibri" w:hAnsi="Calibri" w:cs="Calibri"/>
          <w:bCs/>
          <w:color w:val="0070C0"/>
          <w:szCs w:val="72"/>
        </w:rPr>
        <w:t>”</w:t>
      </w:r>
      <w:r w:rsidR="00B0023C" w:rsidRPr="00671E8F">
        <w:rPr>
          <w:rFonts w:ascii="Calibri" w:eastAsia="MS PGothic" w:hAnsi="Calibri" w:cs="Calibri"/>
          <w:color w:val="44546A"/>
          <w:szCs w:val="20"/>
          <w:lang w:eastAsia="ja-JP"/>
        </w:rPr>
        <w:t xml:space="preserve">, бр. 100/2023), уводећи тзв. показатељ нето стабилних извора финансирања. Овај показатељ је развијен у међународним оквирима супервизије банака као одговор на идентификоване проблеме у вези са ликвидношћу банака у периодима кризе те потребом да се обезбеди праћење нивоа стабилности извора финансирања редовних активности банака. </w:t>
      </w:r>
    </w:p>
    <w:p w14:paraId="252E0CE5"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трогодишња акциона плана, један припремљен од стране Владе и други 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вредности средстава обезбеђења, развој тржишта проблематичних кредита и др.</w:t>
      </w:r>
    </w:p>
    <w:p w14:paraId="72B16E4D"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На иницијативу Народне банке Србије, 2014. године усвојен је нови Закон о осигурању на основу кога је током 2014. и 2015. године извршена регулаторна реформа у сектору осигурања, које представља други најважнији сегмент на домаћем финансијском тржишту. Регулаторном реформом створени су предуслови за даљи развој тржишта осигурања кроз имплементацију модерних стандарда прилагођених потребама домаћег тржишта. Нови регулаторни оквир омогућио је, између осталог, позитивне резултате који се огледају у расту укупне премије осигурања на тржишту Републике Србије и даљем развоју финансијског тржишта. Исто тако, реформа прописа у овој области је омогућила увођење квалитетнијих услуга друштава за осигурање и бољу заштиту грађана и привредних субјеката који те услуге користе. У току 2021. усвојене су измене и допуна Закона о осигурању, којима је уређена промена власничких права на друштвеном капиталу у друштвима за осигурање. Постојећим прописима којима се уређује делатност осигурања у Републици Србији </w:t>
      </w:r>
      <w:r w:rsidRPr="00671E8F">
        <w:rPr>
          <w:rFonts w:ascii="Calibri" w:eastAsia="MS PGothic" w:hAnsi="Calibri" w:cs="Calibri"/>
          <w:color w:val="44546A"/>
          <w:szCs w:val="20"/>
          <w:lang w:eastAsia="ja-JP"/>
        </w:rPr>
        <w:lastRenderedPageBreak/>
        <w:t>створени су предуслови за даљу конвергенцију сектора осигурања у Републици Србији на ниво развијености тог сектора у ЕУ. Значајне промене регулаторног оквира у области надзора делатности осигурања тек се очекују с пуним усклађивањем прописа с Директивом о дистрибуцији осигурања (</w:t>
      </w:r>
      <w:r w:rsidRPr="00671E8F">
        <w:rPr>
          <w:rFonts w:ascii="Calibri" w:eastAsia="MS PGothic" w:hAnsi="Calibri" w:cs="Calibri"/>
          <w:i/>
          <w:color w:val="44546A"/>
          <w:szCs w:val="20"/>
          <w:lang w:eastAsia="ja-JP"/>
        </w:rPr>
        <w:t>Directive (EU) 2016/97 — the Insurance Distribution Directive - IDD</w:t>
      </w:r>
      <w:r w:rsidRPr="00671E8F">
        <w:rPr>
          <w:rFonts w:ascii="Calibri" w:eastAsia="MS PGothic" w:hAnsi="Calibri" w:cs="Calibri"/>
          <w:color w:val="44546A"/>
          <w:szCs w:val="20"/>
          <w:lang w:eastAsia="ja-JP"/>
        </w:rPr>
        <w:t>) и применом Солвентности II (</w:t>
      </w:r>
      <w:r w:rsidRPr="00671E8F">
        <w:rPr>
          <w:rFonts w:ascii="Calibri" w:eastAsia="MS PGothic" w:hAnsi="Calibri" w:cs="Calibri"/>
          <w:i/>
          <w:color w:val="44546A"/>
          <w:szCs w:val="20"/>
          <w:lang w:eastAsia="ja-JP"/>
        </w:rPr>
        <w:t>Directive 2009/138/EC of the European Parliament and of the Council on taking-up and pursuit of the business of Insurance and Reinsurance</w:t>
      </w:r>
      <w:r w:rsidRPr="00671E8F">
        <w:rPr>
          <w:rFonts w:ascii="Calibri" w:eastAsia="MS PGothic" w:hAnsi="Calibri" w:cs="Calibri"/>
          <w:color w:val="44546A"/>
          <w:szCs w:val="20"/>
          <w:lang w:eastAsia="ja-JP"/>
        </w:rPr>
        <w:t>).</w:t>
      </w:r>
    </w:p>
    <w:p w14:paraId="1BE17A42"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и то: усвајањем Закона о изменама и допунама Закона о хипотеци (2015. године) чија решења су омогућила реафирмацију вансудског поступка намирења из вредности добијене продајом хипотековане непокретности, али и довела до вишег степена правне и економске сигурности учесника у пословима који подразумевају успостављање хипотеке, као средства обезбеђења потраживања; кроз доношење Закона о проценитељима вредности непокретности (почетак примене закона – јун 2017. године) који је, између осталог, увео нову професију – лиценциране проценитеље вредности непокретности и прописао обавезну процену која се спроводи у случајевима који се односе на Закон о хипотеци и Закон о стечају, као и приликом вршења процена за потребе кредитних послова који су обезбеђени хипотеком; образовање Стручног одбора (стручно тело које треба да допринесе уређењу и унапређењу професије проценитеља вредности непокретности) и доношење Националних стандарда, кодекса етике и правила професионалног понашања лиценцираног проценитеља (првобитни у јулу 2017. године, а ажурирани у априлу 2023. године) који, између осталог, дефинишу основе процене вредности непокретности, поступак вршења процене, претпоставке и чињенице од значаја које се морају узети у обзир приликом израде извештаја процене, минимални садржај извештаја o процени и правила професионалног понашања </w:t>
      </w:r>
      <w:r w:rsidRPr="00671E8F">
        <w:rPr>
          <w:rFonts w:ascii="Calibri" w:eastAsia="MS PGothic" w:hAnsi="Calibri" w:cs="Calibri"/>
          <w:color w:val="44546A"/>
          <w:szCs w:val="20"/>
          <w:lang w:eastAsia="ja-JP"/>
        </w:rPr>
        <w:t>лиценцираног проценитеља; усвајање измена и допуна Закона о порезу на добит правних лица и Закона о порезу на доходак грађана што је омогућило релаксиранију пореску политику за одобравање и отпис банкарских потраживања (крај 2017. године); усвајање амандмана на Закон о стечају којима је скраћен стечајни поступак и побољшан положај осигураних поверилаца (децембра 2017. године); припрему студије о могућностима увођења банкрота приватних појединаца и предузетника у Републици Србији, усвојен је Закон о изменама Закона о парничном поступку и друго. На основу Закона о проценитељима вредности непокретности и Одлуке о садржају, роковима и начину достављања извештаја о проценама вредности непокретности које су предмет хипотеке и кредитима обезбеђеним хипотеком, НБС од 2015. године води базу података о проценама вредности непокретности које су предмет хипотеке. У складу с поменутим законом и одлуком, банке и лиценцирани проценитељи могу остварити увид у одређене податке о проценама вредности непокретности које су предмет хипотеке. Крајем 2018. године НБС је усвојила сет подзаконских аката реагујући проактивно на све учесталију појаву ненаменског кредитирања становништва по неоправдано дугим роковима. Ови прописи имају за циљ да допринесу спречавању настанка проблематичних кредита у банкарском сектору и подстакну опрезно преузимање ризика од стране банака њиховим усмеравањем на одрживо кредитирање и избегавање прекомерне изложености одређеним врстама кредитних производа, не нарушавајући тренд раста кредитне активности и водећи рачуна о правима и интересима корисника услуга које пружају банке, а све ради очувања и јачања финансијске стабилности у Републици Србији.</w:t>
      </w:r>
    </w:p>
    <w:p w14:paraId="341BFA3D" w14:textId="61B37FE4"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 циљу унапређења и даљег развоја тржишта капитала, у периоду од 2019. до 2021. године, на предлог Министарства финансија донети су нови следећи закони: Закон о алтернативним инвестиционим фондовима („Сл</w:t>
      </w:r>
      <w:r w:rsidR="00560E5F">
        <w:rPr>
          <w:rFonts w:ascii="Calibri" w:eastAsia="MS PGothic" w:hAnsi="Calibri" w:cs="Calibri"/>
          <w:color w:val="44546A"/>
          <w:szCs w:val="20"/>
          <w:lang w:val="sr-Cyrl-RS" w:eastAsia="ja-JP"/>
        </w:rPr>
        <w:t>ужбени</w:t>
      </w:r>
      <w:r w:rsidRPr="00671E8F">
        <w:rPr>
          <w:rFonts w:ascii="Calibri" w:eastAsia="MS PGothic" w:hAnsi="Calibri" w:cs="Calibri"/>
          <w:color w:val="44546A"/>
          <w:szCs w:val="20"/>
          <w:lang w:eastAsia="ja-JP"/>
        </w:rPr>
        <w:t xml:space="preserve"> гласник РС”, број 73/19) – усвојен у Народној скупштини 10. октобра 2019. године, почео са применом у априлу 2020. године; Закон о отвореним инвестиционим фондовима са јавном понудом („Сл</w:t>
      </w:r>
      <w:r w:rsidR="00560E5F">
        <w:rPr>
          <w:rFonts w:ascii="Calibri" w:eastAsia="MS PGothic" w:hAnsi="Calibri" w:cs="Calibri"/>
          <w:color w:val="44546A"/>
          <w:szCs w:val="20"/>
          <w:lang w:val="sr-Cyrl-RS" w:eastAsia="ja-JP"/>
        </w:rPr>
        <w:t>ужбени</w:t>
      </w:r>
      <w:r w:rsidRPr="00671E8F">
        <w:rPr>
          <w:rFonts w:ascii="Calibri" w:eastAsia="MS PGothic" w:hAnsi="Calibri" w:cs="Calibri"/>
          <w:color w:val="44546A"/>
          <w:szCs w:val="20"/>
          <w:lang w:eastAsia="ja-JP"/>
        </w:rPr>
        <w:t xml:space="preserve"> </w:t>
      </w:r>
      <w:r w:rsidRPr="00671E8F">
        <w:rPr>
          <w:rFonts w:ascii="Calibri" w:eastAsia="MS PGothic" w:hAnsi="Calibri" w:cs="Calibri"/>
          <w:color w:val="44546A"/>
          <w:szCs w:val="20"/>
          <w:lang w:eastAsia="ja-JP"/>
        </w:rPr>
        <w:lastRenderedPageBreak/>
        <w:t>гласник РС”, број 73/19) - усвојен у Народној скупштини 10. октобра 2019. године, почео са применом у априлу 2020. године; и Закон o тржишту капитала („Сл</w:t>
      </w:r>
      <w:r w:rsidR="00560E5F">
        <w:rPr>
          <w:rFonts w:ascii="Calibri" w:eastAsia="MS PGothic" w:hAnsi="Calibri" w:cs="Calibri"/>
          <w:color w:val="44546A"/>
          <w:szCs w:val="20"/>
          <w:lang w:val="sr-Cyrl-RS" w:eastAsia="ja-JP"/>
        </w:rPr>
        <w:t>ужбени</w:t>
      </w:r>
      <w:r w:rsidRPr="00671E8F">
        <w:rPr>
          <w:rFonts w:ascii="Calibri" w:eastAsia="MS PGothic" w:hAnsi="Calibri" w:cs="Calibri"/>
          <w:color w:val="44546A"/>
          <w:szCs w:val="20"/>
          <w:lang w:eastAsia="ja-JP"/>
        </w:rPr>
        <w:t xml:space="preserve"> гласник РС”, број 129/21) - усвојен у Народној скупштини 23. децембра 2021. године, почео са применом 5. јануара 2023. године. </w:t>
      </w:r>
    </w:p>
    <w:p w14:paraId="305BBBD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Влада је 27. децембра 2018. године донела Програм за решавање проблематичних кредита за период 2018–2020. године (у даљем тексту: Програм) заједно са Акционим планом за спровођење тог програма чиме је успешно испуњен и реформски циљ унутар програма сарадње са ММФ и зацртан пут за даљи успешан рад на решавању питања проблематичних потраживања.</w:t>
      </w:r>
    </w:p>
    <w:p w14:paraId="4A422476"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Главни фокус поменутог документа јавне политике представља решавање питања проблематичних пласмана банака у стечају и пласмана у име и за рачун Републике Србије, којима управља АОД. У складу са тим, усвојени су стратешки и годишњи оперативни планови за АОД, Резолуција портфеља проблематичних пласмана, и развијени су унутрашњи капацитети за њихово решавање. У јуну 2019. године, АОД успешно је окончала продају првог, „пилот портфеља”, номиналне вредности од око 242 милиона евра, док је дана 30. септембра 2019. године објавила оглас за уступање другог, „великог портфеља”, номиналне вредности од 1,82 милијарде евра. У складу са Закључком Владе 05 Број: 401-1646/2021 од 25. фебруара 2021. године, Закључком Покрајинске владе 127 Број 422-6/2021 од 3. марта 2021. године и одлукама Одбора поверилаца свих финансијских институција у стечају, чија потраживања су предмет уступања, изабрана је најбоља понуда у поступку уступања портфеља потраживања уз накнаду, методом јавног прикупљања понуда тендером и поступак уступања „великог” портфеља је успешно окончан дана 19. априла 2021. године, потписивањем Оквирних уговора о уступању портфеља потраживања и исплатом накнаде за уступање.</w:t>
      </w:r>
    </w:p>
    <w:p w14:paraId="667D9849"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Након успешно спроведена два поступка уступања потраживања, започете су активности на решавању преосталог портфолија, у складу са тачком 2.3.3. Програма и Акционог плана, а којом </w:t>
      </w:r>
      <w:r w:rsidRPr="00671E8F">
        <w:rPr>
          <w:rFonts w:ascii="Calibri" w:eastAsia="MS PGothic" w:hAnsi="Calibri" w:cs="Calibri"/>
          <w:color w:val="44546A"/>
          <w:szCs w:val="20"/>
          <w:lang w:eastAsia="ja-JP"/>
        </w:rPr>
        <w:t>је дефинисано да је, након спровођења продаје пилот и великог портфеља, потребно предузети низ активности у погледу реализације преосталог потраживања државних поверилаца.</w:t>
      </w:r>
    </w:p>
    <w:p w14:paraId="7B48050D"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 складу са одлукама Одбора директора и Управног одбора АОД, закључцима Владе и Покрајинске владе, као и одлукама Одбора поверилаца свих финансијских институција чија потраживања су предмет уступања, дана 20. децембра 2022. године објављен је Оглас за уступање портфеља потраживања уз накнаду, методом јавног прикупљања понуда (шифра Јавног позива: ЈПП-1/22). Портфељ који је предмет уступања, са стањем на дан 30. април 2022. године, укупно износи 317.805.038,18 евра и чине га потраживања АОД у име и за рачун државе и седам финансијских институција од укупно 497 дужника (653 партије). Поступак уступања портфеља потраживања се спроводи кроз двофазни процес – поступак прелиминарне анализе Портфеља и поступак подношења обавезујућих понуда. Отварање обавезујућих понуда извршено је 27. априла 2023. године. Примљене су четири обавезујуће понуде, након чега су започети преговори са прворангираним понуђачем. У току преговора, прворангирани понуђач одустао је од даљег поступка јер се у међувремену преусмерио на друге пројекте, те је другорангирном понуђачу упућен позив за отпочињање преговора. Након свих обављених консултација и другорангирани понуђач је одустао од даљег учествовања у поступку. Одбор директора АОД је дана 3. октобра 2023. године донео Одлуку којом је поступак уступања портфеља проглашен неуспелим. АОД je наставила са поступцима наплате потраживања предметних банака кроз појединачне портфеље у складу са Законом.</w:t>
      </w:r>
    </w:p>
    <w:p w14:paraId="14F6D071" w14:textId="01807325"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Имплементација других мера за решавање проблематичних кредита, како из Стратегије за решавање проблематичних кредита, тако и из горепоменутог Програма, наставља да даје резултате. Захваљујући примени Стратегије за решавање проблематичних кредита, као и другим регулаторним активностима Народне банке Србије, учешће проблематичних кредита у укупним кредитима банкарског сектора</w:t>
      </w:r>
      <w:r w:rsidR="00340129" w:rsidRPr="00671E8F">
        <w:rPr>
          <w:rFonts w:ascii="Calibri" w:eastAsia="MS PGothic" w:hAnsi="Calibri" w:cs="Calibri"/>
          <w:color w:val="44546A"/>
          <w:szCs w:val="20"/>
          <w:lang w:eastAsia="ja-JP"/>
        </w:rPr>
        <w:t xml:space="preserve"> је, упркос вишедимензионалној кризи с којом се Република </w:t>
      </w:r>
      <w:r w:rsidR="00340129" w:rsidRPr="00671E8F">
        <w:rPr>
          <w:rFonts w:ascii="Calibri" w:eastAsia="MS PGothic" w:hAnsi="Calibri" w:cs="Calibri"/>
          <w:color w:val="44546A"/>
          <w:szCs w:val="20"/>
          <w:lang w:eastAsia="ja-JP"/>
        </w:rPr>
        <w:lastRenderedPageBreak/>
        <w:t>Србија суочава у последње четири године, у протеклом периоду значајно</w:t>
      </w:r>
      <w:r w:rsidRPr="00671E8F">
        <w:rPr>
          <w:rFonts w:ascii="Calibri" w:eastAsia="MS PGothic" w:hAnsi="Calibri" w:cs="Calibri"/>
          <w:color w:val="44546A"/>
          <w:szCs w:val="20"/>
          <w:lang w:eastAsia="ja-JP"/>
        </w:rPr>
        <w:t xml:space="preserve"> смањено, </w:t>
      </w:r>
      <w:r w:rsidR="00340129" w:rsidRPr="00671E8F">
        <w:rPr>
          <w:rFonts w:ascii="Calibri" w:eastAsia="MS PGothic" w:hAnsi="Calibri" w:cs="Calibri"/>
          <w:color w:val="44546A"/>
          <w:szCs w:val="20"/>
          <w:lang w:eastAsia="ja-JP"/>
        </w:rPr>
        <w:t>тако да је у августу 2024. године износило 2,7%, што представља нови историјски минимум. Наведено учешће је за чак 19,5 процентних поена мање него у</w:t>
      </w:r>
      <w:r w:rsidRPr="00671E8F">
        <w:rPr>
          <w:rFonts w:ascii="Calibri" w:eastAsia="MS PGothic" w:hAnsi="Calibri" w:cs="Calibri"/>
          <w:color w:val="44546A"/>
          <w:szCs w:val="20"/>
          <w:lang w:eastAsia="ja-JP"/>
        </w:rPr>
        <w:t xml:space="preserve"> него у августу 2015. године, када је усвојена поменута стратегија. То је конкретна потврда да су мере добро дефинисане и да су дале одличне ефекте.</w:t>
      </w:r>
    </w:p>
    <w:p w14:paraId="5BA73752" w14:textId="63F9C7C7" w:rsidR="00473C3B" w:rsidRPr="00671E8F" w:rsidRDefault="00473C3B" w:rsidP="00473C3B">
      <w:pPr>
        <w:rPr>
          <w:rFonts w:ascii="Calibri" w:eastAsia="MS PGothic" w:hAnsi="Calibri" w:cs="Calibri"/>
          <w:color w:val="44546A"/>
          <w:szCs w:val="20"/>
          <w:highlight w:val="yellow"/>
          <w:lang w:eastAsia="ja-JP"/>
        </w:rPr>
      </w:pPr>
      <w:r w:rsidRPr="00671E8F">
        <w:rPr>
          <w:rFonts w:ascii="Calibri" w:eastAsia="MS PGothic" w:hAnsi="Calibri" w:cs="Calibri"/>
          <w:color w:val="44546A"/>
          <w:szCs w:val="20"/>
          <w:lang w:eastAsia="ja-JP"/>
        </w:rPr>
        <w:t xml:space="preserve">НБС је деловала и изван оквира Стратегије, попут доношења Одлуке о рачуноводственом отпису билансне активе банке, што је употпунило регулаторне активности. Покривеност проблематичних кредита и даље је на високом нивоу – исправке вредности укупних кредита у </w:t>
      </w:r>
      <w:r w:rsidR="001C6857" w:rsidRPr="00671E8F">
        <w:rPr>
          <w:rFonts w:ascii="Calibri" w:eastAsia="MS PGothic" w:hAnsi="Calibri" w:cs="Calibri"/>
          <w:color w:val="44546A"/>
          <w:szCs w:val="20"/>
          <w:lang w:eastAsia="ja-JP"/>
        </w:rPr>
        <w:t>августу</w:t>
      </w:r>
      <w:r w:rsidRPr="00671E8F" w:rsidDel="00CE3449">
        <w:rPr>
          <w:rFonts w:ascii="Calibri" w:eastAsia="MS PGothic" w:hAnsi="Calibri" w:cs="Calibri"/>
          <w:color w:val="44546A"/>
          <w:szCs w:val="20"/>
          <w:lang w:eastAsia="ja-JP"/>
        </w:rPr>
        <w:t xml:space="preserve"> </w:t>
      </w:r>
      <w:r w:rsidR="001C6857" w:rsidRPr="00671E8F">
        <w:rPr>
          <w:rFonts w:ascii="Calibri" w:eastAsia="MS PGothic" w:hAnsi="Calibri" w:cs="Calibri"/>
          <w:color w:val="44546A"/>
          <w:szCs w:val="20"/>
          <w:lang w:eastAsia="ja-JP"/>
        </w:rPr>
        <w:t>2024. године износиле су 106,5</w:t>
      </w:r>
      <w:r w:rsidRPr="00671E8F">
        <w:rPr>
          <w:rFonts w:ascii="Calibri" w:eastAsia="MS PGothic" w:hAnsi="Calibri" w:cs="Calibri"/>
          <w:color w:val="44546A"/>
          <w:szCs w:val="20"/>
          <w:lang w:eastAsia="ja-JP"/>
        </w:rPr>
        <w:t>% бруто проблематичних кредита, док су исправке вредности проблематичн</w:t>
      </w:r>
      <w:r w:rsidR="001C6857" w:rsidRPr="00671E8F">
        <w:rPr>
          <w:rFonts w:ascii="Calibri" w:eastAsia="MS PGothic" w:hAnsi="Calibri" w:cs="Calibri"/>
          <w:color w:val="44546A"/>
          <w:szCs w:val="20"/>
          <w:lang w:eastAsia="ja-JP"/>
        </w:rPr>
        <w:t>их кредита биле на нивоу од 62,1</w:t>
      </w:r>
      <w:r w:rsidRPr="00671E8F">
        <w:rPr>
          <w:rFonts w:ascii="Calibri" w:eastAsia="MS PGothic" w:hAnsi="Calibri" w:cs="Calibri"/>
          <w:color w:val="44546A"/>
          <w:szCs w:val="20"/>
          <w:lang w:eastAsia="ja-JP"/>
        </w:rPr>
        <w:t>% бруто проблематичних кредита, што, недвосмислено, уз све друге показатеље здравља финансијског система, потврђује стабилност нашег банкарског сектора.</w:t>
      </w:r>
    </w:p>
    <w:p w14:paraId="39022E7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Стварањем стабилних услова пословања, наша економија је ушла у инвестициони циклус 2015. године, и од тада инвестиције по обиму представљају добар део раста економије. Профитабилност привреде расте у условима релативно стабилног курса. Све су то били кључни фактори за одрживо решавање питања проблематичних кредита. То се јасно види и из чињенице да је у гранама које су и носиоци нашег раста, забележен и највећи пад проблематичних кредита – што је евидентно у прерађивачкој индустрији и грађевинарству.</w:t>
      </w:r>
    </w:p>
    <w:p w14:paraId="23BC5CE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Осигурање депозита је механизам који доприноси очувању финансијске стабилности и обезбеђује заштиту депонената. Систем осигурања депозита обезбеђује да се сваком заштићеном депоненту исплати целокупан износ улога у свакој банци до осигураног износа од 50.000 евра у случају стечаја или ликвидације банке. Осигурање депозита регулисано је Законом о осигурању депозита.</w:t>
      </w:r>
    </w:p>
    <w:p w14:paraId="0C43BD3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октобру 2019. године, усвојен је Закон о изменама и допунама Закона о осигурању депозита из 2019. године, којим се настојало да се систем осигурања депозита додатно усклади са најбољом међународном праксом и стандардима, </w:t>
      </w:r>
      <w:r w:rsidRPr="00671E8F">
        <w:rPr>
          <w:rFonts w:ascii="Calibri" w:eastAsia="MS PGothic" w:hAnsi="Calibri" w:cs="Calibri"/>
          <w:color w:val="44546A"/>
          <w:szCs w:val="20"/>
          <w:lang w:eastAsia="ja-JP"/>
        </w:rPr>
        <w:t>као и правним тековинама ЕУ и то у погледу: метода обрачуна премије (увођење могућности обрачуна премије на основу нивоа ризика у пословању банака), основице за обрачун премије, висине ванредне премије, заштите депонената спојених или припојених банака, циљног износа фонда за осигурање депозита и др, све са циљем доприноса финансијској стабилности кроз подстицај смањењу ризика у пословању банака, јачање поверења јавности у финансијски систем и повећање ефикасности система осигурања депозита.</w:t>
      </w:r>
    </w:p>
    <w:p w14:paraId="1DBEB78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Уважавајући одредбе Закона о изменама и допунама Закона о осигурању депозита, премија осигурања депозита се почев од наплате премије за први квартал 2020. године обрачунава на измењену основицу, односно на основу просечног стања укупних осигураних износа до 50.000 евра (осигурањем покривени износ депозита) у банци у претходном тромесечју, уместо на основу просечног стања укупних осигураних депозита. Овом изменом, смањене су обавезе банака по основу плаћања премије осигурања депозита у просеку за око 30%, чиме се посредно омогућила већа инвестициона активност банака.</w:t>
      </w:r>
    </w:p>
    <w:p w14:paraId="38939A0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Како је законом уведена и могућност обрачуна премије на основу нивоа ризика у пословању банака, прописана је обавеза Агенцији да донесе Методологију за обрачун премије осигурања депозита на основу нивоа ризика у пословању банака у року од годину дана од дана ступања на снагу овог закона. Управни одбор Агенције усвојио је текст Методологије 15. октобра 2020. године уз претходну сагласност НБС, чиме је испуњена законска обавеза у прописаном року, а посебном одлуком Управног одбора Агенције ће се одлучити о почетку примене Методологије.</w:t>
      </w:r>
    </w:p>
    <w:p w14:paraId="1187B151"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систему осигурања депозита Република Србија је ултимативни гарант исплате осигураних депозита. У сврху обезбеђивања средстава за осигурање депозита АОД наплаћује премију осигурања депозита од банака за рачун Фонда за осигурање депозита, управља имовином фонда и исплаћује депозите до осигураног износа у случају стечаја или ликвидације банке. Додатно, средства фонда се могу користити и за финансирање поступка реструктурирања банака у обиму и под условима </w:t>
      </w:r>
      <w:r w:rsidRPr="00671E8F">
        <w:rPr>
          <w:rFonts w:ascii="Calibri" w:eastAsia="MS PGothic" w:hAnsi="Calibri" w:cs="Calibri"/>
          <w:color w:val="44546A"/>
          <w:szCs w:val="20"/>
          <w:lang w:eastAsia="ja-JP"/>
        </w:rPr>
        <w:lastRenderedPageBreak/>
        <w:t>утврђеним законом којим се уређују банке. У случају недостајућих средстава у фонду за осигурање депозита, Република Србија обезбеђује исплату било средствима из буџета, било давањем гаранције за задуживање АОД.</w:t>
      </w:r>
    </w:p>
    <w:p w14:paraId="1DAA369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Влада је дана 24. марта 2020. године донела Уредбу о улагању за време ванредног стања девизних средстава којима управља Агенција за осигурање депозита, којом је прописано да за време ванредног стања насталог услед болести COVID-19 изазване вирусом SARS-CoV-2 Агенција може улагати више од четвртине девизних средстава Фонда у девизне дужничке хартије од вредности које издаје Република Србија. У складу с Уредбом, Агенција је у року од годину дана од дана престанка ванредног стања (до 6. маја 2021. године) износ девизних средстава Фонда уложених у девизне дужничке хартије од вредности које издаје Република Србија, ускладила на ниво законског лимита од 1/4 укупних девизних средстава Фонда.</w:t>
      </w:r>
    </w:p>
    <w:p w14:paraId="25FBE66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Гаранција исплате осигураних депозита од стране државе, било директно средствима из буџета, или индиректно издавањем гаранција за задуживање АОД,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фонда за осигурање депозита, нити државе по основу исплата осигураних износа депозита.</w:t>
      </w:r>
    </w:p>
    <w:p w14:paraId="4BC24705"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Умањење фискалних ризика по овом основу зависи од стабилности и одрживости банкарског система. Надзор над банкарским системом, обазривост у пласирању средстава и унапређење квалитета имовине банака су основни стубови стабилног банкарског система.</w:t>
      </w:r>
    </w:p>
    <w:p w14:paraId="772B6999"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Остварени резултати банкарског сектора Републике Србије у 2021. години приказују растућу профитабилност банака. Банкарски сектор Републике Србије је у 2021. години пословао профитабилно, са нето добитком пре опорезивања у износу од 53,9 милијарди динара, што је за 17% више од позитивног резултата оствареног у 2020. години када је нето добитак пре опорезивања износио 46,1 милијарди динара. Банкарски сектор Србије остварио је позитиван </w:t>
      </w:r>
      <w:r w:rsidRPr="00671E8F">
        <w:rPr>
          <w:rFonts w:ascii="Calibri" w:eastAsia="MS PGothic" w:hAnsi="Calibri" w:cs="Calibri"/>
          <w:color w:val="44546A"/>
          <w:szCs w:val="20"/>
          <w:lang w:eastAsia="ja-JP"/>
        </w:rPr>
        <w:t>финансијски резултат у 2022. години. Нето добитак пре опорезивања на нивоу банкарског сектора у 2022. износио је 99,6 млрд динара, што је за 45,8 млрд динара (или 84,9%) више него претходне године. Нето добитак пре опорезивања на нивоу банкарског сектора у 2023. години износио је 138,2 млрд динара. Банкарски сектор Републике Србије адекватно је капитализован како са становишта оствареног нивоа показатеља адекватности капитала тако и са становишта структуре регулаторног капитала. На крају 2020. и 2021. године, просечна вредност показатеља адекватности капитала на нивоу банкарског сектора Републике Србије износила је 22,42%, односно 20,8%. Током 2022. и 2023. године очувана је висока адекватност капитала банкарског сектора (показатељ адекватности капитала износи 20,2%</w:t>
      </w:r>
      <w:r w:rsidRPr="00671E8F">
        <w:t xml:space="preserve"> </w:t>
      </w:r>
      <w:r w:rsidRPr="00671E8F">
        <w:rPr>
          <w:rFonts w:ascii="Calibri" w:eastAsia="MS PGothic" w:hAnsi="Calibri" w:cs="Calibri"/>
          <w:color w:val="44546A"/>
          <w:szCs w:val="20"/>
          <w:lang w:eastAsia="ja-JP"/>
        </w:rPr>
        <w:t>на крају 2022., односно 21,4% на крају 2023.).</w:t>
      </w:r>
    </w:p>
    <w:p w14:paraId="577F0A2B"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Показатељ адекватности капитала</w:t>
      </w:r>
      <w:r w:rsidRPr="00671E8F">
        <w:t xml:space="preserve"> </w:t>
      </w:r>
      <w:r w:rsidRPr="00671E8F">
        <w:rPr>
          <w:rFonts w:ascii="Calibri" w:eastAsia="MS PGothic" w:hAnsi="Calibri" w:cs="Calibri"/>
          <w:color w:val="44546A"/>
          <w:szCs w:val="20"/>
          <w:lang w:eastAsia="ja-JP"/>
        </w:rPr>
        <w:t xml:space="preserve">на нивоу банкарског сектора на крају другог тромесечја 2024. године износио је 21,8% (на крају првог тромесечја 2024. године износио је 21,2%)  што је значајно изнад прописаног регулаторног минимума од 8%, што указује на високу капитализованост и отпорност банкарског сектора на екстерне и домаће ризике. </w:t>
      </w:r>
    </w:p>
    <w:p w14:paraId="3FB5E99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Имајући у виду ситуацију насталу проглашењем ванредног стања у Републици Србији, како би се омогућило ублажавање економских и финансијских последица насталих услед пандемије COVID-19 предузете су мере подршке привреди које су имале за циљ повећање ликвидности привредних субјеката. Једна од мера јесте била и доношење Уредбе о утврђивању гарантне шеме као мера подршке привреди за ублажавање последица пандемије болести COVID-19 изазване вирусом SARS-CоV-2. Овом уредбом је конституисано утврђивање националне гарантне шеме. Повећање ликвидности привредних субјеката кроз механизам гарантовања Републике Србије за кредите које банке одобравају привредним субјектима за финансирање ликвидности и обртних средстава, а које се омогућава закључењем Уговора о гаранцији Републике Србије за кредитирање привреде с циљем ублажавања негативних последица пандемије болести COVID-19 изазване вирусом </w:t>
      </w:r>
      <w:r w:rsidRPr="00671E8F">
        <w:rPr>
          <w:rFonts w:ascii="Calibri" w:eastAsia="MS PGothic" w:hAnsi="Calibri" w:cs="Calibri"/>
          <w:color w:val="44546A"/>
          <w:szCs w:val="20"/>
          <w:lang w:eastAsia="ja-JP"/>
        </w:rPr>
        <w:lastRenderedPageBreak/>
        <w:t>SARS-CoV-2, јесте мера која у себи сублимира изузетно важан и нужан механизам ефеката за сва лица са седиштем у Републици Србији укључујући и пољопривредна газдинства, која су регистрована у АПР и класификована као предузетник, или микро, мало и средње привредно друштво у складу са законом којим се уређује рачуноводство, а чија је ликвидност предуслов функционисања привреде Републике Србије.</w:t>
      </w:r>
    </w:p>
    <w:p w14:paraId="40CE204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Банке могу да за реализацију кредита пласирају износ до две милијарде евра, при чему је износ од једне милијарде евра, односно износ иницијалног максималног осигураног портфолија по банкама утврђен сходно тржишном учешћу банке према извештају НБС на дан 29. фебруар 2020. године.</w:t>
      </w:r>
    </w:p>
    <w:p w14:paraId="3EB89A35"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С обзиром на чињеницу да је преко пословних банака, до краја новембра 2020. године, привреди пласирано око 1,5 милијарди евра, од укупно расположиве две милијарде евра, а да је Уредбом било прописано да уговор о кредиту мора бити закључен најкасније до 31. децембра 2020. године, као и да уговор o кредиту мора бити пуштен у течај најкасније до 31. јануара 2021. године, јавила се потреба за продужењем рока до када уговор о кредиту мора бити закључен, односно до када уговор o кредиту мора бити пуштен у течај.</w:t>
      </w:r>
    </w:p>
    <w:p w14:paraId="4B00C45C"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складу са тим, Народној скупштини предложено је доношење Закона о утврђивању гарантне шеме као мере подршке привреди за ублажавање последица пандемије болести COVID-19 изазване вирусом SARS-CoV-2, који је донет на седници одржаној дана 17. децембра 2020. године и исти је објављен у „Службеном гласнику Републике Србије” број 153/20 од 21. децембра 2020. године. Република Србија је препознала потребу за одобравањем додатних 500 милиона евра помоћи, у циљу одржавања ликвидности чиме ће укупан износ средстава пласираних путем I гарантне шеме достићи износ од 2,5 милијарде евра. С тим у вези, донет је Закон о изменама Закона о утврђивању гарантне шеме као мера подршке привреди за ублажавање последица пандемије болести COVID-19 изазване вирусом SARS-CoV-2 („Службени гласник РС”, број 40/21), којим је, између осталог, продужен рок за </w:t>
      </w:r>
      <w:r w:rsidRPr="00671E8F">
        <w:rPr>
          <w:rFonts w:ascii="Calibri" w:eastAsia="MS PGothic" w:hAnsi="Calibri" w:cs="Calibri"/>
          <w:color w:val="44546A"/>
          <w:szCs w:val="20"/>
          <w:lang w:eastAsia="ja-JP"/>
        </w:rPr>
        <w:t>пуштање кредита у течај најкасније до 31. јула 2022. године.</w:t>
      </w:r>
    </w:p>
    <w:p w14:paraId="7779E6D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Уговор о гаранцији Републике Србије за кредитирање привреде с циљем ублажавања негативних последица пандемије болести COVID-19 изазване вирусом SARS-CoV-2 са Републиком Србијом и НБС до сада су потписале 24 банке. Република Србија је пласирала Банкама предвиђених 2,5 милијарди евра, док су Банке, до 31. јула 2022. године, пласирале клијентима око 2,49 милијарди евра. Истовремено, Република Србија је препознала потребу за додатну помоћ најугроженијим предузећима која имају пад пословних прихода већи од 20% у 2020. години, у односу на исти период у 2019. години, те је 22. априла 2021. године донет Закон о утврђивању друге гарантне шеме као мере додатне подршке привреди услед продуженог негативног утицаја пандемије болести COVID-19 изазване вирусом SARS-CoV-2 („Службени гласник РС”, број 40/21) чиме је одобрено додатних 500 милиона евра помоћи. У децембру 2021. године донет је Закон о измени и допуни Закона о утврђивању друге гарантне шеме као мера додатне подршке привреди услед продуженог негативног утицаја пандемије болести COVID-19 изазване вирусом SARS-CоV-2 („Службени гласник РС”, број 129/21), којим је предвиђен изузетак да кориснику кредита који спада у предузетнике, микро, мала и средња предузећа која послују у секторима путничког транспорта, угоститељства, туристичких агенција и хотелијерства у градовима, може бити одобрен кредит обезбеђен гаранцијом, у складу са овим законом, и када је укупан износ кредита који је одобрен на основу Закона о утврђивању прве гарантне шеме и кредита одобреног на основу овог закона већи од прописаних прагова и ако су испуњени услови да је корисник превремено и у целости измирио обавезе по кредиту обезбеђеном гаранцијом у складу са Законом о утврђивању прве гарантне шеме, као и да је максимални износ кредита обезбеђеног гаранцијом износ који је једнак мањем од два износа утврђених овим законом.</w:t>
      </w:r>
    </w:p>
    <w:p w14:paraId="1A99DC1D"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Услед смањеног одобравања кредита у оквиру друге гарантне шеме, као и евидентно продуженог негативног утицаја пандемије COVID-19, те да је, услед ратних дешавања у Украјини, дошло до </w:t>
      </w:r>
      <w:r w:rsidRPr="00671E8F">
        <w:rPr>
          <w:rFonts w:ascii="Calibri" w:eastAsia="MS PGothic" w:hAnsi="Calibri" w:cs="Calibri"/>
          <w:color w:val="44546A"/>
          <w:szCs w:val="20"/>
          <w:lang w:eastAsia="ja-JP"/>
        </w:rPr>
        <w:lastRenderedPageBreak/>
        <w:t>промене околности које се нису могле предвидети избијањем пандемије COVID-19, а које паралелно негативно утичу на привредну активност, предвиђена је могућност рефинансирања кредита из прве гаранте шеме кредитима из друге гарантне шеме, привредним субјектима код којих је дошло до смањења или обуставе пословних активности везаних за извоз и увоз роба и услуга на тржишта Украјине, Русије или Белорусије. Рок за пуштање средстава у оквиру друге гарантне шеме истекао је 31. јула 2022. године, а евентуално продужавање прописаних законских рокова условљено је покретањем поступка измене Закона о утврђивању друге гарантне шеме као мера додатне подршке привреди услед продуженог негативног утицаја пандемије болести COVID-19. У оквиру друге гарантне шеме банке су пласирале клијентима до краја јула 2022. године ЕУР 52,4 милиона.</w:t>
      </w:r>
    </w:p>
    <w:p w14:paraId="1B9E10E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У складу са изнетим, пројекције фискалних бруто одлива буџета Републике Србије, а на основу модела развијеног у сарадњи са ММФ-ом, по основу предметне националне Гарантне шеме износе 14 милион евра за 2024. годину, 3 милиона евра за 2025. годину. Пројекција фискалног бруто одлива буџета Републике Србије по основу друге Гарантне шеме износи 1,8 милиона евра за 2024. годину, 1,4 милиона евра за 2025. годину и 1 милион евра за 2026. годину. По основу обе гарантне шеме реализовано је 2,54 милијарде евра кредита, док је на име активираних гаранција на дан 30. септембар 2024. године исплаћено 66,92 милиона евра. На исти пресечни датум на име протестованих гаранција, по обе гарантне шеме, наплаћено је ЕУР 5,96 милиона.</w:t>
      </w:r>
    </w:p>
    <w:p w14:paraId="19FAB1D4"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Што се тиче других финансијских институција, Република Србија има директан удео у капиталу Компаније Дунав осигурање а.д.о. Београд (у даљем тексту: Дунав осигурање) и Дунав Ре а.д.о. Београд (у даљем тексту. Дунав Ре, као и у Националној корпорацији за осигурање стамбених кредита (у даљем тексту: Корпорација).</w:t>
      </w:r>
    </w:p>
    <w:p w14:paraId="4184D1EE"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Успешним и ефикасним спровођењем одредаба закона који је усвојен крајем априла 2021. године – Закона о измени и допунама Закона о осигурању („Службени гласник РС”, број 44/21), а који је био основ за промену власничких права на </w:t>
      </w:r>
      <w:r w:rsidRPr="00671E8F">
        <w:rPr>
          <w:rFonts w:ascii="Calibri" w:eastAsia="MS PGothic" w:hAnsi="Calibri" w:cs="Calibri"/>
          <w:color w:val="44546A"/>
          <w:szCs w:val="20"/>
          <w:lang w:eastAsia="ja-JP"/>
        </w:rPr>
        <w:t>друштвеном капиталу у друштвима за осигурање, директно учешће Републике Србије у капиталу Дунав је порасло на 76,70%. Такође, како је и у укупном капиталу Дунав Ре постојало мање учешће друштвеног капитала, након промене власничких права у складу са наведеним законом Република Србија је стекла директно учешће од око 4,76% у Дунав Ре.</w:t>
      </w:r>
    </w:p>
    <w:p w14:paraId="1F766EFB"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Иначе, до краја 2014. године учешће друштвеног капитала у укупном капиталу Дунав осигурања је износило 94,61%, што је имало неповољан утицај на пословање Дунав осигурања (пре свега кроз компликовану управљачку структуру), на шта су указивали и ревизорски извештаји за 2012. и 2013. годину у којима је изражено мишљење ревизора са резервом. Имајући у виду значај Дунав осигурања на тржишту осигурања (највећа осигуравајућа компанија), Република Србија је у децембру 2014. године извршила докапитализацију Дунав осигурања са 4,8 милијарди динара, чиме је учешће друштвеног капитала сведено на 51,86%. Последњих година пословање Дунав осигурања је стабилно, уз константно побољшање већине показатеља. Приметан је тренд раста добити из године у годину (и редовна исплата дивиденди). Дунав осигурање није имало негативних последица у пословању (гледајући кроз најзначајније показатеље) због болести COVID-19. Као највећи изазов у предстојећем периоду истиче се усклађивање (организационо, управљачки, капитално итд.) са новим регулаторним стандардом Солвентност 2 које очекује све учеснике на тржишту осигурања у Републици Србији.</w:t>
      </w:r>
    </w:p>
    <w:p w14:paraId="1D8C4CA8"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Законом о Националној корпорацији за осигурање стамбених кредита („Службени гласник РС”, број 55/04) основана је Корпорација, као правно лице специјализовано за осигурање потраживања по основу стамбених кредита које одобравају банке и друге финансијске организације, која су обезбеђена хипотеком, као и за обављање других послова у вези са тим осигурањем. Оснивач Корпорације је Република Србија која има директно учешће од 100% у капиталу Корпорације (законом је остављена могућност да се Корпорација организује као акционарско друштво, с тим да вредност државног капитала у укупном </w:t>
      </w:r>
      <w:r w:rsidRPr="00671E8F">
        <w:rPr>
          <w:rFonts w:ascii="Calibri" w:eastAsia="MS PGothic" w:hAnsi="Calibri" w:cs="Calibri"/>
          <w:color w:val="44546A"/>
          <w:szCs w:val="20"/>
          <w:lang w:eastAsia="ja-JP"/>
        </w:rPr>
        <w:lastRenderedPageBreak/>
        <w:t>капиталу Корпорације не може да буде мање од 51%). Законом је, такође, утврђено да укупан номинални износ обавеза Корпорације које произилазе из обављања делатности Корпорације може бити највише до 16 пута већи од износа капитала Корпорације, али и да Влада може да, на образложен захтев Корпорације, да сагласност за повећање обима обавеза Корпорације које произилазе из обављања делатности Корпорације и за преко 16 пута од капитала Корпорације, за одређени временски период.</w:t>
      </w:r>
    </w:p>
    <w:p w14:paraId="2A6588B9"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Од самог оснивања, Корпорација је имала значајан утицај у креирању тржишних услова и стандарда кредитирања, што је било нужно да би се хипотекарно тржиште уопште развило. То је довело до смањења ризика и обезбеђења интереса, како кредитора, тако и зајмотражилаца, кроз снижавање каматних стопа, што је довело да раста тражње за стамбеним непокретностима (са позитивним ефектом на грађевинску индустрију) и тиме допринело повећању броја станова купљених на кредит.</w:t>
      </w:r>
    </w:p>
    <w:p w14:paraId="143AE3D2"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 xml:space="preserve">У протеклом периоду, није вршена докапитализација Корпорације из средстава буџета Републике Србије, већ је повећање капитала вршено из остварене добити Корпорације. Међутим, како повећање капитала није пратило раст осигураних кредита, Влада је, у складу са законом, сваке године давала сагласност за повећање обима обавеза Корпорације које произилазе из обављања делатности Корпорације и за преко 16 пута од капитала Корпорације. Ово повећање се из године у годину смањивало (нпр. </w:t>
      </w:r>
      <w:r w:rsidRPr="00671E8F">
        <w:rPr>
          <w:rFonts w:ascii="Calibri" w:eastAsia="MS PGothic" w:hAnsi="Calibri" w:cs="Calibri"/>
          <w:color w:val="44546A"/>
          <w:szCs w:val="20"/>
          <w:lang w:eastAsia="ja-JP"/>
        </w:rPr>
        <w:t>за 2015. годину обим обавеза Корпорације које произилазе из обављања делатности Корпорације је могао да буде до 30 пута већи од капитала Корпорације, док је за 2023. годину могао да износи до 18 пута више од капитала Корпорације) да би у 2024. години укупан номинални износ обавеза Корпорације које произилазе из обављања делатности Корпорације, после дужег временског периода, био у законским оквирима (до 16 пута већи од износа капитала Корпорације), тако да није било потребе да Влада даје предметну сагласност.</w:t>
      </w:r>
    </w:p>
    <w:p w14:paraId="3242B520" w14:textId="77777777" w:rsidR="00473C3B" w:rsidRPr="00671E8F" w:rsidRDefault="00473C3B" w:rsidP="00473C3B">
      <w:pPr>
        <w:rPr>
          <w:rFonts w:ascii="Calibri" w:eastAsia="MS PGothic" w:hAnsi="Calibri" w:cs="Calibri"/>
          <w:color w:val="44546A"/>
          <w:szCs w:val="20"/>
          <w:lang w:eastAsia="ja-JP"/>
        </w:rPr>
      </w:pPr>
      <w:r w:rsidRPr="00671E8F">
        <w:rPr>
          <w:rFonts w:ascii="Calibri" w:eastAsia="MS PGothic" w:hAnsi="Calibri" w:cs="Calibri"/>
          <w:color w:val="44546A"/>
          <w:szCs w:val="20"/>
          <w:lang w:eastAsia="ja-JP"/>
        </w:rPr>
        <w:t>Као потенцијални ризик се појављује велики број тужби клијената против банака у вези са плаћањем премије осигурања Корпорацији. Иако Корпорација није тужена страна, нити Република Србија гарантује за обавезе Корпорације (Корпорација гарантује за своје обавезе до висине свог капитала), потенцијално негативан исход ових спорова може да утиче на евентуалну потребу одређених издатака из буџета. Такође, услед промењених тржишних услова дошло је до спорова са одређеним бројем банака (отказ уговора са Корпорацијом од стране банака), што доводи до значајног смањења осигураних кредита, а тиме и до смањења прихода Корпорације. Имајући у виду дугорочност потенцијалних обавеза које Корпорација преузима (осигурање потраживања по основу стамбених кредита који се одобравају на период и од 30 година), наставак тренда значајног смањења осигураних кредита исто може да утиче на евентуалну потребу одређених издатака из буџета у будућности.</w:t>
      </w:r>
    </w:p>
    <w:p w14:paraId="442B4B31" w14:textId="77777777" w:rsidR="00473C3B" w:rsidRPr="00671E8F" w:rsidRDefault="00473C3B" w:rsidP="00473C3B">
      <w:pPr>
        <w:jc w:val="left"/>
        <w:rPr>
          <w:rFonts w:cstheme="minorHAnsi"/>
          <w:b/>
          <w:color w:val="2F5496" w:themeColor="accent1" w:themeShade="BF"/>
          <w:sz w:val="22"/>
        </w:rPr>
        <w:sectPr w:rsidR="00473C3B" w:rsidRPr="00671E8F" w:rsidSect="00473C3B">
          <w:type w:val="continuous"/>
          <w:pgSz w:w="12240" w:h="15840"/>
          <w:pgMar w:top="1440" w:right="1440" w:bottom="1350" w:left="1440" w:header="720" w:footer="720" w:gutter="0"/>
          <w:cols w:num="2" w:space="720"/>
          <w:docGrid w:linePitch="360"/>
        </w:sectPr>
      </w:pPr>
    </w:p>
    <w:p w14:paraId="4BF063FA"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Судски поступци</w:t>
      </w:r>
    </w:p>
    <w:p w14:paraId="60384B1B" w14:textId="77777777" w:rsidR="00473C3B" w:rsidRPr="00671E8F" w:rsidRDefault="00473C3B" w:rsidP="00473C3B">
      <w:pPr>
        <w:rPr>
          <w:rFonts w:eastAsia="MS PGothic" w:cstheme="minorHAnsi"/>
          <w:szCs w:val="20"/>
          <w:lang w:eastAsia="ja-JP"/>
        </w:rPr>
        <w:sectPr w:rsidR="00473C3B" w:rsidRPr="00671E8F" w:rsidSect="00473C3B">
          <w:type w:val="continuous"/>
          <w:pgSz w:w="12240" w:h="15840"/>
          <w:pgMar w:top="1440" w:right="1440" w:bottom="1350" w:left="1440" w:header="720" w:footer="720" w:gutter="0"/>
          <w:cols w:space="720"/>
          <w:docGrid w:linePitch="360"/>
        </w:sectPr>
      </w:pPr>
    </w:p>
    <w:p w14:paraId="6AA62A1D"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Услед бројних судских поступака, пред домаћим и међународним судовима, где је терет плаћања на Републици Србији као туженој страни, идентификовани су различити фискални ризици који постоје услед неизвесности у вези са исходом ових процеса.</w:t>
      </w:r>
    </w:p>
    <w:p w14:paraId="03AA9C8A"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Република Србија је по основу новчаних казни и пенала по решењу судова (економска класификација 483), као и накнаде штете за повреде или штету нанету од стране државних органа (економска класификација 485)</w:t>
      </w:r>
      <w:r w:rsidRPr="00671E8F">
        <w:rPr>
          <w:rFonts w:eastAsia="MS PGothic" w:cstheme="minorHAnsi"/>
          <w:color w:val="1F4E79" w:themeColor="accent5" w:themeShade="80"/>
          <w:szCs w:val="20"/>
          <w:lang w:eastAsia="ja-JP"/>
        </w:rPr>
        <w:t xml:space="preserve">. </w:t>
      </w:r>
      <w:r w:rsidRPr="00671E8F">
        <w:rPr>
          <w:rFonts w:eastAsia="MS PGothic" w:cstheme="minorHAnsi"/>
          <w:szCs w:val="20"/>
          <w:lang w:eastAsia="ja-JP"/>
        </w:rPr>
        <w:t xml:space="preserve">У 2021. години је из буџета Републике Србије по том </w:t>
      </w:r>
      <w:r w:rsidRPr="00671E8F">
        <w:rPr>
          <w:rFonts w:eastAsia="MS PGothic" w:cstheme="minorHAnsi"/>
          <w:szCs w:val="20"/>
          <w:lang w:eastAsia="ja-JP"/>
        </w:rPr>
        <w:t>основу плаћено 16,9 млрд динара, у 2022. години је плаћено 26,8 млрд динара, док је извршење у 2023. години износило 25,4 млрд динара.</w:t>
      </w:r>
    </w:p>
    <w:p w14:paraId="4344133A" w14:textId="77777777" w:rsidR="00473C3B" w:rsidRPr="00671E8F" w:rsidRDefault="00473C3B" w:rsidP="00473C3B">
      <w:pPr>
        <w:spacing w:after="120"/>
        <w:jc w:val="left"/>
        <w:rPr>
          <w:rFonts w:eastAsia="MS PGothic" w:cstheme="minorHAnsi"/>
          <w:sz w:val="16"/>
          <w:szCs w:val="18"/>
          <w:lang w:eastAsia="ja-JP"/>
        </w:rPr>
      </w:pPr>
      <w:r w:rsidRPr="00671E8F">
        <w:rPr>
          <w:rFonts w:eastAsia="MS PGothic" w:cstheme="minorHAnsi"/>
          <w:b/>
          <w:noProof/>
          <w:color w:val="002060"/>
          <w:szCs w:val="20"/>
          <w:lang w:val="en-US"/>
        </w:rPr>
        <w:lastRenderedPageBreak/>
        <w:drawing>
          <wp:inline distT="0" distB="0" distL="0" distR="0" wp14:anchorId="0A610D9E" wp14:editId="1BE9754A">
            <wp:extent cx="2647950" cy="2182932"/>
            <wp:effectExtent l="0" t="0" r="0" b="8255"/>
            <wp:docPr id="332543246"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p w14:paraId="25A281A5" w14:textId="77777777" w:rsidR="00473C3B" w:rsidRPr="00671E8F" w:rsidRDefault="00473C3B" w:rsidP="00473C3B">
      <w:pPr>
        <w:spacing w:after="120"/>
        <w:jc w:val="left"/>
        <w:rPr>
          <w:rFonts w:eastAsia="MS PGothic" w:cstheme="minorHAnsi"/>
          <w:b/>
          <w:color w:val="002060"/>
          <w:szCs w:val="20"/>
          <w:lang w:eastAsia="ja-JP"/>
        </w:rPr>
      </w:pPr>
      <w:r w:rsidRPr="00671E8F">
        <w:rPr>
          <w:rFonts w:eastAsia="MS PGothic" w:cstheme="minorHAnsi"/>
          <w:sz w:val="16"/>
          <w:szCs w:val="18"/>
          <w:lang w:eastAsia="ja-JP"/>
        </w:rPr>
        <w:t>Извор: Министарство финансија</w:t>
      </w:r>
    </w:p>
    <w:p w14:paraId="66546E28" w14:textId="77777777" w:rsidR="00473C3B" w:rsidRPr="00671E8F" w:rsidRDefault="00473C3B" w:rsidP="00473C3B">
      <w:pPr>
        <w:rPr>
          <w:rFonts w:eastAsia="MS PGothic" w:cstheme="minorHAnsi"/>
          <w:color w:val="1F4E79" w:themeColor="accent5" w:themeShade="80"/>
          <w:szCs w:val="20"/>
          <w:lang w:eastAsia="ja-JP"/>
        </w:rPr>
      </w:pPr>
      <w:r w:rsidRPr="00671E8F">
        <w:rPr>
          <w:rFonts w:ascii="Calibri" w:eastAsia="MS PGothic" w:hAnsi="Calibri" w:cs="Calibri"/>
          <w:color w:val="44546A"/>
          <w:szCs w:val="20"/>
          <w:lang w:eastAsia="ja-JP"/>
        </w:rPr>
        <w:t>У 2024. години су по овом основу у републичком буџету иницијално планирана буџетска средства у износу од 32,8 млрд динара.</w:t>
      </w:r>
      <w:r w:rsidRPr="00671E8F">
        <w:rPr>
          <w:rFonts w:eastAsia="MS PGothic" w:cstheme="minorHAnsi"/>
          <w:color w:val="FF0000"/>
          <w:szCs w:val="20"/>
          <w:lang w:eastAsia="ja-JP"/>
        </w:rPr>
        <w:t xml:space="preserve"> </w:t>
      </w:r>
    </w:p>
    <w:p w14:paraId="5012DEDB"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Према подацима Државног правобранилаштва, 31.12.2020. године било је укупно 324.253 активних судских спорова. На исти дан 2021. године било је 267.502 активних предмета, а 31.12.2022. године број предмета у раду био је 306.727. Дана 31.12.2023. године број судских поступака који се воде пред Државним правобранилаштвом износио је 320.860, а 30.09.2024. године број активних предмета износи 304.221. Тренд броја судских поступака – активних предмета у раду, у периоду од 2018. – 30.септембра 2024. године се може представити графичким приказом:</w:t>
      </w:r>
    </w:p>
    <w:p w14:paraId="7EFC47BA" w14:textId="77777777" w:rsidR="00473C3B" w:rsidRPr="00671E8F" w:rsidRDefault="00473C3B" w:rsidP="00473C3B">
      <w:pPr>
        <w:spacing w:after="40"/>
        <w:jc w:val="center"/>
        <w:rPr>
          <w:rFonts w:eastAsia="MS PGothic" w:cstheme="minorHAnsi"/>
          <w:b/>
          <w:color w:val="002060"/>
          <w:szCs w:val="20"/>
          <w:lang w:eastAsia="ja-JP"/>
        </w:rPr>
      </w:pPr>
      <w:r w:rsidRPr="00671E8F">
        <w:rPr>
          <w:rFonts w:eastAsia="MS PGothic" w:cstheme="minorHAnsi"/>
          <w:b/>
          <w:color w:val="002060"/>
          <w:szCs w:val="20"/>
          <w:lang w:eastAsia="ja-JP"/>
        </w:rPr>
        <w:t>Укупан број активних спорова у Државном правобранилаштву Републике Србије</w:t>
      </w:r>
    </w:p>
    <w:p w14:paraId="2F58B869" w14:textId="77777777" w:rsidR="00473C3B" w:rsidRPr="00671E8F" w:rsidRDefault="00473C3B" w:rsidP="00473C3B">
      <w:pPr>
        <w:spacing w:after="40"/>
        <w:jc w:val="center"/>
        <w:rPr>
          <w:rFonts w:eastAsia="MS PGothic" w:cstheme="minorHAnsi"/>
          <w:b/>
          <w:color w:val="002060"/>
          <w:szCs w:val="20"/>
          <w:lang w:eastAsia="ja-JP"/>
        </w:rPr>
      </w:pPr>
      <w:r w:rsidRPr="00671E8F">
        <w:rPr>
          <w:noProof/>
          <w:lang w:val="en-US"/>
        </w:rPr>
        <w:drawing>
          <wp:inline distT="0" distB="0" distL="0" distR="0" wp14:anchorId="5E462E7A" wp14:editId="4571D9A8">
            <wp:extent cx="2862470" cy="2003729"/>
            <wp:effectExtent l="0" t="0" r="14605" b="15875"/>
            <wp:docPr id="753313173" name="Chart 1">
              <a:extLst xmlns:a="http://schemas.openxmlformats.org/drawingml/2006/main">
                <a:ext uri="{FF2B5EF4-FFF2-40B4-BE49-F238E27FC236}">
                  <a16:creationId xmlns:a16="http://schemas.microsoft.com/office/drawing/2014/main" id="{00000000-0008-0000-01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p w14:paraId="79A76823" w14:textId="77777777" w:rsidR="00473C3B" w:rsidRPr="00671E8F" w:rsidRDefault="00473C3B" w:rsidP="00473C3B">
      <w:pPr>
        <w:spacing w:after="0"/>
        <w:jc w:val="left"/>
        <w:rPr>
          <w:rFonts w:ascii="Calibri" w:eastAsia="MS PGothic" w:hAnsi="Calibri" w:cs="Calibri"/>
          <w:sz w:val="16"/>
          <w:szCs w:val="18"/>
          <w:lang w:eastAsia="ja-JP"/>
        </w:rPr>
      </w:pPr>
      <w:r w:rsidRPr="00671E8F">
        <w:rPr>
          <w:rFonts w:ascii="Calibri" w:eastAsia="MS PGothic" w:hAnsi="Calibri" w:cs="Calibri"/>
          <w:sz w:val="16"/>
          <w:szCs w:val="18"/>
          <w:lang w:eastAsia="ja-JP"/>
        </w:rPr>
        <w:t>Извор: Државно правобранилаштво Републике Србије</w:t>
      </w:r>
    </w:p>
    <w:p w14:paraId="2652F84F" w14:textId="77777777" w:rsidR="00473C3B" w:rsidRPr="00671E8F" w:rsidRDefault="00473C3B" w:rsidP="00473C3B">
      <w:pPr>
        <w:rPr>
          <w:rFonts w:eastAsia="MS PGothic" w:cstheme="minorHAnsi"/>
          <w:szCs w:val="20"/>
          <w:lang w:eastAsia="ja-JP"/>
        </w:rPr>
      </w:pPr>
    </w:p>
    <w:p w14:paraId="580CB04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Број примљених предмета у 2019. години био је 165.061, док је овај број у 2023. години износио 80.712, а у периоду јануар-септембар 2024. године примљено је 82.493 нових предмета. Са друге стране, број архивираних предмета је у 2019. години износио 165.440, док је у 2023. години број архивираних предмета износио 69.487 предмета. У периоду јануар – септембар 2024. године решено је 98.524 предмета. </w:t>
      </w:r>
    </w:p>
    <w:p w14:paraId="79D2D1B4"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Број нових предмета у периоду од 2018. до 30.септембра 2024. године је у опадању и са нивоа од 35,8% у 2018. години, учешће нових предмета у укупном броју предмета на дан 30.септембар 2024. године опада на 20,5%. Када су архивирани - решени предмети у питању, учешће ових предмета у укупном броју предмета варира у наведеном периоду и износи просечно годишње 27,7%. У периоду од 01.01. – 30.09. 2024. године учешће решених предмета у укупном броју предмета износи 24,5%.  </w:t>
      </w:r>
    </w:p>
    <w:p w14:paraId="27C3DEA7"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Наведена кретања се могу представити следећим графичким приказом:</w:t>
      </w:r>
    </w:p>
    <w:p w14:paraId="0A25D9AE" w14:textId="77777777" w:rsidR="00473C3B" w:rsidRPr="00671E8F" w:rsidRDefault="00473C3B" w:rsidP="00473C3B">
      <w:pPr>
        <w:spacing w:after="40"/>
        <w:jc w:val="center"/>
        <w:rPr>
          <w:rFonts w:eastAsia="MS PGothic" w:cstheme="minorHAnsi"/>
          <w:b/>
          <w:color w:val="002060"/>
          <w:szCs w:val="20"/>
          <w:lang w:eastAsia="ja-JP"/>
        </w:rPr>
      </w:pPr>
      <w:r w:rsidRPr="00671E8F">
        <w:rPr>
          <w:rFonts w:eastAsia="MS PGothic" w:cstheme="minorHAnsi"/>
          <w:b/>
          <w:color w:val="002060"/>
          <w:szCs w:val="20"/>
          <w:lang w:eastAsia="ja-JP"/>
        </w:rPr>
        <w:t>Динамика судских спорова у Државном правобранилаштву Републике Србије у периоду 2018 – 30. сеп. 2024. године</w:t>
      </w:r>
    </w:p>
    <w:p w14:paraId="691CB0F7" w14:textId="53535EF8" w:rsidR="00473C3B" w:rsidRPr="00671E8F" w:rsidRDefault="00473C3B" w:rsidP="00473C3B">
      <w:pPr>
        <w:spacing w:after="0" w:line="240" w:lineRule="auto"/>
        <w:rPr>
          <w:rFonts w:eastAsia="MS PGothic" w:cstheme="minorHAnsi"/>
          <w:noProof/>
          <w:szCs w:val="20"/>
        </w:rPr>
      </w:pPr>
      <w:r w:rsidRPr="00671E8F">
        <w:rPr>
          <w:rFonts w:eastAsia="MS PGothic" w:cstheme="minorHAnsi"/>
          <w:noProof/>
          <w:szCs w:val="20"/>
          <w:lang w:val="en-US"/>
        </w:rPr>
        <w:drawing>
          <wp:inline distT="0" distB="0" distL="0" distR="0" wp14:anchorId="3BB7EBFB" wp14:editId="19E4CFE2">
            <wp:extent cx="2743200" cy="1771650"/>
            <wp:effectExtent l="0" t="0" r="0" b="0"/>
            <wp:docPr id="1306749656" name="Picture 1" descr="A graph with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749656" name="Picture 1" descr="A graph with different colored bars&#10;&#10;Description automatically generated"/>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743200" cy="1771650"/>
                    </a:xfrm>
                    <a:prstGeom prst="rect">
                      <a:avLst/>
                    </a:prstGeom>
                    <a:noFill/>
                    <a:ln>
                      <a:noFill/>
                    </a:ln>
                  </pic:spPr>
                </pic:pic>
              </a:graphicData>
            </a:graphic>
          </wp:inline>
        </w:drawing>
      </w:r>
    </w:p>
    <w:p w14:paraId="0CBDDBE2" w14:textId="77777777" w:rsidR="00473C3B" w:rsidRPr="00671E8F" w:rsidRDefault="00473C3B" w:rsidP="00473C3B">
      <w:pPr>
        <w:spacing w:after="0" w:line="240" w:lineRule="auto"/>
        <w:rPr>
          <w:rFonts w:eastAsia="MS PGothic" w:cstheme="minorHAnsi"/>
          <w:szCs w:val="20"/>
          <w:lang w:eastAsia="ja-JP"/>
        </w:rPr>
      </w:pPr>
      <w:r w:rsidRPr="00671E8F">
        <w:rPr>
          <w:rFonts w:ascii="Calibri" w:eastAsia="MS PGothic" w:hAnsi="Calibri" w:cs="Calibri"/>
          <w:sz w:val="16"/>
          <w:szCs w:val="18"/>
          <w:lang w:eastAsia="ja-JP"/>
        </w:rPr>
        <w:t>Извор: Државно правобранилаштво Републике Србије</w:t>
      </w:r>
    </w:p>
    <w:p w14:paraId="6AA93302" w14:textId="77777777" w:rsidR="00473C3B" w:rsidRPr="00671E8F" w:rsidRDefault="00473C3B" w:rsidP="00473C3B">
      <w:pPr>
        <w:rPr>
          <w:rFonts w:eastAsia="MS PGothic" w:cstheme="minorHAnsi"/>
          <w:szCs w:val="20"/>
          <w:lang w:eastAsia="ja-JP"/>
        </w:rPr>
      </w:pPr>
    </w:p>
    <w:p w14:paraId="7816BF9F"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У циљу смањења трошкова у тзв. „буџетским” поступцима, у току 2019. године дошло је до измена Закона о извршењу и обезбеђењу („Службени гласник РС”, бр. 106/15, 106/15 – аутентично тумачење, 113/17 – аутентично тумачење и 54/19), који је ступио на снагу 1. јануара 2020. године. Чланом 300. наведеног закона, између осталог је прописано да је извршни поверилац дужан да о намери подношења </w:t>
      </w:r>
      <w:r w:rsidRPr="00671E8F">
        <w:rPr>
          <w:rFonts w:eastAsia="MS PGothic" w:cstheme="minorHAnsi"/>
          <w:szCs w:val="20"/>
          <w:lang w:eastAsia="ja-JP"/>
        </w:rPr>
        <w:lastRenderedPageBreak/>
        <w:t>предлога за извршење писменим путем обавести министарство надлежно за финансије најкасније 30 дана пре подношења предлога за извршење, уколико се као извршни дужник појављује Република Србија, аутономна покрајина, јединица локалне самоуправе, директни или индиректни корисник буџетских средстава.</w:t>
      </w:r>
    </w:p>
    <w:p w14:paraId="1BC2262F"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Намера је била да се наведеном мером подстакне добровољно плаћање обавезе од стране надлежног органа, како би се избегли трошкови принудне наплате. Министарству финансија – Управи за трезор је у 2020. години поднето 51.757 обавештења о намери подношења предлога за извршење, у 2021. години је поднето 54.270 ових обавештења, у 2022. години 49.080, а у 2023. години, 48.327 ових обавештења. До краја трећег квартала 2024. године поднето је укупно 31.369 обавештења о намери подношења предлога за извршење. </w:t>
      </w:r>
    </w:p>
    <w:p w14:paraId="023F907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складу са постојећим трендом кретања извршења републичког буџета у периоду од 2018. до 2023. године можемо очекивати да ће се у наредне 3 године расходи републичког буџета по основу судских поступака, базирано на пројекцијама по изведеној константној стопи раста у наведеном периоду, кретати на нивоу од 28,0 до 33,9 млрд динара, односно оквирно 30,0 млрд динара просечно годишње, са могућом тенденцијом благог раста.</w:t>
      </w:r>
    </w:p>
    <w:p w14:paraId="5B95482B"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2024. години и даље се ради на унапређењу система за праћење фискалних ризика по основу судских поступака са циљем идентификације и оцене ризика. Посебна пажња се придаје расположивим базама података и унапређивању квалитета и доступности података који се у њима налазе, а све у циљу спровођења анализе фискалних ризика и квантификације ових расхода у наредном периоду.</w:t>
      </w:r>
    </w:p>
    <w:p w14:paraId="08FE82E7" w14:textId="77777777" w:rsidR="00473C3B" w:rsidRPr="00671E8F" w:rsidRDefault="00473C3B" w:rsidP="00473C3B">
      <w:pPr>
        <w:jc w:val="left"/>
        <w:rPr>
          <w:rFonts w:cstheme="minorHAnsi"/>
          <w:b/>
          <w:color w:val="2F5496" w:themeColor="accent1" w:themeShade="BF"/>
          <w:sz w:val="22"/>
        </w:rPr>
      </w:pPr>
      <w:r w:rsidRPr="00671E8F">
        <w:rPr>
          <w:rFonts w:cstheme="minorHAnsi"/>
          <w:b/>
          <w:color w:val="2F5496" w:themeColor="accent1" w:themeShade="BF"/>
          <w:sz w:val="22"/>
        </w:rPr>
        <w:t>Елементарне непогоде</w:t>
      </w:r>
    </w:p>
    <w:p w14:paraId="26F083E7"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Стално присутан ризик од елементарних непогода и природних катастрофа налаже улагања у програме превенције, како би се умањили потенцијални фискални трошкови за отклањање штета насталих по том основу. Превенција обухвата укључивање ширег спектра финансијских инструмената, као што су резервни фондови, </w:t>
      </w:r>
      <w:r w:rsidRPr="00671E8F">
        <w:rPr>
          <w:rFonts w:eastAsia="MS PGothic" w:cstheme="minorHAnsi"/>
          <w:szCs w:val="20"/>
          <w:lang w:eastAsia="ja-JP"/>
        </w:rPr>
        <w:t>потенцијалне кредитне линије и осигурање имовине. Република Србија се у 2014. години суочила са катастрофалним последицама поплава, чија је укупна штета (са губицима) процењена на више од 1,7 млрд евра. Влада је у децембру 2014. године усвојила Национални програм за управљање ризицима од елементарних непогода, који се спроводи у сарадњи са Светском банком, Уједињеним нацијама и Европском унијом. У складу са наведеним програмом, новембра 2018. године донет је Закон о смањењу ризика од катастрофа и управљању ванредним ситуацијама („Службени гласник РС”, број 87/18). У току 2022. године посебна радна група отпочела је процес ревидирања Стратегије смањења ризика од катастрофа и управљања ванредним ситуацијама у Републици Србији (2023-2030), са циљем израде новог Акционог плана за период 2023–2030. године</w:t>
      </w:r>
    </w:p>
    <w:p w14:paraId="7401004B" w14:textId="5F66A04A" w:rsidR="00473C3B" w:rsidRPr="00671E8F" w:rsidRDefault="00473C3B" w:rsidP="00473C3B">
      <w:pPr>
        <w:rPr>
          <w:color w:val="1F4E79" w:themeColor="accent5" w:themeShade="80"/>
          <w:lang w:eastAsia="ja-JP"/>
        </w:rPr>
      </w:pPr>
      <w:r w:rsidRPr="00671E8F">
        <w:rPr>
          <w:rFonts w:eastAsia="MS PGothic" w:cstheme="minorHAnsi"/>
          <w:szCs w:val="20"/>
          <w:lang w:eastAsia="ja-JP"/>
        </w:rPr>
        <w:t>Република Србија је у 2018. години платила из буџета 2,0 млрд динара, а у 2019. години 4,2 млрд динара на име накнаде штете за повреде или штете настале услед елементарних непогода и других природних узрока. У току 2020. године за ову намену, по економској класификацији 484 (без интервенцијских средстава за ублажавање последица болести COVID-19) издвојено је 2,9 млрд динара, док је за 2021. годину износ потрошен на ове намене смањен и износио је 520,3 милиона динара. Издвојена средства за ову намену током 2022. године износила су 263,9 милиона динара. У току 2023. године дошло је до повећања расхода републичког буџета по овом основу на 824,8 милиона динара, због појаве екстремних временских прилика и поплава у мају и јуну месецу 2023. године, као и олујног ветра, града и кише који је проузроковао неочекиване штете у јулу 2023. године. У 2024. години, иницијално планирана средства по овом основу износила су 117,3 милиона динара, увећана су кроз апропријације на 560,4 милиона динара, а извршење буџета закључно са 30. септембром 2024. године износи 537,4 милиона динара.</w:t>
      </w:r>
      <w:r w:rsidRPr="00671E8F">
        <w:rPr>
          <w:color w:val="1F4E79" w:themeColor="accent5" w:themeShade="80"/>
          <w:lang w:eastAsia="ja-JP"/>
        </w:rPr>
        <w:t xml:space="preserve"> </w:t>
      </w:r>
    </w:p>
    <w:p w14:paraId="7F2024A6" w14:textId="17A97785" w:rsidR="004B38B1" w:rsidRPr="00671E8F" w:rsidRDefault="004B38B1" w:rsidP="00473C3B">
      <w:pPr>
        <w:rPr>
          <w:color w:val="1F4E79" w:themeColor="accent5" w:themeShade="80"/>
          <w:lang w:eastAsia="ja-JP"/>
        </w:rPr>
      </w:pPr>
    </w:p>
    <w:p w14:paraId="5B5AD6CC" w14:textId="77777777" w:rsidR="004B38B1" w:rsidRPr="00671E8F" w:rsidRDefault="004B38B1" w:rsidP="00473C3B">
      <w:pPr>
        <w:rPr>
          <w:color w:val="1F4E79" w:themeColor="accent5" w:themeShade="80"/>
          <w:lang w:eastAsia="ja-JP"/>
        </w:rPr>
      </w:pPr>
    </w:p>
    <w:p w14:paraId="6575331B" w14:textId="77777777" w:rsidR="00473C3B" w:rsidRPr="00671E8F" w:rsidRDefault="00473C3B" w:rsidP="00473C3B">
      <w:pPr>
        <w:spacing w:after="40"/>
        <w:jc w:val="center"/>
        <w:rPr>
          <w:rFonts w:eastAsia="MS PGothic" w:cstheme="minorHAnsi"/>
          <w:b/>
          <w:color w:val="002060"/>
          <w:szCs w:val="20"/>
          <w:lang w:eastAsia="ja-JP"/>
        </w:rPr>
      </w:pPr>
      <w:r w:rsidRPr="00671E8F">
        <w:rPr>
          <w:rFonts w:eastAsia="MS PGothic" w:cstheme="minorHAnsi"/>
          <w:b/>
          <w:color w:val="002060"/>
          <w:szCs w:val="20"/>
          <w:lang w:eastAsia="ja-JP"/>
        </w:rPr>
        <w:lastRenderedPageBreak/>
        <w:t>Расходи буџета Републике Србије по основу елементарних непогода и других прир. узрока</w:t>
      </w:r>
    </w:p>
    <w:p w14:paraId="5C36885F" w14:textId="77777777" w:rsidR="00473C3B" w:rsidRPr="00671E8F" w:rsidRDefault="00473C3B" w:rsidP="00473C3B">
      <w:pPr>
        <w:spacing w:after="40"/>
        <w:rPr>
          <w:noProof/>
        </w:rPr>
      </w:pPr>
      <w:r w:rsidRPr="00671E8F">
        <w:rPr>
          <w:noProof/>
          <w:lang w:val="en-US"/>
        </w:rPr>
        <w:drawing>
          <wp:inline distT="0" distB="0" distL="0" distR="0" wp14:anchorId="7A07C074" wp14:editId="166F1A8E">
            <wp:extent cx="2743200" cy="2466340"/>
            <wp:effectExtent l="0" t="0" r="0" b="10160"/>
            <wp:docPr id="638377478" name="Chart 1">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p w14:paraId="331A7E21" w14:textId="77777777" w:rsidR="00473C3B" w:rsidRPr="00671E8F" w:rsidRDefault="00473C3B" w:rsidP="00473C3B">
      <w:pPr>
        <w:spacing w:after="40"/>
        <w:rPr>
          <w:rFonts w:eastAsia="MS PGothic" w:cstheme="minorHAnsi"/>
          <w:b/>
          <w:color w:val="002060"/>
          <w:szCs w:val="20"/>
          <w:lang w:eastAsia="ja-JP"/>
        </w:rPr>
      </w:pPr>
      <w:r w:rsidRPr="00671E8F">
        <w:rPr>
          <w:rFonts w:eastAsia="MS PGothic" w:cstheme="minorHAnsi"/>
          <w:sz w:val="16"/>
          <w:szCs w:val="18"/>
          <w:lang w:eastAsia="ja-JP"/>
        </w:rPr>
        <w:t>Извор: Министарство финансија, Управа за трезор</w:t>
      </w:r>
    </w:p>
    <w:p w14:paraId="1A6574C2" w14:textId="77777777" w:rsidR="00473C3B" w:rsidRPr="00671E8F" w:rsidRDefault="00473C3B" w:rsidP="00473C3B">
      <w:pPr>
        <w:rPr>
          <w:lang w:eastAsia="ja-JP"/>
        </w:rPr>
      </w:pPr>
    </w:p>
    <w:p w14:paraId="413CF5DE"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Све већа учесталост и интензитет елементарних и других непогода као и повећање расхода за санирање последица истих, наглашава потребу за константним опрезом када је ова врста фискалних ризика у питању.</w:t>
      </w:r>
    </w:p>
    <w:p w14:paraId="5AB112C0"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Закључком Владе 05 Број: 40-9575/2021 од 21. октобра 2021. године усвојена је Јединствена методологија за праћење фискалних ризика у Републици Србији која, између осталог, обухвата и Методологију за праћење фискалних ризика који се јављају као последица елементарних непогода.</w:t>
      </w:r>
    </w:p>
    <w:p w14:paraId="56292611"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Модел за праћење фискалних ризика од елементарних непогода даје квантификовану процену негативног ефекта елементарне непогоде на бруто домаћи производ земље, фискални дефицит и последично јавни дуг.  </w:t>
      </w:r>
    </w:p>
    <w:p w14:paraId="03A63D9C"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Елементарне непогоде проузрокују штету на продуктивном капиталу и критичној инфраструктури што последично доводи до контракције друштвеног бруто производа и мањег раста БДП у односу на раст који би иначе био остварен. Овај ефекат је карактеристичан за годину у којој се елементарна непогода дoгодила. Додатно, због умањених јавних прихода и повећаних јавних расхода, шок проузрокован елементарном непогодом утиче и на повећање фискалног дефицита, што у крајњој линији доводи </w:t>
      </w:r>
      <w:r w:rsidRPr="00671E8F">
        <w:rPr>
          <w:rFonts w:eastAsia="MS PGothic" w:cstheme="minorHAnsi"/>
          <w:szCs w:val="20"/>
          <w:lang w:eastAsia="ja-JP"/>
        </w:rPr>
        <w:t>до потребе за додатним финансирањем, односно за последицу има повећање јавног дуга.</w:t>
      </w:r>
    </w:p>
    <w:p w14:paraId="1B963E93"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На крају 2022. године је, у сарадњи са Светском банком, развијен модел за процену фискалних ризика од елементарних непогода. У току 2023. године спроведене су обуке и неопходна ажурирања модела чиме су се стекли услови да се у оквиру Групе за остале фискалне ризике Сектора за праћење фискалних ризика почне са пуном применом наведеног модела. </w:t>
      </w:r>
    </w:p>
    <w:p w14:paraId="6DEB4A04"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Оригинални подаци компаније за моделирање ризика „Applied Research Institute Worldwide Corporation“ - из тзв. „АIR“ модела за Републику Србију су добијени емпиријским путем у току 2019. године, што је веома значајно с обзиром на раширену праксу многих земаља које углавном по аналогији са другим, сличним земљама за које су ови подаци доступни, користе туђе податке. Индексацијом ових вредности за годишњу инфлацију и раст приватних и јавних фиксних</w:t>
      </w:r>
      <w:r w:rsidRPr="00671E8F">
        <w:t xml:space="preserve"> </w:t>
      </w:r>
      <w:r w:rsidRPr="00671E8F">
        <w:rPr>
          <w:rFonts w:eastAsia="MS PGothic" w:cstheme="minorHAnsi"/>
          <w:szCs w:val="20"/>
          <w:lang w:eastAsia="ja-JP"/>
        </w:rPr>
        <w:t>фондова у периоду од 2019. до 2024. године добијене су нове ажуриране вредности које се користе за процену потенцијалне штете проузроковане поплавама и земљотресима различитог интензитета.</w:t>
      </w:r>
    </w:p>
    <w:p w14:paraId="768379A1" w14:textId="6F91401D"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У складу са наведеним, процене изведене на основу података компаније за моделирање ризика „Applied Research Institute Worldwide Corporation“ - из тзв. „АIR“ модела, показују да штете повезане са поплавама, зависно од интензитета и вероватноће дешавања, могу да се крећу од 135 милиона долара до 5,7 милијарди долара. Иако се ризици од земљотреса сматрају умереним, према истим проценама, штете повезане са земљотресима могу се кретати од 132 милиона долара до чак 7,6 милијарди долара.</w:t>
      </w:r>
    </w:p>
    <w:p w14:paraId="32559392" w14:textId="6C5A1A2B" w:rsidR="008A1CCA" w:rsidRPr="00671E8F" w:rsidRDefault="008A1CCA" w:rsidP="00473C3B">
      <w:pPr>
        <w:rPr>
          <w:rFonts w:eastAsia="MS PGothic" w:cstheme="minorHAnsi"/>
          <w:szCs w:val="20"/>
          <w:lang w:eastAsia="ja-JP"/>
        </w:rPr>
      </w:pPr>
    </w:p>
    <w:p w14:paraId="57AAE0E6" w14:textId="41B02DCA" w:rsidR="008A1CCA" w:rsidRPr="00671E8F" w:rsidRDefault="008A1CCA" w:rsidP="00473C3B">
      <w:pPr>
        <w:rPr>
          <w:rFonts w:eastAsia="MS PGothic" w:cstheme="minorHAnsi"/>
          <w:szCs w:val="20"/>
          <w:lang w:eastAsia="ja-JP"/>
        </w:rPr>
      </w:pPr>
    </w:p>
    <w:p w14:paraId="1ED97E5E" w14:textId="4F6BB157" w:rsidR="008A1CCA" w:rsidRPr="00671E8F" w:rsidRDefault="008A1CCA" w:rsidP="00473C3B">
      <w:pPr>
        <w:rPr>
          <w:rFonts w:eastAsia="MS PGothic" w:cstheme="minorHAnsi"/>
          <w:szCs w:val="20"/>
          <w:lang w:eastAsia="ja-JP"/>
        </w:rPr>
      </w:pPr>
    </w:p>
    <w:p w14:paraId="717F4439" w14:textId="6F78388C" w:rsidR="008A1CCA" w:rsidRPr="00671E8F" w:rsidRDefault="008A1CCA" w:rsidP="00473C3B">
      <w:pPr>
        <w:rPr>
          <w:rFonts w:eastAsia="MS PGothic" w:cstheme="minorHAnsi"/>
          <w:szCs w:val="20"/>
          <w:lang w:eastAsia="ja-JP"/>
        </w:rPr>
      </w:pPr>
    </w:p>
    <w:p w14:paraId="721E4739" w14:textId="56EE62F1" w:rsidR="008A1CCA" w:rsidRPr="00671E8F" w:rsidRDefault="008A1CCA" w:rsidP="00473C3B">
      <w:pPr>
        <w:rPr>
          <w:rFonts w:eastAsia="MS PGothic" w:cstheme="minorHAnsi"/>
          <w:szCs w:val="20"/>
          <w:lang w:eastAsia="ja-JP"/>
        </w:rPr>
      </w:pPr>
    </w:p>
    <w:p w14:paraId="1256A579" w14:textId="5A126B9E" w:rsidR="008A1CCA" w:rsidRPr="00671E8F" w:rsidRDefault="008A1CCA" w:rsidP="00473C3B">
      <w:pPr>
        <w:rPr>
          <w:rFonts w:eastAsia="MS PGothic" w:cstheme="minorHAnsi"/>
          <w:szCs w:val="20"/>
          <w:lang w:eastAsia="ja-JP"/>
        </w:rPr>
      </w:pPr>
    </w:p>
    <w:p w14:paraId="29D161BC" w14:textId="17335767" w:rsidR="008A1CCA" w:rsidRPr="00671E8F" w:rsidRDefault="008A1CCA" w:rsidP="00473C3B">
      <w:pPr>
        <w:rPr>
          <w:rFonts w:eastAsia="MS PGothic" w:cstheme="minorHAnsi"/>
          <w:szCs w:val="20"/>
          <w:lang w:eastAsia="ja-JP"/>
        </w:rPr>
      </w:pPr>
    </w:p>
    <w:p w14:paraId="2CDE1132" w14:textId="77777777" w:rsidR="00473C3B" w:rsidRPr="00671E8F" w:rsidRDefault="00473C3B" w:rsidP="00473C3B">
      <w:pPr>
        <w:spacing w:after="0" w:line="240" w:lineRule="auto"/>
        <w:jc w:val="center"/>
        <w:rPr>
          <w:rFonts w:ascii="Calibri" w:eastAsia="MS PGothic" w:hAnsi="Calibri" w:cs="Calibri"/>
          <w:b/>
          <w:bCs/>
          <w:szCs w:val="20"/>
          <w:lang w:eastAsia="ja-JP"/>
        </w:rPr>
      </w:pPr>
      <w:r w:rsidRPr="00671E8F">
        <w:rPr>
          <w:rFonts w:ascii="Calibri" w:eastAsia="MS PGothic" w:hAnsi="Calibri" w:cs="Calibri"/>
          <w:b/>
          <w:bCs/>
          <w:szCs w:val="20"/>
          <w:lang w:eastAsia="ja-JP"/>
        </w:rPr>
        <w:lastRenderedPageBreak/>
        <w:t>Графички приказ процене потенцијалних штета од поплава и земљотреса у Републици Србији</w:t>
      </w:r>
    </w:p>
    <w:p w14:paraId="5E4680CE" w14:textId="77777777" w:rsidR="00473C3B" w:rsidRPr="00671E8F" w:rsidRDefault="00473C3B" w:rsidP="00473C3B">
      <w:pPr>
        <w:spacing w:line="256" w:lineRule="auto"/>
        <w:jc w:val="center"/>
        <w:rPr>
          <w:rFonts w:ascii="Calibri" w:eastAsia="MS PGothic" w:hAnsi="Calibri" w:cs="Calibri"/>
          <w:b/>
          <w:bCs/>
          <w:szCs w:val="20"/>
          <w:lang w:eastAsia="ja-JP"/>
        </w:rPr>
      </w:pPr>
      <w:r w:rsidRPr="00671E8F">
        <w:rPr>
          <w:rFonts w:ascii="Calibri" w:eastAsia="MS PGothic" w:hAnsi="Calibri" w:cs="Calibri"/>
          <w:b/>
          <w:bCs/>
          <w:szCs w:val="20"/>
          <w:lang w:eastAsia="ja-JP"/>
        </w:rPr>
        <w:t>(у милионима долара)</w:t>
      </w:r>
    </w:p>
    <w:p w14:paraId="51C85047" w14:textId="77777777" w:rsidR="00473C3B" w:rsidRPr="00671E8F" w:rsidRDefault="00473C3B" w:rsidP="00473C3B">
      <w:pPr>
        <w:spacing w:line="256" w:lineRule="auto"/>
        <w:jc w:val="center"/>
        <w:rPr>
          <w:rFonts w:ascii="Calibri" w:eastAsia="MS PGothic" w:hAnsi="Calibri" w:cs="Calibri"/>
          <w:noProof/>
          <w:szCs w:val="20"/>
        </w:rPr>
      </w:pPr>
      <w:r w:rsidRPr="00671E8F">
        <w:rPr>
          <w:noProof/>
          <w:lang w:val="en-US"/>
        </w:rPr>
        <w:drawing>
          <wp:inline distT="0" distB="0" distL="0" distR="0" wp14:anchorId="3F5A692A" wp14:editId="0A815736">
            <wp:extent cx="2918128" cy="2546985"/>
            <wp:effectExtent l="0" t="0" r="15875" b="5715"/>
            <wp:docPr id="332543275" name="Chart 1">
              <a:extLst xmlns:a="http://schemas.openxmlformats.org/drawingml/2006/main">
                <a:ext uri="{FF2B5EF4-FFF2-40B4-BE49-F238E27FC236}">
                  <a16:creationId xmlns:a16="http://schemas.microsoft.com/office/drawing/2014/main" id="{00000000-0008-0000-0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r w:rsidRPr="00671E8F">
        <w:rPr>
          <w:rFonts w:ascii="Calibri" w:eastAsia="MS PGothic" w:hAnsi="Calibri" w:cs="Calibri"/>
          <w:noProof/>
          <w:szCs w:val="20"/>
        </w:rPr>
        <w:t xml:space="preserve"> </w:t>
      </w:r>
    </w:p>
    <w:p w14:paraId="0CBC8DC9" w14:textId="77777777" w:rsidR="00473C3B" w:rsidRPr="00671E8F" w:rsidRDefault="00473C3B" w:rsidP="00473C3B">
      <w:pPr>
        <w:spacing w:line="256" w:lineRule="auto"/>
        <w:jc w:val="center"/>
        <w:rPr>
          <w:rFonts w:ascii="Calibri" w:eastAsia="MS PGothic" w:hAnsi="Calibri" w:cs="Calibri"/>
          <w:bCs/>
          <w:iCs/>
          <w:sz w:val="16"/>
          <w:szCs w:val="16"/>
          <w:lang w:eastAsia="ja-JP"/>
        </w:rPr>
      </w:pPr>
      <w:r w:rsidRPr="00671E8F">
        <w:rPr>
          <w:rFonts w:ascii="Calibri" w:eastAsia="MS PGothic" w:hAnsi="Calibri" w:cs="Calibri"/>
          <w:bCs/>
          <w:iCs/>
          <w:sz w:val="16"/>
          <w:szCs w:val="16"/>
          <w:lang w:eastAsia="ja-JP"/>
        </w:rPr>
        <w:t xml:space="preserve">Извор: Модел за процену фискалних ризика од елементарних непогода за Републику Србију </w:t>
      </w:r>
    </w:p>
    <w:p w14:paraId="38981144" w14:textId="6B9EFF2F" w:rsidR="00473C3B" w:rsidRPr="00671E8F" w:rsidRDefault="00473C3B" w:rsidP="00473C3B">
      <w:pPr>
        <w:spacing w:line="256" w:lineRule="auto"/>
        <w:rPr>
          <w:rFonts w:eastAsia="MS PGothic" w:cstheme="minorHAnsi"/>
          <w:b/>
          <w:bCs/>
          <w:color w:val="FF0000"/>
          <w:szCs w:val="20"/>
          <w:lang w:eastAsia="ja-JP"/>
        </w:rPr>
      </w:pPr>
      <w:r w:rsidRPr="00671E8F">
        <w:rPr>
          <w:rFonts w:eastAsia="MS PGothic" w:cstheme="minorHAnsi"/>
          <w:szCs w:val="20"/>
          <w:lang w:eastAsia="ja-JP"/>
        </w:rPr>
        <w:t xml:space="preserve">Зависно од врсте и интензитета елементарне непогоде, разликује </w:t>
      </w:r>
      <w:r w:rsidR="003272A7" w:rsidRPr="00671E8F">
        <w:rPr>
          <w:rFonts w:eastAsia="MS PGothic" w:cstheme="minorHAnsi"/>
          <w:szCs w:val="20"/>
          <w:lang w:eastAsia="ja-JP"/>
        </w:rPr>
        <w:t>се и очекивана контракција БДП</w:t>
      </w:r>
      <w:r w:rsidRPr="00671E8F">
        <w:rPr>
          <w:rFonts w:eastAsia="MS PGothic" w:cstheme="minorHAnsi"/>
          <w:szCs w:val="20"/>
          <w:lang w:eastAsia="ja-JP"/>
        </w:rPr>
        <w:t>, однос</w:t>
      </w:r>
      <w:r w:rsidR="003272A7" w:rsidRPr="00671E8F">
        <w:rPr>
          <w:rFonts w:eastAsia="MS PGothic" w:cstheme="minorHAnsi"/>
          <w:szCs w:val="20"/>
          <w:lang w:eastAsia="ja-JP"/>
        </w:rPr>
        <w:t>но остваривање мањег раста БДП</w:t>
      </w:r>
      <w:r w:rsidRPr="00671E8F">
        <w:rPr>
          <w:rFonts w:eastAsia="MS PGothic" w:cstheme="minorHAnsi"/>
          <w:szCs w:val="20"/>
          <w:lang w:eastAsia="ja-JP"/>
        </w:rPr>
        <w:t xml:space="preserve"> у години манифестовања елементарне </w:t>
      </w:r>
      <w:r w:rsidR="003272A7" w:rsidRPr="00671E8F">
        <w:rPr>
          <w:rFonts w:eastAsia="MS PGothic" w:cstheme="minorHAnsi"/>
          <w:szCs w:val="20"/>
          <w:lang w:eastAsia="ja-JP"/>
        </w:rPr>
        <w:t>непогоде, у односу на раст БДП</w:t>
      </w:r>
      <w:r w:rsidRPr="00671E8F">
        <w:rPr>
          <w:rFonts w:eastAsia="MS PGothic" w:cstheme="minorHAnsi"/>
          <w:szCs w:val="20"/>
          <w:lang w:eastAsia="ja-JP"/>
        </w:rPr>
        <w:t xml:space="preserve"> који би се остварио да се  елементарна непогода није догодила. Тако у случа</w:t>
      </w:r>
      <w:r w:rsidR="003272A7" w:rsidRPr="00671E8F">
        <w:rPr>
          <w:rFonts w:eastAsia="MS PGothic" w:cstheme="minorHAnsi"/>
          <w:szCs w:val="20"/>
          <w:lang w:eastAsia="ja-JP"/>
        </w:rPr>
        <w:t>ју земљотреса, стопа раста БДП</w:t>
      </w:r>
      <w:r w:rsidRPr="00671E8F">
        <w:rPr>
          <w:rFonts w:eastAsia="MS PGothic" w:cstheme="minorHAnsi"/>
          <w:szCs w:val="20"/>
          <w:lang w:eastAsia="ja-JP"/>
        </w:rPr>
        <w:t xml:space="preserve"> се може смањити од -0,02% за земљотресе слабијег интензитета до значајних -1,39% за ређе земљотресе великих размера. Када су у питању </w:t>
      </w:r>
      <w:r w:rsidR="003272A7" w:rsidRPr="00671E8F">
        <w:rPr>
          <w:rFonts w:eastAsia="MS PGothic" w:cstheme="minorHAnsi"/>
          <w:szCs w:val="20"/>
          <w:lang w:eastAsia="ja-JP"/>
        </w:rPr>
        <w:t>поплаве, контракција раста БДП</w:t>
      </w:r>
      <w:r w:rsidRPr="00671E8F">
        <w:rPr>
          <w:rFonts w:eastAsia="MS PGothic" w:cstheme="minorHAnsi"/>
          <w:szCs w:val="20"/>
          <w:lang w:eastAsia="ja-JP"/>
        </w:rPr>
        <w:t xml:space="preserve"> се може кретати од -0,02% за поплаве слабијег интензитета до, на</w:t>
      </w:r>
      <w:r w:rsidR="00560E5F">
        <w:rPr>
          <w:rFonts w:eastAsia="MS PGothic" w:cstheme="minorHAnsi"/>
          <w:szCs w:val="20"/>
          <w:lang w:val="sr-Cyrl-RS" w:eastAsia="ja-JP"/>
        </w:rPr>
        <w:t>јј</w:t>
      </w:r>
      <w:r w:rsidRPr="00671E8F">
        <w:rPr>
          <w:rFonts w:eastAsia="MS PGothic" w:cstheme="minorHAnsi"/>
          <w:szCs w:val="20"/>
          <w:lang w:eastAsia="ja-JP"/>
        </w:rPr>
        <w:t>а</w:t>
      </w:r>
      <w:r w:rsidR="00560E5F">
        <w:rPr>
          <w:rFonts w:eastAsia="MS PGothic" w:cstheme="minorHAnsi"/>
          <w:szCs w:val="20"/>
          <w:lang w:val="sr-Cyrl-RS" w:eastAsia="ja-JP"/>
        </w:rPr>
        <w:t>ч</w:t>
      </w:r>
      <w:r w:rsidRPr="00671E8F">
        <w:rPr>
          <w:rFonts w:eastAsia="MS PGothic" w:cstheme="minorHAnsi"/>
          <w:szCs w:val="20"/>
          <w:lang w:eastAsia="ja-JP"/>
        </w:rPr>
        <w:t>их -1,05% за ређе поплаве великих размера.</w:t>
      </w:r>
    </w:p>
    <w:p w14:paraId="1357E20D" w14:textId="77777777" w:rsidR="008A1CCA" w:rsidRPr="00671E8F" w:rsidRDefault="008A1CCA" w:rsidP="00473C3B">
      <w:pPr>
        <w:spacing w:after="120"/>
        <w:jc w:val="center"/>
        <w:rPr>
          <w:rFonts w:eastAsia="MS PGothic" w:cstheme="minorHAnsi"/>
          <w:b/>
          <w:color w:val="002060"/>
          <w:szCs w:val="20"/>
          <w:lang w:eastAsia="ja-JP"/>
        </w:rPr>
      </w:pPr>
    </w:p>
    <w:p w14:paraId="5FADE855" w14:textId="77777777" w:rsidR="008A1CCA" w:rsidRPr="00671E8F" w:rsidRDefault="008A1CCA" w:rsidP="00473C3B">
      <w:pPr>
        <w:spacing w:after="120"/>
        <w:jc w:val="center"/>
        <w:rPr>
          <w:rFonts w:eastAsia="MS PGothic" w:cstheme="minorHAnsi"/>
          <w:b/>
          <w:color w:val="002060"/>
          <w:szCs w:val="20"/>
          <w:lang w:eastAsia="ja-JP"/>
        </w:rPr>
      </w:pPr>
    </w:p>
    <w:p w14:paraId="730EA1C2" w14:textId="77777777" w:rsidR="008A1CCA" w:rsidRPr="00671E8F" w:rsidRDefault="008A1CCA" w:rsidP="00473C3B">
      <w:pPr>
        <w:spacing w:after="120"/>
        <w:jc w:val="center"/>
        <w:rPr>
          <w:rFonts w:eastAsia="MS PGothic" w:cstheme="minorHAnsi"/>
          <w:b/>
          <w:color w:val="002060"/>
          <w:szCs w:val="20"/>
          <w:lang w:eastAsia="ja-JP"/>
        </w:rPr>
      </w:pPr>
    </w:p>
    <w:p w14:paraId="545FEC7E" w14:textId="77777777" w:rsidR="008A1CCA" w:rsidRPr="00671E8F" w:rsidRDefault="008A1CCA" w:rsidP="00473C3B">
      <w:pPr>
        <w:spacing w:after="120"/>
        <w:jc w:val="center"/>
        <w:rPr>
          <w:rFonts w:eastAsia="MS PGothic" w:cstheme="minorHAnsi"/>
          <w:b/>
          <w:color w:val="002060"/>
          <w:szCs w:val="20"/>
          <w:lang w:eastAsia="ja-JP"/>
        </w:rPr>
      </w:pPr>
    </w:p>
    <w:p w14:paraId="4819D857" w14:textId="77777777" w:rsidR="008A1CCA" w:rsidRPr="00671E8F" w:rsidRDefault="008A1CCA" w:rsidP="00473C3B">
      <w:pPr>
        <w:spacing w:after="120"/>
        <w:jc w:val="center"/>
        <w:rPr>
          <w:rFonts w:eastAsia="MS PGothic" w:cstheme="minorHAnsi"/>
          <w:b/>
          <w:color w:val="002060"/>
          <w:szCs w:val="20"/>
          <w:lang w:eastAsia="ja-JP"/>
        </w:rPr>
      </w:pPr>
    </w:p>
    <w:p w14:paraId="229BF120" w14:textId="77777777" w:rsidR="008A1CCA" w:rsidRPr="00671E8F" w:rsidRDefault="008A1CCA" w:rsidP="00473C3B">
      <w:pPr>
        <w:spacing w:after="120"/>
        <w:jc w:val="center"/>
        <w:rPr>
          <w:rFonts w:eastAsia="MS PGothic" w:cstheme="minorHAnsi"/>
          <w:b/>
          <w:color w:val="002060"/>
          <w:szCs w:val="20"/>
          <w:lang w:eastAsia="ja-JP"/>
        </w:rPr>
      </w:pPr>
    </w:p>
    <w:p w14:paraId="46731789" w14:textId="77777777" w:rsidR="008A1CCA" w:rsidRPr="00671E8F" w:rsidRDefault="008A1CCA" w:rsidP="00473C3B">
      <w:pPr>
        <w:spacing w:after="120"/>
        <w:jc w:val="center"/>
        <w:rPr>
          <w:rFonts w:eastAsia="MS PGothic" w:cstheme="minorHAnsi"/>
          <w:b/>
          <w:color w:val="002060"/>
          <w:szCs w:val="20"/>
          <w:lang w:eastAsia="ja-JP"/>
        </w:rPr>
      </w:pPr>
    </w:p>
    <w:p w14:paraId="1317CBC5" w14:textId="77777777" w:rsidR="008A1CCA" w:rsidRPr="00671E8F" w:rsidRDefault="008A1CCA" w:rsidP="00473C3B">
      <w:pPr>
        <w:spacing w:after="120"/>
        <w:jc w:val="center"/>
        <w:rPr>
          <w:rFonts w:eastAsia="MS PGothic" w:cstheme="minorHAnsi"/>
          <w:b/>
          <w:color w:val="002060"/>
          <w:szCs w:val="20"/>
          <w:lang w:eastAsia="ja-JP"/>
        </w:rPr>
      </w:pPr>
    </w:p>
    <w:p w14:paraId="3CDB2EDA" w14:textId="28BDC413"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b/>
          <w:color w:val="002060"/>
          <w:szCs w:val="20"/>
          <w:lang w:eastAsia="ja-JP"/>
        </w:rPr>
        <w:t>Табеларни приказ промене фискалн</w:t>
      </w:r>
      <w:r w:rsidR="003272A7" w:rsidRPr="00671E8F">
        <w:rPr>
          <w:rFonts w:eastAsia="MS PGothic" w:cstheme="minorHAnsi"/>
          <w:b/>
          <w:color w:val="002060"/>
          <w:szCs w:val="20"/>
          <w:lang w:eastAsia="ja-JP"/>
        </w:rPr>
        <w:t>их варијабли изражених у % БДП</w:t>
      </w:r>
      <w:r w:rsidRPr="00671E8F">
        <w:rPr>
          <w:rFonts w:eastAsia="MS PGothic" w:cstheme="minorHAnsi"/>
          <w:b/>
          <w:color w:val="002060"/>
          <w:szCs w:val="20"/>
          <w:lang w:eastAsia="ja-JP"/>
        </w:rPr>
        <w:t>, зависно од врсте елементарних непогода</w:t>
      </w:r>
    </w:p>
    <w:p w14:paraId="3FA1302C" w14:textId="77777777" w:rsidR="00473C3B" w:rsidRPr="00671E8F" w:rsidRDefault="00473C3B" w:rsidP="00473C3B">
      <w:pPr>
        <w:spacing w:after="120"/>
        <w:jc w:val="center"/>
        <w:rPr>
          <w:rFonts w:eastAsia="MS PGothic" w:cstheme="minorHAnsi"/>
          <w:b/>
          <w:color w:val="002060"/>
          <w:szCs w:val="20"/>
          <w:lang w:eastAsia="ja-JP"/>
        </w:rPr>
      </w:pPr>
      <w:r w:rsidRPr="00671E8F">
        <w:rPr>
          <w:rFonts w:eastAsia="MS PGothic" w:cstheme="minorHAnsi"/>
          <w:noProof/>
          <w:szCs w:val="20"/>
          <w:lang w:val="en-US"/>
        </w:rPr>
        <w:drawing>
          <wp:inline distT="0" distB="0" distL="0" distR="0" wp14:anchorId="1EFB7C20" wp14:editId="30D5925F">
            <wp:extent cx="2816860" cy="3493748"/>
            <wp:effectExtent l="0" t="0" r="2540" b="0"/>
            <wp:docPr id="2989040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824003" cy="3502608"/>
                    </a:xfrm>
                    <a:prstGeom prst="rect">
                      <a:avLst/>
                    </a:prstGeom>
                    <a:noFill/>
                  </pic:spPr>
                </pic:pic>
              </a:graphicData>
            </a:graphic>
          </wp:inline>
        </w:drawing>
      </w:r>
      <w:r w:rsidRPr="00671E8F">
        <w:rPr>
          <w:rFonts w:eastAsia="MS PGothic" w:cstheme="minorHAnsi"/>
          <w:b/>
          <w:color w:val="002060"/>
          <w:szCs w:val="20"/>
          <w:lang w:eastAsia="ja-JP"/>
        </w:rPr>
        <w:t xml:space="preserve"> </w:t>
      </w:r>
    </w:p>
    <w:p w14:paraId="25C1CCB2"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Када су будући очекивани трошкови у питању, фискални ефекти елементарних непогода, у смислу утицаја на фискални дефицит и последично, на јавни дуг су још израженији и рефлектују размере очекиваног негативног ефекта оваквих шокова на макроекономску стабилност државе, уколико би се ове елементарне непогоде манифестовале.</w:t>
      </w:r>
    </w:p>
    <w:p w14:paraId="16D691CC" w14:textId="6C99A3FF"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На бази модела за процену фискалних ризика од елементарних непогода за Републику Србију, може се закључити да се, у случају земљотреса, фискални дефицит може повећати</w:t>
      </w:r>
      <w:r w:rsidR="003272A7" w:rsidRPr="00671E8F">
        <w:rPr>
          <w:rFonts w:eastAsia="MS PGothic" w:cstheme="minorHAnsi"/>
          <w:szCs w:val="20"/>
          <w:lang w:eastAsia="ja-JP"/>
        </w:rPr>
        <w:t xml:space="preserve"> у интервалу 0,04% до 2,5% БДП</w:t>
      </w:r>
      <w:r w:rsidRPr="00671E8F">
        <w:rPr>
          <w:rFonts w:eastAsia="MS PGothic" w:cstheme="minorHAnsi"/>
          <w:szCs w:val="20"/>
          <w:lang w:eastAsia="ja-JP"/>
        </w:rPr>
        <w:t xml:space="preserve"> годишње, што даље може утицати на раст јавног дуга од 0,05% </w:t>
      </w:r>
      <w:r w:rsidR="003272A7" w:rsidRPr="00671E8F">
        <w:rPr>
          <w:rFonts w:eastAsia="MS PGothic" w:cstheme="minorHAnsi"/>
          <w:szCs w:val="20"/>
          <w:lang w:eastAsia="ja-JP"/>
        </w:rPr>
        <w:t>до преко 6,4% БДП</w:t>
      </w:r>
      <w:r w:rsidRPr="00671E8F">
        <w:rPr>
          <w:rFonts w:eastAsia="MS PGothic" w:cstheme="minorHAnsi"/>
          <w:szCs w:val="20"/>
          <w:lang w:eastAsia="ja-JP"/>
        </w:rPr>
        <w:t xml:space="preserve"> у годинама након шока, проузрокованог земљотресом већег интензитета. У случају поплава, имамо сличну ситуацију, односно фискални дефицит се може повећати</w:t>
      </w:r>
      <w:r w:rsidR="003272A7" w:rsidRPr="00671E8F">
        <w:rPr>
          <w:rFonts w:eastAsia="MS PGothic" w:cstheme="minorHAnsi"/>
          <w:szCs w:val="20"/>
          <w:lang w:eastAsia="ja-JP"/>
        </w:rPr>
        <w:t xml:space="preserve"> у интервалу 0,04% до 1,9% БДП</w:t>
      </w:r>
      <w:r w:rsidRPr="00671E8F">
        <w:rPr>
          <w:rFonts w:eastAsia="MS PGothic" w:cstheme="minorHAnsi"/>
          <w:szCs w:val="20"/>
          <w:lang w:eastAsia="ja-JP"/>
        </w:rPr>
        <w:t xml:space="preserve"> годишње, што даље може утицати на раст јавног дуга од 0,06% до преко 4,8%</w:t>
      </w:r>
      <w:r w:rsidRPr="00671E8F">
        <w:rPr>
          <w:rFonts w:eastAsia="MS PGothic" w:cstheme="minorHAnsi"/>
          <w:bCs/>
          <w:color w:val="1F4E79" w:themeColor="accent5" w:themeShade="80"/>
          <w:szCs w:val="20"/>
          <w:lang w:eastAsia="ja-JP"/>
        </w:rPr>
        <w:t xml:space="preserve"> </w:t>
      </w:r>
      <w:r w:rsidRPr="00671E8F">
        <w:rPr>
          <w:rFonts w:eastAsia="MS PGothic" w:cstheme="minorHAnsi"/>
          <w:bCs/>
          <w:color w:val="1F4E79" w:themeColor="accent5" w:themeShade="80"/>
          <w:szCs w:val="20"/>
          <w:lang w:eastAsia="ja-JP"/>
        </w:rPr>
        <w:br w:type="column"/>
      </w:r>
      <w:r w:rsidRPr="00671E8F">
        <w:rPr>
          <w:rFonts w:eastAsia="MS PGothic" w:cstheme="minorHAnsi"/>
          <w:bCs/>
          <w:color w:val="1F4E79" w:themeColor="accent5" w:themeShade="80"/>
          <w:szCs w:val="20"/>
          <w:lang w:eastAsia="ja-JP"/>
        </w:rPr>
        <w:lastRenderedPageBreak/>
        <w:t>Б</w:t>
      </w:r>
      <w:r w:rsidR="003272A7" w:rsidRPr="00671E8F">
        <w:rPr>
          <w:rFonts w:eastAsia="MS PGothic" w:cstheme="minorHAnsi"/>
          <w:szCs w:val="20"/>
          <w:lang w:eastAsia="ja-JP"/>
        </w:rPr>
        <w:t>ДП</w:t>
      </w:r>
      <w:r w:rsidRPr="00671E8F">
        <w:rPr>
          <w:rFonts w:eastAsia="MS PGothic" w:cstheme="minorHAnsi"/>
          <w:szCs w:val="20"/>
          <w:lang w:eastAsia="ja-JP"/>
        </w:rPr>
        <w:t xml:space="preserve"> у годинама након шока, проузрокованог поплавама већих размера.</w:t>
      </w:r>
    </w:p>
    <w:p w14:paraId="40A3FD60"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 xml:space="preserve">Буџетски систем Републике Србије обезбеђује два инструмента финансирања ризика од катастрофа: сталну буџетску резерву - резерва за непредвиђене случајеве (СБР) и накнаду штете за повреде или штету насталу услед елементарних непогода или других природних узрока (рачун 484). </w:t>
      </w:r>
    </w:p>
    <w:p w14:paraId="6E3C238A"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Накнада штете за повреде или штету насталу услед елементарних непогода или других природних узрока се такође може користити за пружање почетне финансијске подршке за помоћ након катастрофе. Док је максимални износ сталне буџетске резерве ограничен на 0,5% буџетских прихода, не постоји минимални или максимални законски лимит за планирање годишњег износа ове накнаде.</w:t>
      </w:r>
    </w:p>
    <w:p w14:paraId="142C52E8" w14:textId="77777777" w:rsidR="00473C3B" w:rsidRPr="00671E8F" w:rsidRDefault="00473C3B" w:rsidP="00473C3B">
      <w:pPr>
        <w:rPr>
          <w:rFonts w:cstheme="minorHAnsi"/>
          <w:b/>
          <w:color w:val="2F5496" w:themeColor="accent1" w:themeShade="BF"/>
          <w:sz w:val="22"/>
        </w:rPr>
        <w:sectPr w:rsidR="00473C3B" w:rsidRPr="00671E8F" w:rsidSect="00473C3B">
          <w:type w:val="continuous"/>
          <w:pgSz w:w="12240" w:h="15840"/>
          <w:pgMar w:top="1440" w:right="1440" w:bottom="1440" w:left="1440" w:header="720" w:footer="720" w:gutter="0"/>
          <w:cols w:num="2" w:space="720"/>
        </w:sectPr>
      </w:pPr>
    </w:p>
    <w:p w14:paraId="037545CF" w14:textId="77777777" w:rsidR="00473C3B" w:rsidRPr="00671E8F" w:rsidRDefault="00473C3B" w:rsidP="00473C3B">
      <w:pPr>
        <w:rPr>
          <w:rFonts w:cstheme="minorHAnsi"/>
          <w:b/>
          <w:color w:val="2F5496" w:themeColor="accent1" w:themeShade="BF"/>
          <w:sz w:val="22"/>
        </w:rPr>
      </w:pPr>
    </w:p>
    <w:p w14:paraId="4503BA2A" w14:textId="77777777" w:rsidR="00473C3B" w:rsidRPr="00671E8F" w:rsidRDefault="00473C3B" w:rsidP="00473C3B">
      <w:pPr>
        <w:rPr>
          <w:rFonts w:cstheme="minorHAnsi"/>
          <w:b/>
          <w:color w:val="2F5496" w:themeColor="accent1" w:themeShade="BF"/>
          <w:sz w:val="22"/>
        </w:rPr>
      </w:pPr>
      <w:r w:rsidRPr="00671E8F">
        <w:rPr>
          <w:rFonts w:cstheme="minorHAnsi"/>
          <w:b/>
          <w:color w:val="2F5496" w:themeColor="accent1" w:themeShade="BF"/>
          <w:sz w:val="22"/>
        </w:rPr>
        <w:t>Функционисање локалних самоуправа</w:t>
      </w:r>
    </w:p>
    <w:p w14:paraId="3B09BE4A" w14:textId="77777777" w:rsidR="00473C3B" w:rsidRPr="00671E8F" w:rsidRDefault="00473C3B" w:rsidP="00473C3B">
      <w:pPr>
        <w:rPr>
          <w:rFonts w:eastAsia="MS PGothic" w:cstheme="minorHAnsi"/>
          <w:szCs w:val="20"/>
          <w:lang w:eastAsia="ja-JP"/>
        </w:rPr>
        <w:sectPr w:rsidR="00473C3B" w:rsidRPr="00671E8F" w:rsidSect="00473C3B">
          <w:type w:val="continuous"/>
          <w:pgSz w:w="12240" w:h="15840"/>
          <w:pgMar w:top="1440" w:right="1440" w:bottom="1440" w:left="1440" w:header="720" w:footer="720" w:gutter="0"/>
          <w:cols w:space="720"/>
        </w:sectPr>
      </w:pPr>
    </w:p>
    <w:p w14:paraId="7FD5FF56" w14:textId="77777777" w:rsidR="00473C3B" w:rsidRPr="00671E8F" w:rsidRDefault="00473C3B" w:rsidP="00473C3B">
      <w:r w:rsidRPr="00671E8F">
        <w:rPr>
          <w:rFonts w:eastAsia="MS PGothic" w:cstheme="minorHAnsi"/>
          <w:szCs w:val="20"/>
          <w:lang w:eastAsia="ja-JP"/>
        </w:rPr>
        <w:t>Поред наведених фискалних ризика постоје и друге околности које, уколико се реализују, могу довести до фискалних трошкова. Њихово идентификовање помаже сагледавању могућих утицаја на фискалну позицију земље у одређеном периоду.</w:t>
      </w:r>
    </w:p>
    <w:p w14:paraId="4FB17A01" w14:textId="77777777" w:rsidR="00473C3B" w:rsidRPr="00671E8F" w:rsidRDefault="00473C3B" w:rsidP="00473C3B">
      <w:pPr>
        <w:rPr>
          <w:lang w:eastAsia="ja-JP"/>
        </w:rPr>
      </w:pPr>
      <w:r w:rsidRPr="00671E8F">
        <w:rPr>
          <w:lang w:eastAsia="ja-JP"/>
        </w:rPr>
        <w:t xml:space="preserve">Пословање јединица локалне самоуправе може имати фискалне импликације на буџет сектора државе. Посебним фискалним правилима за локалне самоуправе постављено је тзв. „златно правило” да је дефицит могућ само за реализацију капиталних инвестиција. Постоје и правила о висини задужености јединица локалне самоуправе чија доследна примена одржава стабилност јавних финансија на локалном нивоу. У пракси се дешавало да нереалним планирањем како прихода, тако и расхода дође до кумулације </w:t>
      </w:r>
      <w:r w:rsidRPr="00671E8F">
        <w:rPr>
          <w:lang w:eastAsia="ja-JP"/>
        </w:rPr>
        <w:t>доспелих, а неизмирених обавеза које угрожавају функционисање појединих градова и општина.</w:t>
      </w:r>
    </w:p>
    <w:p w14:paraId="66A26AA0"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Како би се избегла реализација фискалних ризика по овом основу, Министарство финансија унапређује систем контроле јавних финансија локалних самоуправа у циљу поштовања постављених правила – од планирања до реализације буџета на локалном нивоу.</w:t>
      </w:r>
    </w:p>
    <w:p w14:paraId="7FE17C66" w14:textId="77777777" w:rsidR="00473C3B" w:rsidRPr="00671E8F" w:rsidRDefault="00473C3B" w:rsidP="00473C3B">
      <w:pPr>
        <w:rPr>
          <w:rFonts w:eastAsia="MS PGothic" w:cstheme="minorHAnsi"/>
          <w:szCs w:val="20"/>
          <w:lang w:eastAsia="ja-JP"/>
        </w:rPr>
      </w:pPr>
      <w:r w:rsidRPr="00671E8F">
        <w:rPr>
          <w:rFonts w:eastAsia="MS PGothic" w:cstheme="minorHAnsi"/>
          <w:szCs w:val="20"/>
          <w:lang w:eastAsia="ja-JP"/>
        </w:rPr>
        <w:t>На основу Методологије за праћење фискалних ризика по буџет Републике Србије који произилазе из вршења надлежности јединица локалне самоуправе, Сектор за праћење фискалних ризика министарства финансија је израдио радни модел за анализу, оцену и праћење фискалних ризика, чија се примена очекује у наредном периоду.</w:t>
      </w:r>
    </w:p>
    <w:p w14:paraId="086E5410" w14:textId="77777777" w:rsidR="00473C3B" w:rsidRPr="00671E8F" w:rsidRDefault="00473C3B" w:rsidP="00473C3B">
      <w:pPr>
        <w:spacing w:after="0"/>
        <w:jc w:val="left"/>
        <w:rPr>
          <w:rFonts w:cstheme="minorHAnsi"/>
          <w:b/>
          <w:color w:val="2F5496" w:themeColor="accent1" w:themeShade="BF"/>
          <w:sz w:val="22"/>
        </w:rPr>
        <w:sectPr w:rsidR="00473C3B" w:rsidRPr="00671E8F" w:rsidSect="00473C3B">
          <w:type w:val="continuous"/>
          <w:pgSz w:w="12240" w:h="15840"/>
          <w:pgMar w:top="1440" w:right="1440" w:bottom="1440" w:left="1440" w:header="720" w:footer="720" w:gutter="0"/>
          <w:cols w:num="2" w:space="720"/>
        </w:sectPr>
      </w:pPr>
    </w:p>
    <w:p w14:paraId="0B9B98CC" w14:textId="77777777" w:rsidR="00473C3B" w:rsidRPr="00671E8F" w:rsidRDefault="00473C3B" w:rsidP="00473C3B">
      <w:pPr>
        <w:jc w:val="left"/>
      </w:pPr>
    </w:p>
    <w:p w14:paraId="6B417950" w14:textId="77777777" w:rsidR="00473C3B" w:rsidRPr="00671E8F" w:rsidRDefault="00473C3B" w:rsidP="00473C3B">
      <w:pPr>
        <w:jc w:val="left"/>
        <w:rPr>
          <w:rFonts w:eastAsia="Times New Roman" w:cstheme="minorHAnsi"/>
          <w:b/>
          <w:color w:val="2F5496" w:themeColor="accent1" w:themeShade="BF"/>
          <w:sz w:val="24"/>
          <w:szCs w:val="26"/>
        </w:rPr>
      </w:pPr>
      <w:r w:rsidRPr="00671E8F">
        <w:rPr>
          <w:rFonts w:eastAsia="Times New Roman" w:cstheme="minorHAnsi"/>
          <w:b/>
          <w:color w:val="2F5496" w:themeColor="accent1" w:themeShade="BF"/>
          <w:sz w:val="24"/>
          <w:szCs w:val="26"/>
        </w:rPr>
        <w:br w:type="page"/>
      </w:r>
    </w:p>
    <w:p w14:paraId="49D7DC89" w14:textId="46865B8C" w:rsidR="00473C3B" w:rsidRPr="00671E8F" w:rsidRDefault="000B4ACD" w:rsidP="000B4ACD">
      <w:pPr>
        <w:pStyle w:val="Heading2"/>
        <w:jc w:val="center"/>
        <w:rPr>
          <w:rFonts w:asciiTheme="minorHAnsi" w:hAnsiTheme="minorHAnsi" w:cstheme="minorHAnsi"/>
          <w:b/>
          <w:sz w:val="24"/>
        </w:rPr>
      </w:pPr>
      <w:bookmarkStart w:id="73" w:name="_Toc181190971"/>
      <w:r w:rsidRPr="00671E8F">
        <w:rPr>
          <w:rFonts w:asciiTheme="minorHAnsi" w:hAnsiTheme="minorHAnsi" w:cstheme="minorHAnsi"/>
          <w:b/>
          <w:sz w:val="24"/>
        </w:rPr>
        <w:lastRenderedPageBreak/>
        <w:t>5</w:t>
      </w:r>
      <w:r w:rsidR="00473C3B" w:rsidRPr="00671E8F">
        <w:rPr>
          <w:rFonts w:asciiTheme="minorHAnsi" w:hAnsiTheme="minorHAnsi" w:cstheme="minorHAnsi"/>
          <w:b/>
          <w:sz w:val="24"/>
        </w:rPr>
        <w:t>. Циклично прилагођени и структурни фискални биланс</w:t>
      </w:r>
      <w:bookmarkEnd w:id="61"/>
      <w:bookmarkEnd w:id="62"/>
      <w:bookmarkEnd w:id="73"/>
    </w:p>
    <w:p w14:paraId="2B72EE0A" w14:textId="4D963D12" w:rsidR="000B4ACD" w:rsidRPr="00671E8F" w:rsidRDefault="000B4ACD" w:rsidP="000B4ACD"/>
    <w:p w14:paraId="17B1B455" w14:textId="77777777" w:rsidR="000B4ACD" w:rsidRPr="00671E8F" w:rsidRDefault="000B4ACD" w:rsidP="000B4ACD">
      <w:pPr>
        <w:sectPr w:rsidR="000B4ACD" w:rsidRPr="00671E8F" w:rsidSect="00473C3B">
          <w:headerReference w:type="even" r:id="rId184"/>
          <w:footerReference w:type="even" r:id="rId185"/>
          <w:footerReference w:type="default" r:id="rId186"/>
          <w:headerReference w:type="first" r:id="rId187"/>
          <w:type w:val="continuous"/>
          <w:pgSz w:w="12240" w:h="15840" w:code="1"/>
          <w:pgMar w:top="1440" w:right="1440" w:bottom="1440" w:left="1440" w:header="720" w:footer="720" w:gutter="0"/>
          <w:cols w:space="720"/>
          <w:docGrid w:linePitch="360"/>
        </w:sectPr>
      </w:pPr>
    </w:p>
    <w:p w14:paraId="793451F4" w14:textId="77777777" w:rsidR="00473C3B" w:rsidRPr="00671E8F" w:rsidRDefault="00473C3B" w:rsidP="00473C3B">
      <w:pPr>
        <w:spacing w:after="120"/>
        <w:rPr>
          <w:rFonts w:ascii="Calibri" w:eastAsia="MS PGothic" w:hAnsi="Calibri" w:cs="Calibri"/>
          <w:szCs w:val="20"/>
          <w:lang w:eastAsia="ja-JP"/>
        </w:rPr>
      </w:pPr>
      <w:bookmarkStart w:id="74" w:name="_Toc499650054"/>
      <w:bookmarkStart w:id="75" w:name="_Toc530635110"/>
      <w:bookmarkStart w:id="76" w:name="_Toc11155996"/>
      <w:r w:rsidRPr="00671E8F">
        <w:rPr>
          <w:rFonts w:eastAsia="MS PGothic" w:cstheme="minorHAnsi"/>
          <w:szCs w:val="20"/>
          <w:lang w:eastAsia="ja-JP"/>
        </w:rPr>
        <w:t>Циклично прилагођени фискални биланс је фискални биланс из кога је искључен изоловани утицај привредног циклуса, а</w:t>
      </w:r>
      <w:r w:rsidRPr="00671E8F">
        <w:rPr>
          <w:rFonts w:ascii="Calibri" w:eastAsia="MS PGothic" w:hAnsi="Calibri" w:cs="Calibri"/>
          <w:szCs w:val="20"/>
          <w:lang w:eastAsia="ja-JP"/>
        </w:rPr>
        <w:t xml:space="preserve"> идентитет од кога се полази је следећи</w:t>
      </w:r>
    </w:p>
    <w:p w14:paraId="6738E3D7" w14:textId="77777777" w:rsidR="00473C3B" w:rsidRPr="00671E8F" w:rsidRDefault="00473C3B" w:rsidP="007543BB">
      <w:pPr>
        <w:spacing w:after="120"/>
        <w:jc w:val="center"/>
        <w:rPr>
          <w:rFonts w:ascii="Calibri" w:eastAsia="MS PGothic" w:hAnsi="Calibri" w:cs="Calibri"/>
          <w:szCs w:val="20"/>
          <w:lang w:eastAsia="ja-JP"/>
        </w:rPr>
      </w:pPr>
      <w:r w:rsidRPr="00671E8F">
        <w:rPr>
          <w:rFonts w:ascii="Calibri" w:eastAsia="MS PGothic" w:hAnsi="Calibri" w:cs="Calibri"/>
          <w:szCs w:val="20"/>
          <w:vertAlign w:val="superscript"/>
          <w:lang w:eastAsia="ja-JP"/>
        </w:rPr>
        <w:footnoteReference w:id="7"/>
      </w:r>
      <w:r w:rsidRPr="00671E8F">
        <w:rPr>
          <w:rFonts w:ascii="Calibri" w:eastAsia="MS PGothic" w:hAnsi="Calibri" w:cs="Calibri"/>
          <w:szCs w:val="20"/>
          <w:lang w:eastAsia="ja-JP"/>
        </w:rPr>
        <w:t>:FB = CB + CAB</w:t>
      </w:r>
    </w:p>
    <w:p w14:paraId="0C89A605" w14:textId="77777777" w:rsidR="00473C3B" w:rsidRPr="00671E8F" w:rsidRDefault="00473C3B" w:rsidP="00473C3B">
      <w:pPr>
        <w:spacing w:after="120"/>
        <w:rPr>
          <w:rFonts w:eastAsia="MS PGothic" w:cstheme="minorHAnsi"/>
          <w:szCs w:val="20"/>
          <w:lang w:eastAsia="ja-JP"/>
        </w:rPr>
      </w:pPr>
      <w:r w:rsidRPr="00671E8F">
        <w:rPr>
          <w:rFonts w:ascii="Calibri" w:eastAsia="MS PGothic" w:hAnsi="Calibri" w:cs="Calibri"/>
          <w:szCs w:val="20"/>
          <w:lang w:eastAsia="ja-JP"/>
        </w:rPr>
        <w:t>Део фискалног биланса (FB)</w:t>
      </w:r>
      <w:r w:rsidRPr="00671E8F">
        <w:rPr>
          <w:rFonts w:ascii="Calibri" w:eastAsia="MS PGothic" w:hAnsi="Calibri" w:cs="Calibri"/>
          <w:i/>
          <w:szCs w:val="20"/>
          <w:lang w:eastAsia="ja-JP"/>
        </w:rPr>
        <w:t xml:space="preserve"> </w:t>
      </w:r>
      <w:r w:rsidRPr="00671E8F">
        <w:rPr>
          <w:rFonts w:ascii="Calibri" w:eastAsia="MS PGothic" w:hAnsi="Calibri" w:cs="Calibri"/>
          <w:szCs w:val="20"/>
          <w:lang w:eastAsia="ja-JP"/>
        </w:rPr>
        <w:t>који није под утицајем цикличних флуктуација назива се циклично прилагођени фискални биланс (CAB),</w:t>
      </w:r>
      <w:r w:rsidRPr="00671E8F">
        <w:rPr>
          <w:rFonts w:ascii="Calibri" w:eastAsia="MS PGothic" w:hAnsi="Calibri" w:cs="Calibri"/>
          <w:i/>
          <w:szCs w:val="20"/>
          <w:lang w:eastAsia="ja-JP"/>
        </w:rPr>
        <w:t xml:space="preserve"> </w:t>
      </w:r>
      <w:r w:rsidRPr="00671E8F">
        <w:rPr>
          <w:rFonts w:ascii="Calibri" w:eastAsia="MS PGothic" w:hAnsi="Calibri" w:cs="Calibri"/>
          <w:szCs w:val="20"/>
          <w:lang w:eastAsia="ja-JP"/>
        </w:rPr>
        <w:t xml:space="preserve">а циљ ове процедуре је изоловање цикличне компоненте </w:t>
      </w:r>
      <w:r w:rsidRPr="00671E8F">
        <w:rPr>
          <w:rFonts w:eastAsia="MS PGothic" w:cstheme="minorHAnsi"/>
          <w:szCs w:val="20"/>
          <w:lang w:eastAsia="ja-JP"/>
        </w:rPr>
        <w:t>фискалног биланса (CB) која је резултат дејства производног јаза. Стварни фискални биланс биће једнак циклично прилагођеном у случају да је производни јаз једнак нули, тј. ако је стопа раста реалног БДП једнака потенцијалној. Структурни фискални биланс се даље рачунски добија елиминацијом једнократних ефеката на приходној и расходној страни, и тако показује структурну (трајну) фискалну позицију.</w:t>
      </w:r>
    </w:p>
    <w:p w14:paraId="17B2CB69" w14:textId="77777777" w:rsidR="00473C3B" w:rsidRPr="00671E8F" w:rsidRDefault="00473C3B" w:rsidP="00473C3B">
      <w:pPr>
        <w:spacing w:after="120"/>
        <w:rPr>
          <w:rFonts w:eastAsia="MS PGothic" w:cstheme="minorHAnsi"/>
          <w:szCs w:val="20"/>
          <w:lang w:eastAsia="ja-JP"/>
        </w:rPr>
      </w:pPr>
      <w:r w:rsidRPr="00671E8F">
        <w:rPr>
          <w:rFonts w:ascii="Calibri" w:eastAsia="MS PGothic" w:hAnsi="Calibri" w:cs="Calibri"/>
          <w:szCs w:val="20"/>
          <w:lang w:eastAsia="ja-JP"/>
        </w:rPr>
        <w:t>Ф</w:t>
      </w:r>
      <w:r w:rsidRPr="00671E8F">
        <w:rPr>
          <w:rFonts w:eastAsia="MS PGothic" w:cstheme="minorHAnsi"/>
          <w:szCs w:val="20"/>
          <w:lang w:eastAsia="ja-JP"/>
        </w:rPr>
        <w:t>искални простор креиран у претходном периоду и значајно структурно унапређена фискална позиција земље, омогућили су простор за релаксацију фискалне политике у кризним временима.</w:t>
      </w:r>
    </w:p>
    <w:p w14:paraId="41323A76" w14:textId="77777777" w:rsidR="00473C3B" w:rsidRPr="00671E8F" w:rsidRDefault="00473C3B" w:rsidP="00473C3B">
      <w:pPr>
        <w:spacing w:after="120"/>
        <w:rPr>
          <w:rFonts w:ascii="Calibri" w:eastAsia="Calibri" w:hAnsi="Calibri" w:cs="Calibri"/>
          <w:szCs w:val="20"/>
        </w:rPr>
        <w:sectPr w:rsidR="00473C3B" w:rsidRPr="00671E8F" w:rsidSect="00473C3B">
          <w:type w:val="continuous"/>
          <w:pgSz w:w="12240" w:h="15840" w:code="1"/>
          <w:pgMar w:top="1417" w:right="1417" w:bottom="1417" w:left="1417" w:header="720" w:footer="720" w:gutter="0"/>
          <w:cols w:num="2" w:space="720"/>
          <w15:footnoteColumns w:val="1"/>
        </w:sectPr>
      </w:pPr>
      <w:r w:rsidRPr="00671E8F">
        <w:rPr>
          <w:rFonts w:ascii="Calibri" w:eastAsia="MS PGothic" w:hAnsi="Calibri" w:cs="Calibri"/>
          <w:spacing w:val="-2"/>
          <w:szCs w:val="20"/>
          <w:lang w:eastAsia="ja-JP"/>
        </w:rPr>
        <w:t xml:space="preserve">Избијањем пандемије COVID-19 почетком 2020. године и увођењем мера за здравствену заштиту становништва, глобална економија је ушла у кризу без преседана. </w:t>
      </w:r>
      <w:r w:rsidRPr="00671E8F">
        <w:rPr>
          <w:rFonts w:ascii="Calibri" w:eastAsia="Calibri" w:hAnsi="Calibri" w:cs="Calibri"/>
          <w:szCs w:val="20"/>
        </w:rPr>
        <w:t>Утицај на фискалну позицију је био видљив кроз смањене прихода буџета, који су последица успоравања економске активности услед пандемије, и драматично већих расхода условљених већим трошковима здравствене заштите и доношењем обимног пакета помоћи привреди и грађанима. У таквој ситуацији, уобичајена анализа привредног циклуса, квантификација фискалних мултипликатора и оцена еластичности фискалног баланса у односу на производни јаз не даје сасвим коректне оцене фискалне позиције земље.</w:t>
      </w:r>
      <w:r w:rsidRPr="00671E8F">
        <w:rPr>
          <w:rFonts w:ascii="Calibri" w:eastAsia="Calibri" w:hAnsi="Calibri" w:cs="Calibri"/>
          <w:spacing w:val="-2"/>
          <w:szCs w:val="20"/>
        </w:rPr>
        <w:t xml:space="preserve"> </w:t>
      </w:r>
      <w:r w:rsidRPr="00671E8F">
        <w:rPr>
          <w:rFonts w:ascii="Calibri" w:eastAsia="Calibri" w:hAnsi="Calibri" w:cs="Calibri"/>
          <w:szCs w:val="20"/>
        </w:rPr>
        <w:t>Одговор фискалне политике на сложену економску ситуацију узроковану пандемијом коронавируса у 2020. и 2021. години, представљен је опсежним пакетом мера помоћи привреди. У случају одсуства мера подршке привреди и становништву благ пад БДП у 2020. години и снажан опоравак током 2021. године би изостао, а већа контракција привреде би утицала на знатно спорији опоравак у наредном средњорочном периоду.</w:t>
      </w:r>
    </w:p>
    <w:p w14:paraId="3EF98700" w14:textId="774EFEE4" w:rsidR="00473C3B" w:rsidRPr="00671E8F" w:rsidRDefault="00473C3B" w:rsidP="00473C3B">
      <w:pPr>
        <w:jc w:val="center"/>
        <w:rPr>
          <w:rFonts w:ascii="Calibri" w:eastAsia="MS PGothic" w:hAnsi="Calibri" w:cs="Calibri"/>
          <w:b/>
          <w:bCs/>
          <w:color w:val="002060"/>
        </w:rPr>
      </w:pPr>
      <w:r w:rsidRPr="00671E8F">
        <w:rPr>
          <w:rFonts w:ascii="Calibri" w:eastAsia="MS PGothic" w:hAnsi="Calibri" w:cs="Calibri"/>
          <w:b/>
          <w:bCs/>
          <w:color w:val="002060"/>
        </w:rPr>
        <w:t>Табела 2</w:t>
      </w:r>
      <w:r w:rsidR="00FC5CD7" w:rsidRPr="00671E8F">
        <w:rPr>
          <w:rFonts w:ascii="Calibri" w:eastAsia="MS PGothic" w:hAnsi="Calibri" w:cs="Calibri"/>
          <w:b/>
          <w:bCs/>
          <w:color w:val="002060"/>
        </w:rPr>
        <w:t>5</w:t>
      </w:r>
      <w:r w:rsidRPr="00671E8F">
        <w:rPr>
          <w:rFonts w:ascii="Calibri" w:eastAsia="MS PGothic" w:hAnsi="Calibri" w:cs="Calibri"/>
          <w:b/>
          <w:bCs/>
          <w:color w:val="002060"/>
        </w:rPr>
        <w:t xml:space="preserve">. Фискални биланс и компоненте за обрачун циклично прилагођеног биланса </w:t>
      </w:r>
      <w:r w:rsidRPr="00671E8F">
        <w:rPr>
          <w:rFonts w:ascii="Calibri" w:eastAsia="MS PGothic" w:hAnsi="Calibri" w:cs="Calibri"/>
          <w:b/>
          <w:bCs/>
          <w:color w:val="002060"/>
        </w:rPr>
        <w:br w:type="textWrapping" w:clear="all"/>
        <w:t>у периоду 2005–2027. године, % БДП*</w:t>
      </w:r>
    </w:p>
    <w:tbl>
      <w:tblPr>
        <w:tblStyle w:val="PlainTable2"/>
        <w:tblW w:w="0" w:type="auto"/>
        <w:jc w:val="center"/>
        <w:tblLook w:val="04A0" w:firstRow="1" w:lastRow="0" w:firstColumn="1" w:lastColumn="0" w:noHBand="0" w:noVBand="1"/>
      </w:tblPr>
      <w:tblGrid>
        <w:gridCol w:w="501"/>
        <w:gridCol w:w="1015"/>
        <w:gridCol w:w="821"/>
        <w:gridCol w:w="1088"/>
        <w:gridCol w:w="1252"/>
        <w:gridCol w:w="1385"/>
        <w:gridCol w:w="1144"/>
        <w:gridCol w:w="1277"/>
        <w:gridCol w:w="923"/>
      </w:tblGrid>
      <w:tr w:rsidR="00473C3B" w:rsidRPr="00671E8F" w14:paraId="17951D76" w14:textId="77777777" w:rsidTr="00473C3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5BCE571"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w:t>
            </w:r>
          </w:p>
        </w:tc>
        <w:tc>
          <w:tcPr>
            <w:tcW w:w="0" w:type="auto"/>
            <w:hideMark/>
          </w:tcPr>
          <w:p w14:paraId="3ABADCBE"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xml:space="preserve">Производни јаз </w:t>
            </w:r>
          </w:p>
        </w:tc>
        <w:tc>
          <w:tcPr>
            <w:tcW w:w="0" w:type="auto"/>
            <w:hideMark/>
          </w:tcPr>
          <w:p w14:paraId="2DB343CF"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xml:space="preserve">Фискални </w:t>
            </w:r>
            <w:r w:rsidRPr="00671E8F">
              <w:rPr>
                <w:rFonts w:eastAsia="Times New Roman" w:cstheme="minorHAnsi"/>
                <w:color w:val="1F4E79" w:themeColor="accent5" w:themeShade="80"/>
                <w:sz w:val="14"/>
                <w:szCs w:val="14"/>
              </w:rPr>
              <w:br/>
              <w:t>биланс</w:t>
            </w:r>
          </w:p>
        </w:tc>
        <w:tc>
          <w:tcPr>
            <w:tcW w:w="0" w:type="auto"/>
            <w:hideMark/>
          </w:tcPr>
          <w:p w14:paraId="513D2D6C"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Примарни фискални биланс</w:t>
            </w:r>
          </w:p>
        </w:tc>
        <w:tc>
          <w:tcPr>
            <w:tcW w:w="0" w:type="auto"/>
            <w:hideMark/>
          </w:tcPr>
          <w:p w14:paraId="33045E2E"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xml:space="preserve">Циклично </w:t>
            </w:r>
            <w:r w:rsidRPr="00671E8F">
              <w:rPr>
                <w:rFonts w:eastAsia="Times New Roman" w:cstheme="minorHAnsi"/>
                <w:color w:val="1F4E79" w:themeColor="accent5" w:themeShade="80"/>
                <w:sz w:val="14"/>
                <w:szCs w:val="14"/>
              </w:rPr>
              <w:br/>
              <w:t>прилагођени  фискални биланс</w:t>
            </w:r>
          </w:p>
        </w:tc>
        <w:tc>
          <w:tcPr>
            <w:tcW w:w="0" w:type="auto"/>
            <w:hideMark/>
          </w:tcPr>
          <w:p w14:paraId="499DCB4D"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xml:space="preserve">Циклично </w:t>
            </w:r>
            <w:r w:rsidRPr="00671E8F">
              <w:rPr>
                <w:rFonts w:eastAsia="Times New Roman" w:cstheme="minorHAnsi"/>
                <w:color w:val="1F4E79" w:themeColor="accent5" w:themeShade="80"/>
                <w:sz w:val="14"/>
                <w:szCs w:val="14"/>
              </w:rPr>
              <w:br/>
              <w:t>прилагођени примарни фискални биланс</w:t>
            </w:r>
          </w:p>
        </w:tc>
        <w:tc>
          <w:tcPr>
            <w:tcW w:w="0" w:type="auto"/>
            <w:hideMark/>
          </w:tcPr>
          <w:p w14:paraId="458D127A"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Структурни  фискални биланс</w:t>
            </w:r>
          </w:p>
        </w:tc>
        <w:tc>
          <w:tcPr>
            <w:tcW w:w="0" w:type="auto"/>
            <w:hideMark/>
          </w:tcPr>
          <w:p w14:paraId="500AB36D"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Структурни примарни фискални биланс</w:t>
            </w:r>
          </w:p>
        </w:tc>
        <w:tc>
          <w:tcPr>
            <w:tcW w:w="0" w:type="auto"/>
            <w:hideMark/>
          </w:tcPr>
          <w:p w14:paraId="45924606" w14:textId="77777777" w:rsidR="00473C3B" w:rsidRPr="00671E8F" w:rsidRDefault="00473C3B" w:rsidP="00473C3B">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Фискални импулс</w:t>
            </w:r>
          </w:p>
        </w:tc>
      </w:tr>
      <w:tr w:rsidR="00473C3B" w:rsidRPr="00671E8F" w14:paraId="32261388"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E980412"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2005</w:t>
            </w:r>
          </w:p>
        </w:tc>
        <w:tc>
          <w:tcPr>
            <w:tcW w:w="0" w:type="auto"/>
            <w:hideMark/>
          </w:tcPr>
          <w:p w14:paraId="38E0F5F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c>
          <w:tcPr>
            <w:tcW w:w="0" w:type="auto"/>
            <w:hideMark/>
          </w:tcPr>
          <w:p w14:paraId="2948CCE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hideMark/>
          </w:tcPr>
          <w:p w14:paraId="68E8F73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w:t>
            </w:r>
          </w:p>
        </w:tc>
        <w:tc>
          <w:tcPr>
            <w:tcW w:w="0" w:type="auto"/>
            <w:noWrap/>
            <w:hideMark/>
          </w:tcPr>
          <w:p w14:paraId="4C61794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hideMark/>
          </w:tcPr>
          <w:p w14:paraId="5277B49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w:t>
            </w:r>
          </w:p>
        </w:tc>
        <w:tc>
          <w:tcPr>
            <w:tcW w:w="0" w:type="auto"/>
            <w:noWrap/>
            <w:hideMark/>
          </w:tcPr>
          <w:p w14:paraId="555836C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noWrap/>
            <w:hideMark/>
          </w:tcPr>
          <w:p w14:paraId="343B8C40"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2,2</w:t>
            </w:r>
          </w:p>
        </w:tc>
        <w:tc>
          <w:tcPr>
            <w:tcW w:w="0" w:type="auto"/>
            <w:noWrap/>
            <w:hideMark/>
          </w:tcPr>
          <w:p w14:paraId="6B80400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 </w:t>
            </w:r>
          </w:p>
        </w:tc>
      </w:tr>
      <w:tr w:rsidR="00473C3B" w:rsidRPr="00671E8F" w14:paraId="33B83B35"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79C815F4"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2006</w:t>
            </w:r>
          </w:p>
        </w:tc>
        <w:tc>
          <w:tcPr>
            <w:tcW w:w="0" w:type="auto"/>
            <w:hideMark/>
          </w:tcPr>
          <w:p w14:paraId="0BFF31C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-3,3</w:t>
            </w:r>
          </w:p>
        </w:tc>
        <w:tc>
          <w:tcPr>
            <w:tcW w:w="0" w:type="auto"/>
            <w:hideMark/>
          </w:tcPr>
          <w:p w14:paraId="58251D6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c>
          <w:tcPr>
            <w:tcW w:w="0" w:type="auto"/>
            <w:hideMark/>
          </w:tcPr>
          <w:p w14:paraId="22E67D5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noWrap/>
            <w:hideMark/>
          </w:tcPr>
          <w:p w14:paraId="7F62786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hideMark/>
          </w:tcPr>
          <w:p w14:paraId="7FB1B11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5EE325C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noWrap/>
            <w:hideMark/>
          </w:tcPr>
          <w:p w14:paraId="4B2E2C1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noWrap/>
            <w:hideMark/>
          </w:tcPr>
          <w:p w14:paraId="455D9F6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r>
      <w:tr w:rsidR="00473C3B" w:rsidRPr="00671E8F" w14:paraId="75BFF0C5"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DC43A78"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2007</w:t>
            </w:r>
          </w:p>
        </w:tc>
        <w:tc>
          <w:tcPr>
            <w:tcW w:w="0" w:type="auto"/>
            <w:hideMark/>
          </w:tcPr>
          <w:p w14:paraId="2C03DBB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hideMark/>
          </w:tcPr>
          <w:p w14:paraId="2B11F32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hideMark/>
          </w:tcPr>
          <w:p w14:paraId="6AAAAF1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-1,2</w:t>
            </w:r>
          </w:p>
        </w:tc>
        <w:tc>
          <w:tcPr>
            <w:tcW w:w="0" w:type="auto"/>
            <w:noWrap/>
            <w:hideMark/>
          </w:tcPr>
          <w:p w14:paraId="310B992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-2,2</w:t>
            </w:r>
          </w:p>
        </w:tc>
        <w:tc>
          <w:tcPr>
            <w:tcW w:w="0" w:type="auto"/>
            <w:hideMark/>
          </w:tcPr>
          <w:p w14:paraId="24FEABC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hideMark/>
          </w:tcPr>
          <w:p w14:paraId="590FF55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-1,9</w:t>
            </w:r>
          </w:p>
        </w:tc>
        <w:tc>
          <w:tcPr>
            <w:tcW w:w="0" w:type="auto"/>
            <w:noWrap/>
            <w:hideMark/>
          </w:tcPr>
          <w:p w14:paraId="5444B9F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noWrap/>
            <w:hideMark/>
          </w:tcPr>
          <w:p w14:paraId="6BA00A8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2,7</w:t>
            </w:r>
          </w:p>
        </w:tc>
      </w:tr>
      <w:tr w:rsidR="00473C3B" w:rsidRPr="00671E8F" w14:paraId="0E85C1E1"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F84A3C9"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2008</w:t>
            </w:r>
          </w:p>
        </w:tc>
        <w:tc>
          <w:tcPr>
            <w:tcW w:w="0" w:type="auto"/>
            <w:hideMark/>
          </w:tcPr>
          <w:p w14:paraId="7E8C375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4,1</w:t>
            </w:r>
          </w:p>
        </w:tc>
        <w:tc>
          <w:tcPr>
            <w:tcW w:w="0" w:type="auto"/>
            <w:hideMark/>
          </w:tcPr>
          <w:p w14:paraId="64344FA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-2,4</w:t>
            </w:r>
          </w:p>
        </w:tc>
        <w:tc>
          <w:tcPr>
            <w:tcW w:w="0" w:type="auto"/>
            <w:hideMark/>
          </w:tcPr>
          <w:p w14:paraId="45E0E9D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-1,9</w:t>
            </w:r>
          </w:p>
        </w:tc>
        <w:tc>
          <w:tcPr>
            <w:tcW w:w="0" w:type="auto"/>
            <w:noWrap/>
            <w:hideMark/>
          </w:tcPr>
          <w:p w14:paraId="60771EEA"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-3,9</w:t>
            </w:r>
          </w:p>
        </w:tc>
        <w:tc>
          <w:tcPr>
            <w:tcW w:w="0" w:type="auto"/>
            <w:hideMark/>
          </w:tcPr>
          <w:p w14:paraId="54E9D9F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-3,3</w:t>
            </w:r>
          </w:p>
        </w:tc>
        <w:tc>
          <w:tcPr>
            <w:tcW w:w="0" w:type="auto"/>
            <w:hideMark/>
          </w:tcPr>
          <w:p w14:paraId="2A5C96BA"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-3,9</w:t>
            </w:r>
          </w:p>
        </w:tc>
        <w:tc>
          <w:tcPr>
            <w:tcW w:w="0" w:type="auto"/>
            <w:noWrap/>
            <w:hideMark/>
          </w:tcPr>
          <w:p w14:paraId="3D0F32EA"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noWrap/>
            <w:hideMark/>
          </w:tcPr>
          <w:p w14:paraId="0B21109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r>
      <w:tr w:rsidR="00473C3B" w:rsidRPr="00671E8F" w14:paraId="7CBAB36C"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C6B8C7C"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2009</w:t>
            </w:r>
          </w:p>
        </w:tc>
        <w:tc>
          <w:tcPr>
            <w:tcW w:w="0" w:type="auto"/>
            <w:hideMark/>
          </w:tcPr>
          <w:p w14:paraId="04F9504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hideMark/>
          </w:tcPr>
          <w:p w14:paraId="6B89AED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-4,0</w:t>
            </w:r>
          </w:p>
        </w:tc>
        <w:tc>
          <w:tcPr>
            <w:tcW w:w="0" w:type="auto"/>
            <w:hideMark/>
          </w:tcPr>
          <w:p w14:paraId="1C04B83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noWrap/>
            <w:hideMark/>
          </w:tcPr>
          <w:p w14:paraId="7C1C98B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-3,8</w:t>
            </w:r>
          </w:p>
        </w:tc>
        <w:tc>
          <w:tcPr>
            <w:tcW w:w="0" w:type="auto"/>
            <w:hideMark/>
          </w:tcPr>
          <w:p w14:paraId="701B397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-3,2</w:t>
            </w:r>
          </w:p>
        </w:tc>
        <w:tc>
          <w:tcPr>
            <w:tcW w:w="0" w:type="auto"/>
            <w:hideMark/>
          </w:tcPr>
          <w:p w14:paraId="5F78384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-3,9</w:t>
            </w:r>
          </w:p>
        </w:tc>
        <w:tc>
          <w:tcPr>
            <w:tcW w:w="0" w:type="auto"/>
            <w:noWrap/>
            <w:hideMark/>
          </w:tcPr>
          <w:p w14:paraId="221523D0"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-3,3</w:t>
            </w:r>
          </w:p>
        </w:tc>
        <w:tc>
          <w:tcPr>
            <w:tcW w:w="0" w:type="auto"/>
            <w:noWrap/>
            <w:hideMark/>
          </w:tcPr>
          <w:p w14:paraId="200BB8B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r>
      <w:tr w:rsidR="00473C3B" w:rsidRPr="00671E8F" w14:paraId="5803D218"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182401B"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2010</w:t>
            </w:r>
          </w:p>
        </w:tc>
        <w:tc>
          <w:tcPr>
            <w:tcW w:w="0" w:type="auto"/>
            <w:hideMark/>
          </w:tcPr>
          <w:p w14:paraId="1CE207A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0,4</w:t>
            </w:r>
          </w:p>
        </w:tc>
        <w:tc>
          <w:tcPr>
            <w:tcW w:w="0" w:type="auto"/>
            <w:hideMark/>
          </w:tcPr>
          <w:p w14:paraId="264D56B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-4,2</w:t>
            </w:r>
          </w:p>
        </w:tc>
        <w:tc>
          <w:tcPr>
            <w:tcW w:w="0" w:type="auto"/>
            <w:hideMark/>
          </w:tcPr>
          <w:p w14:paraId="000435F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-3,2</w:t>
            </w:r>
          </w:p>
        </w:tc>
        <w:tc>
          <w:tcPr>
            <w:tcW w:w="0" w:type="auto"/>
            <w:noWrap/>
            <w:hideMark/>
          </w:tcPr>
          <w:p w14:paraId="3C9656B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-4,3</w:t>
            </w:r>
          </w:p>
        </w:tc>
        <w:tc>
          <w:tcPr>
            <w:tcW w:w="0" w:type="auto"/>
            <w:hideMark/>
          </w:tcPr>
          <w:p w14:paraId="6E8A519F"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hideMark/>
          </w:tcPr>
          <w:p w14:paraId="4B6A3AF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-4,4</w:t>
            </w:r>
          </w:p>
        </w:tc>
        <w:tc>
          <w:tcPr>
            <w:tcW w:w="0" w:type="auto"/>
            <w:noWrap/>
            <w:hideMark/>
          </w:tcPr>
          <w:p w14:paraId="45651FD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-3,5</w:t>
            </w:r>
          </w:p>
        </w:tc>
        <w:tc>
          <w:tcPr>
            <w:tcW w:w="0" w:type="auto"/>
            <w:noWrap/>
            <w:hideMark/>
          </w:tcPr>
          <w:p w14:paraId="5382B26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r>
      <w:tr w:rsidR="00473C3B" w:rsidRPr="00671E8F" w14:paraId="3C9E377B"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59FBC09"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2011</w:t>
            </w:r>
          </w:p>
        </w:tc>
        <w:tc>
          <w:tcPr>
            <w:tcW w:w="0" w:type="auto"/>
            <w:hideMark/>
          </w:tcPr>
          <w:p w14:paraId="7BFD6C8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c>
          <w:tcPr>
            <w:tcW w:w="0" w:type="auto"/>
            <w:hideMark/>
          </w:tcPr>
          <w:p w14:paraId="443946E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-4,3</w:t>
            </w:r>
          </w:p>
        </w:tc>
        <w:tc>
          <w:tcPr>
            <w:tcW w:w="0" w:type="auto"/>
            <w:hideMark/>
          </w:tcPr>
          <w:p w14:paraId="6462711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-3,2</w:t>
            </w:r>
          </w:p>
        </w:tc>
        <w:tc>
          <w:tcPr>
            <w:tcW w:w="0" w:type="auto"/>
            <w:noWrap/>
            <w:hideMark/>
          </w:tcPr>
          <w:p w14:paraId="2F9AA49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hideMark/>
          </w:tcPr>
          <w:p w14:paraId="5AA988D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hideMark/>
          </w:tcPr>
          <w:p w14:paraId="34F3018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-4,7</w:t>
            </w:r>
          </w:p>
        </w:tc>
        <w:tc>
          <w:tcPr>
            <w:tcW w:w="0" w:type="auto"/>
            <w:noWrap/>
            <w:hideMark/>
          </w:tcPr>
          <w:p w14:paraId="698EBA6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-3,6</w:t>
            </w:r>
          </w:p>
        </w:tc>
        <w:tc>
          <w:tcPr>
            <w:tcW w:w="0" w:type="auto"/>
            <w:noWrap/>
            <w:hideMark/>
          </w:tcPr>
          <w:p w14:paraId="23923F9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r>
      <w:tr w:rsidR="00473C3B" w:rsidRPr="00671E8F" w14:paraId="5738ADEA"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1CC3494B"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2012</w:t>
            </w:r>
          </w:p>
        </w:tc>
        <w:tc>
          <w:tcPr>
            <w:tcW w:w="0" w:type="auto"/>
            <w:hideMark/>
          </w:tcPr>
          <w:p w14:paraId="0ADF936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c>
          <w:tcPr>
            <w:tcW w:w="0" w:type="auto"/>
            <w:hideMark/>
          </w:tcPr>
          <w:p w14:paraId="3E2658A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-6,2</w:t>
            </w:r>
          </w:p>
        </w:tc>
        <w:tc>
          <w:tcPr>
            <w:tcW w:w="0" w:type="auto"/>
            <w:hideMark/>
          </w:tcPr>
          <w:p w14:paraId="60245CD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noWrap/>
            <w:hideMark/>
          </w:tcPr>
          <w:p w14:paraId="6E0A208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-6,2</w:t>
            </w:r>
          </w:p>
        </w:tc>
        <w:tc>
          <w:tcPr>
            <w:tcW w:w="0" w:type="auto"/>
            <w:hideMark/>
          </w:tcPr>
          <w:p w14:paraId="158DFFD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hideMark/>
          </w:tcPr>
          <w:p w14:paraId="039D4C4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-6,1</w:t>
            </w:r>
          </w:p>
        </w:tc>
        <w:tc>
          <w:tcPr>
            <w:tcW w:w="0" w:type="auto"/>
            <w:noWrap/>
            <w:hideMark/>
          </w:tcPr>
          <w:p w14:paraId="4484F45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noWrap/>
            <w:hideMark/>
          </w:tcPr>
          <w:p w14:paraId="3B9ED40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1,2</w:t>
            </w:r>
          </w:p>
        </w:tc>
      </w:tr>
      <w:tr w:rsidR="00473C3B" w:rsidRPr="00671E8F" w14:paraId="49DD9F3B"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474CBA4"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2013</w:t>
            </w:r>
          </w:p>
        </w:tc>
        <w:tc>
          <w:tcPr>
            <w:tcW w:w="0" w:type="auto"/>
            <w:hideMark/>
          </w:tcPr>
          <w:p w14:paraId="7FB5200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0,4</w:t>
            </w:r>
          </w:p>
        </w:tc>
        <w:tc>
          <w:tcPr>
            <w:tcW w:w="0" w:type="auto"/>
            <w:hideMark/>
          </w:tcPr>
          <w:p w14:paraId="629B8BE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-4,9</w:t>
            </w:r>
          </w:p>
        </w:tc>
        <w:tc>
          <w:tcPr>
            <w:tcW w:w="0" w:type="auto"/>
            <w:hideMark/>
          </w:tcPr>
          <w:p w14:paraId="04522C0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-2,8</w:t>
            </w:r>
          </w:p>
        </w:tc>
        <w:tc>
          <w:tcPr>
            <w:tcW w:w="0" w:type="auto"/>
            <w:noWrap/>
            <w:hideMark/>
          </w:tcPr>
          <w:p w14:paraId="5F6EE01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-5,1</w:t>
            </w:r>
          </w:p>
        </w:tc>
        <w:tc>
          <w:tcPr>
            <w:tcW w:w="0" w:type="auto"/>
            <w:hideMark/>
          </w:tcPr>
          <w:p w14:paraId="3B98390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59D1D8B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-4,8</w:t>
            </w:r>
          </w:p>
        </w:tc>
        <w:tc>
          <w:tcPr>
            <w:tcW w:w="0" w:type="auto"/>
            <w:noWrap/>
            <w:hideMark/>
          </w:tcPr>
          <w:p w14:paraId="62734C9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-2,7</w:t>
            </w:r>
          </w:p>
        </w:tc>
        <w:tc>
          <w:tcPr>
            <w:tcW w:w="0" w:type="auto"/>
            <w:noWrap/>
            <w:hideMark/>
          </w:tcPr>
          <w:p w14:paraId="7C4DA5C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-1,5</w:t>
            </w:r>
          </w:p>
        </w:tc>
      </w:tr>
      <w:tr w:rsidR="00473C3B" w:rsidRPr="00671E8F" w14:paraId="7AA004AF"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6326F7A"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2014</w:t>
            </w:r>
          </w:p>
        </w:tc>
        <w:tc>
          <w:tcPr>
            <w:tcW w:w="0" w:type="auto"/>
            <w:hideMark/>
          </w:tcPr>
          <w:p w14:paraId="67EB7B6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hideMark/>
          </w:tcPr>
          <w:p w14:paraId="4FE90CD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-5,9</w:t>
            </w:r>
          </w:p>
        </w:tc>
        <w:tc>
          <w:tcPr>
            <w:tcW w:w="0" w:type="auto"/>
            <w:hideMark/>
          </w:tcPr>
          <w:p w14:paraId="3A9E23F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-3,4</w:t>
            </w:r>
          </w:p>
        </w:tc>
        <w:tc>
          <w:tcPr>
            <w:tcW w:w="0" w:type="auto"/>
            <w:noWrap/>
            <w:hideMark/>
          </w:tcPr>
          <w:p w14:paraId="5FD78E3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-5,3</w:t>
            </w:r>
          </w:p>
        </w:tc>
        <w:tc>
          <w:tcPr>
            <w:tcW w:w="0" w:type="auto"/>
            <w:hideMark/>
          </w:tcPr>
          <w:p w14:paraId="6B7847C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-2,8</w:t>
            </w:r>
          </w:p>
        </w:tc>
        <w:tc>
          <w:tcPr>
            <w:tcW w:w="0" w:type="auto"/>
            <w:hideMark/>
          </w:tcPr>
          <w:p w14:paraId="0067393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noWrap/>
            <w:hideMark/>
          </w:tcPr>
          <w:p w14:paraId="130A162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w:t>
            </w:r>
          </w:p>
        </w:tc>
        <w:tc>
          <w:tcPr>
            <w:tcW w:w="0" w:type="auto"/>
            <w:noWrap/>
            <w:hideMark/>
          </w:tcPr>
          <w:p w14:paraId="0500614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r>
      <w:tr w:rsidR="00473C3B" w:rsidRPr="00671E8F" w14:paraId="0931D592"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7E0AC8F"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2015</w:t>
            </w:r>
          </w:p>
        </w:tc>
        <w:tc>
          <w:tcPr>
            <w:tcW w:w="0" w:type="auto"/>
            <w:hideMark/>
          </w:tcPr>
          <w:p w14:paraId="3148C71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c>
          <w:tcPr>
            <w:tcW w:w="0" w:type="auto"/>
            <w:hideMark/>
          </w:tcPr>
          <w:p w14:paraId="500A685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-3,3</w:t>
            </w:r>
          </w:p>
        </w:tc>
        <w:tc>
          <w:tcPr>
            <w:tcW w:w="0" w:type="auto"/>
            <w:hideMark/>
          </w:tcPr>
          <w:p w14:paraId="3A529BA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noWrap/>
            <w:hideMark/>
          </w:tcPr>
          <w:p w14:paraId="0E2AA77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-2,8</w:t>
            </w:r>
          </w:p>
        </w:tc>
        <w:tc>
          <w:tcPr>
            <w:tcW w:w="0" w:type="auto"/>
            <w:hideMark/>
          </w:tcPr>
          <w:p w14:paraId="156770D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hideMark/>
          </w:tcPr>
          <w:p w14:paraId="3C610EE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w:t>
            </w:r>
          </w:p>
        </w:tc>
        <w:tc>
          <w:tcPr>
            <w:tcW w:w="0" w:type="auto"/>
            <w:noWrap/>
            <w:hideMark/>
          </w:tcPr>
          <w:p w14:paraId="72854DC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c>
          <w:tcPr>
            <w:tcW w:w="0" w:type="auto"/>
            <w:noWrap/>
            <w:hideMark/>
          </w:tcPr>
          <w:p w14:paraId="7F054B9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-2,9</w:t>
            </w:r>
          </w:p>
        </w:tc>
      </w:tr>
      <w:tr w:rsidR="00473C3B" w:rsidRPr="00671E8F" w14:paraId="5DBBF77E"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7DB034D"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2016</w:t>
            </w:r>
          </w:p>
        </w:tc>
        <w:tc>
          <w:tcPr>
            <w:tcW w:w="0" w:type="auto"/>
            <w:noWrap/>
            <w:hideMark/>
          </w:tcPr>
          <w:p w14:paraId="081A82D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-0,4</w:t>
            </w:r>
          </w:p>
        </w:tc>
        <w:tc>
          <w:tcPr>
            <w:tcW w:w="0" w:type="auto"/>
            <w:noWrap/>
            <w:hideMark/>
          </w:tcPr>
          <w:p w14:paraId="7C19E16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noWrap/>
            <w:hideMark/>
          </w:tcPr>
          <w:p w14:paraId="07E8CC7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1,6</w:t>
            </w:r>
          </w:p>
        </w:tc>
        <w:tc>
          <w:tcPr>
            <w:tcW w:w="0" w:type="auto"/>
            <w:noWrap/>
            <w:hideMark/>
          </w:tcPr>
          <w:p w14:paraId="08F9A75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6C9646F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1,8</w:t>
            </w:r>
          </w:p>
        </w:tc>
        <w:tc>
          <w:tcPr>
            <w:tcW w:w="0" w:type="auto"/>
            <w:hideMark/>
          </w:tcPr>
          <w:p w14:paraId="5C2E5E8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c>
          <w:tcPr>
            <w:tcW w:w="0" w:type="auto"/>
            <w:noWrap/>
            <w:hideMark/>
          </w:tcPr>
          <w:p w14:paraId="79EE572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1,8</w:t>
            </w:r>
          </w:p>
        </w:tc>
        <w:tc>
          <w:tcPr>
            <w:tcW w:w="0" w:type="auto"/>
            <w:noWrap/>
            <w:hideMark/>
          </w:tcPr>
          <w:p w14:paraId="4792971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r>
      <w:tr w:rsidR="00473C3B" w:rsidRPr="00671E8F" w14:paraId="29E5616B"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F129350"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2017</w:t>
            </w:r>
          </w:p>
        </w:tc>
        <w:tc>
          <w:tcPr>
            <w:tcW w:w="0" w:type="auto"/>
            <w:hideMark/>
          </w:tcPr>
          <w:p w14:paraId="56AA252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-0,6</w:t>
            </w:r>
          </w:p>
        </w:tc>
        <w:tc>
          <w:tcPr>
            <w:tcW w:w="0" w:type="auto"/>
            <w:hideMark/>
          </w:tcPr>
          <w:p w14:paraId="5861034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hideMark/>
          </w:tcPr>
          <w:p w14:paraId="1CC7325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3,5</w:t>
            </w:r>
          </w:p>
        </w:tc>
        <w:tc>
          <w:tcPr>
            <w:tcW w:w="0" w:type="auto"/>
            <w:noWrap/>
            <w:hideMark/>
          </w:tcPr>
          <w:p w14:paraId="20E2863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hideMark/>
          </w:tcPr>
          <w:p w14:paraId="2D43298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3,7</w:t>
            </w:r>
          </w:p>
        </w:tc>
        <w:tc>
          <w:tcPr>
            <w:tcW w:w="0" w:type="auto"/>
            <w:hideMark/>
          </w:tcPr>
          <w:p w14:paraId="049CA8B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noWrap/>
            <w:hideMark/>
          </w:tcPr>
          <w:p w14:paraId="090210D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3,6</w:t>
            </w:r>
          </w:p>
        </w:tc>
        <w:tc>
          <w:tcPr>
            <w:tcW w:w="0" w:type="auto"/>
            <w:noWrap/>
            <w:hideMark/>
          </w:tcPr>
          <w:p w14:paraId="2F4CA1B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-1,9</w:t>
            </w:r>
          </w:p>
        </w:tc>
      </w:tr>
      <w:tr w:rsidR="00473C3B" w:rsidRPr="00671E8F" w14:paraId="641228B4"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5FD72195"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2018</w:t>
            </w:r>
          </w:p>
        </w:tc>
        <w:tc>
          <w:tcPr>
            <w:tcW w:w="0" w:type="auto"/>
            <w:hideMark/>
          </w:tcPr>
          <w:p w14:paraId="5B30378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0,8</w:t>
            </w:r>
          </w:p>
        </w:tc>
        <w:tc>
          <w:tcPr>
            <w:tcW w:w="0" w:type="auto"/>
            <w:hideMark/>
          </w:tcPr>
          <w:p w14:paraId="63D0280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0,6</w:t>
            </w:r>
          </w:p>
        </w:tc>
        <w:tc>
          <w:tcPr>
            <w:tcW w:w="0" w:type="auto"/>
            <w:hideMark/>
          </w:tcPr>
          <w:p w14:paraId="439CDF3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2,6</w:t>
            </w:r>
          </w:p>
        </w:tc>
        <w:tc>
          <w:tcPr>
            <w:tcW w:w="0" w:type="auto"/>
            <w:noWrap/>
            <w:hideMark/>
          </w:tcPr>
          <w:p w14:paraId="742C7481"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c>
          <w:tcPr>
            <w:tcW w:w="0" w:type="auto"/>
            <w:hideMark/>
          </w:tcPr>
          <w:p w14:paraId="687E812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2,3</w:t>
            </w:r>
          </w:p>
        </w:tc>
        <w:tc>
          <w:tcPr>
            <w:tcW w:w="0" w:type="auto"/>
            <w:hideMark/>
          </w:tcPr>
          <w:p w14:paraId="582DC4F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noWrap/>
            <w:hideMark/>
          </w:tcPr>
          <w:p w14:paraId="6EE9B44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2,2</w:t>
            </w:r>
          </w:p>
        </w:tc>
        <w:tc>
          <w:tcPr>
            <w:tcW w:w="0" w:type="auto"/>
            <w:noWrap/>
            <w:hideMark/>
          </w:tcPr>
          <w:p w14:paraId="16B620B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r>
      <w:tr w:rsidR="00473C3B" w:rsidRPr="00671E8F" w14:paraId="4C8D77B1"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27B076E1"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2019</w:t>
            </w:r>
          </w:p>
        </w:tc>
        <w:tc>
          <w:tcPr>
            <w:tcW w:w="0" w:type="auto"/>
            <w:hideMark/>
          </w:tcPr>
          <w:p w14:paraId="37CD686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2,1</w:t>
            </w:r>
          </w:p>
        </w:tc>
        <w:tc>
          <w:tcPr>
            <w:tcW w:w="0" w:type="auto"/>
            <w:hideMark/>
          </w:tcPr>
          <w:p w14:paraId="5E2A5ED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hideMark/>
          </w:tcPr>
          <w:p w14:paraId="1A85B69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noWrap/>
            <w:hideMark/>
          </w:tcPr>
          <w:p w14:paraId="16B9F60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c>
          <w:tcPr>
            <w:tcW w:w="0" w:type="auto"/>
            <w:hideMark/>
          </w:tcPr>
          <w:p w14:paraId="77202F1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28BBDA0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noWrap/>
            <w:hideMark/>
          </w:tcPr>
          <w:p w14:paraId="49A71F0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0,8</w:t>
            </w:r>
          </w:p>
        </w:tc>
        <w:tc>
          <w:tcPr>
            <w:tcW w:w="0" w:type="auto"/>
            <w:noWrap/>
            <w:hideMark/>
          </w:tcPr>
          <w:p w14:paraId="2B5DE7A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r>
      <w:tr w:rsidR="00473C3B" w:rsidRPr="00671E8F" w14:paraId="0DAF0125"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A35A2B5"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2020</w:t>
            </w:r>
          </w:p>
        </w:tc>
        <w:tc>
          <w:tcPr>
            <w:tcW w:w="0" w:type="auto"/>
            <w:hideMark/>
          </w:tcPr>
          <w:p w14:paraId="26AFD8B1"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-2,4</w:t>
            </w:r>
          </w:p>
        </w:tc>
        <w:tc>
          <w:tcPr>
            <w:tcW w:w="0" w:type="auto"/>
            <w:hideMark/>
          </w:tcPr>
          <w:p w14:paraId="4318B71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-7,7</w:t>
            </w:r>
          </w:p>
        </w:tc>
        <w:tc>
          <w:tcPr>
            <w:tcW w:w="0" w:type="auto"/>
            <w:hideMark/>
          </w:tcPr>
          <w:p w14:paraId="263507C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-5,8</w:t>
            </w:r>
          </w:p>
        </w:tc>
        <w:tc>
          <w:tcPr>
            <w:tcW w:w="0" w:type="auto"/>
            <w:noWrap/>
            <w:hideMark/>
          </w:tcPr>
          <w:p w14:paraId="5B786B5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-6,8</w:t>
            </w:r>
          </w:p>
        </w:tc>
        <w:tc>
          <w:tcPr>
            <w:tcW w:w="0" w:type="auto"/>
            <w:hideMark/>
          </w:tcPr>
          <w:p w14:paraId="35BB6AE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-4,9</w:t>
            </w:r>
          </w:p>
        </w:tc>
        <w:tc>
          <w:tcPr>
            <w:tcW w:w="0" w:type="auto"/>
            <w:hideMark/>
          </w:tcPr>
          <w:p w14:paraId="72003E5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noWrap/>
            <w:hideMark/>
          </w:tcPr>
          <w:p w14:paraId="0E653C9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1,8</w:t>
            </w:r>
          </w:p>
        </w:tc>
        <w:tc>
          <w:tcPr>
            <w:tcW w:w="0" w:type="auto"/>
            <w:noWrap/>
            <w:hideMark/>
          </w:tcPr>
          <w:p w14:paraId="5CD25FB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5,9</w:t>
            </w:r>
          </w:p>
        </w:tc>
      </w:tr>
      <w:tr w:rsidR="00473C3B" w:rsidRPr="00671E8F" w14:paraId="242B906A"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DCBA01E"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2021</w:t>
            </w:r>
          </w:p>
        </w:tc>
        <w:tc>
          <w:tcPr>
            <w:tcW w:w="0" w:type="auto"/>
            <w:hideMark/>
          </w:tcPr>
          <w:p w14:paraId="57CA50C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c>
          <w:tcPr>
            <w:tcW w:w="0" w:type="auto"/>
            <w:hideMark/>
          </w:tcPr>
          <w:p w14:paraId="078AA14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-3,9</w:t>
            </w:r>
          </w:p>
        </w:tc>
        <w:tc>
          <w:tcPr>
            <w:tcW w:w="0" w:type="auto"/>
            <w:hideMark/>
          </w:tcPr>
          <w:p w14:paraId="6C596A8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-2,3</w:t>
            </w:r>
          </w:p>
        </w:tc>
        <w:tc>
          <w:tcPr>
            <w:tcW w:w="0" w:type="auto"/>
            <w:noWrap/>
            <w:hideMark/>
          </w:tcPr>
          <w:p w14:paraId="3D59433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-4,5</w:t>
            </w:r>
          </w:p>
        </w:tc>
        <w:tc>
          <w:tcPr>
            <w:tcW w:w="0" w:type="auto"/>
            <w:hideMark/>
          </w:tcPr>
          <w:p w14:paraId="2474846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-2,8</w:t>
            </w:r>
          </w:p>
        </w:tc>
        <w:tc>
          <w:tcPr>
            <w:tcW w:w="0" w:type="auto"/>
            <w:hideMark/>
          </w:tcPr>
          <w:p w14:paraId="25081AB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-0,6</w:t>
            </w:r>
          </w:p>
        </w:tc>
        <w:tc>
          <w:tcPr>
            <w:tcW w:w="0" w:type="auto"/>
            <w:noWrap/>
            <w:hideMark/>
          </w:tcPr>
          <w:p w14:paraId="42F5BA4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noWrap/>
            <w:hideMark/>
          </w:tcPr>
          <w:p w14:paraId="67F7B01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-2,1</w:t>
            </w:r>
          </w:p>
        </w:tc>
      </w:tr>
      <w:tr w:rsidR="00473C3B" w:rsidRPr="00671E8F" w14:paraId="62E6EAFC"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36500A79"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2022</w:t>
            </w:r>
          </w:p>
        </w:tc>
        <w:tc>
          <w:tcPr>
            <w:tcW w:w="0" w:type="auto"/>
            <w:hideMark/>
          </w:tcPr>
          <w:p w14:paraId="37AEA73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hideMark/>
          </w:tcPr>
          <w:p w14:paraId="42529C7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764A2C4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-1,6</w:t>
            </w:r>
          </w:p>
        </w:tc>
        <w:tc>
          <w:tcPr>
            <w:tcW w:w="0" w:type="auto"/>
            <w:noWrap/>
            <w:hideMark/>
          </w:tcPr>
          <w:p w14:paraId="16912A2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-3,1</w:t>
            </w:r>
          </w:p>
        </w:tc>
        <w:tc>
          <w:tcPr>
            <w:tcW w:w="0" w:type="auto"/>
            <w:hideMark/>
          </w:tcPr>
          <w:p w14:paraId="5A0A36E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-1,6</w:t>
            </w:r>
          </w:p>
        </w:tc>
        <w:tc>
          <w:tcPr>
            <w:tcW w:w="0" w:type="auto"/>
            <w:hideMark/>
          </w:tcPr>
          <w:p w14:paraId="54E888D1"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noWrap/>
            <w:hideMark/>
          </w:tcPr>
          <w:p w14:paraId="77D5986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1,6</w:t>
            </w:r>
          </w:p>
        </w:tc>
        <w:tc>
          <w:tcPr>
            <w:tcW w:w="0" w:type="auto"/>
            <w:noWrap/>
            <w:hideMark/>
          </w:tcPr>
          <w:p w14:paraId="5844CFD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-1,2</w:t>
            </w:r>
          </w:p>
        </w:tc>
      </w:tr>
      <w:tr w:rsidR="00473C3B" w:rsidRPr="00671E8F" w14:paraId="4623FC83"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4FD1AB00"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2023</w:t>
            </w:r>
          </w:p>
        </w:tc>
        <w:tc>
          <w:tcPr>
            <w:tcW w:w="0" w:type="auto"/>
            <w:hideMark/>
          </w:tcPr>
          <w:p w14:paraId="3999F69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0,1</w:t>
            </w:r>
          </w:p>
        </w:tc>
        <w:tc>
          <w:tcPr>
            <w:tcW w:w="0" w:type="auto"/>
            <w:hideMark/>
          </w:tcPr>
          <w:p w14:paraId="6295E5A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-2,1</w:t>
            </w:r>
          </w:p>
        </w:tc>
        <w:tc>
          <w:tcPr>
            <w:tcW w:w="0" w:type="auto"/>
            <w:hideMark/>
          </w:tcPr>
          <w:p w14:paraId="2B983FF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noWrap/>
            <w:hideMark/>
          </w:tcPr>
          <w:p w14:paraId="0ADAA9B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-2,1</w:t>
            </w:r>
          </w:p>
        </w:tc>
        <w:tc>
          <w:tcPr>
            <w:tcW w:w="0" w:type="auto"/>
            <w:hideMark/>
          </w:tcPr>
          <w:p w14:paraId="01ADBA2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-0,5</w:t>
            </w:r>
          </w:p>
        </w:tc>
        <w:tc>
          <w:tcPr>
            <w:tcW w:w="0" w:type="auto"/>
            <w:hideMark/>
          </w:tcPr>
          <w:p w14:paraId="00CB60D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-1,4</w:t>
            </w:r>
          </w:p>
        </w:tc>
        <w:tc>
          <w:tcPr>
            <w:tcW w:w="0" w:type="auto"/>
            <w:noWrap/>
            <w:hideMark/>
          </w:tcPr>
          <w:p w14:paraId="154F809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noWrap/>
            <w:hideMark/>
          </w:tcPr>
          <w:p w14:paraId="2605C35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-1,2</w:t>
            </w:r>
          </w:p>
        </w:tc>
      </w:tr>
      <w:tr w:rsidR="00473C3B" w:rsidRPr="00671E8F" w14:paraId="1CC92AD5"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D9B0F12"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lastRenderedPageBreak/>
              <w:t>2024</w:t>
            </w:r>
          </w:p>
        </w:tc>
        <w:tc>
          <w:tcPr>
            <w:tcW w:w="0" w:type="auto"/>
            <w:hideMark/>
          </w:tcPr>
          <w:p w14:paraId="709E0B7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hideMark/>
          </w:tcPr>
          <w:p w14:paraId="7A29C91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-2,7</w:t>
            </w:r>
          </w:p>
        </w:tc>
        <w:tc>
          <w:tcPr>
            <w:tcW w:w="0" w:type="auto"/>
            <w:hideMark/>
          </w:tcPr>
          <w:p w14:paraId="3014458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-0,9</w:t>
            </w:r>
          </w:p>
        </w:tc>
        <w:tc>
          <w:tcPr>
            <w:tcW w:w="0" w:type="auto"/>
            <w:noWrap/>
            <w:hideMark/>
          </w:tcPr>
          <w:p w14:paraId="14BB5117"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-2,6</w:t>
            </w:r>
          </w:p>
        </w:tc>
        <w:tc>
          <w:tcPr>
            <w:tcW w:w="0" w:type="auto"/>
            <w:hideMark/>
          </w:tcPr>
          <w:p w14:paraId="7122900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-0,8</w:t>
            </w:r>
          </w:p>
        </w:tc>
        <w:tc>
          <w:tcPr>
            <w:tcW w:w="0" w:type="auto"/>
            <w:hideMark/>
          </w:tcPr>
          <w:p w14:paraId="55FD6BD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-2,2</w:t>
            </w:r>
          </w:p>
        </w:tc>
        <w:tc>
          <w:tcPr>
            <w:tcW w:w="0" w:type="auto"/>
            <w:noWrap/>
            <w:hideMark/>
          </w:tcPr>
          <w:p w14:paraId="761EC93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-0,4</w:t>
            </w:r>
          </w:p>
        </w:tc>
        <w:tc>
          <w:tcPr>
            <w:tcW w:w="0" w:type="auto"/>
            <w:noWrap/>
            <w:hideMark/>
          </w:tcPr>
          <w:p w14:paraId="161ACA2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r>
      <w:tr w:rsidR="00473C3B" w:rsidRPr="00671E8F" w14:paraId="7CDA613A"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C7CF4DC"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2025</w:t>
            </w:r>
          </w:p>
        </w:tc>
        <w:tc>
          <w:tcPr>
            <w:tcW w:w="0" w:type="auto"/>
            <w:hideMark/>
          </w:tcPr>
          <w:p w14:paraId="10CA80B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c>
          <w:tcPr>
            <w:tcW w:w="0" w:type="auto"/>
            <w:hideMark/>
          </w:tcPr>
          <w:p w14:paraId="43B838B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0D643DE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noWrap/>
            <w:hideMark/>
          </w:tcPr>
          <w:p w14:paraId="59A707E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77E70BF8"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75C32E3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-2,3</w:t>
            </w:r>
          </w:p>
        </w:tc>
        <w:tc>
          <w:tcPr>
            <w:tcW w:w="0" w:type="auto"/>
            <w:noWrap/>
            <w:hideMark/>
          </w:tcPr>
          <w:p w14:paraId="5BD1D1D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c>
          <w:tcPr>
            <w:tcW w:w="0" w:type="auto"/>
            <w:noWrap/>
            <w:hideMark/>
          </w:tcPr>
          <w:p w14:paraId="1B6B424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r>
      <w:tr w:rsidR="00473C3B" w:rsidRPr="00671E8F" w14:paraId="1761133F" w14:textId="77777777" w:rsidTr="00473C3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60D0DA31"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2026</w:t>
            </w:r>
          </w:p>
        </w:tc>
        <w:tc>
          <w:tcPr>
            <w:tcW w:w="0" w:type="auto"/>
            <w:hideMark/>
          </w:tcPr>
          <w:p w14:paraId="474F67D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c>
          <w:tcPr>
            <w:tcW w:w="0" w:type="auto"/>
            <w:hideMark/>
          </w:tcPr>
          <w:p w14:paraId="4C4F550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1A7D068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noWrap/>
            <w:hideMark/>
          </w:tcPr>
          <w:p w14:paraId="496FD92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62EAC04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-1,0</w:t>
            </w:r>
          </w:p>
        </w:tc>
        <w:tc>
          <w:tcPr>
            <w:tcW w:w="0" w:type="auto"/>
            <w:hideMark/>
          </w:tcPr>
          <w:p w14:paraId="62DE4697"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noWrap/>
            <w:hideMark/>
          </w:tcPr>
          <w:p w14:paraId="04470BEA"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c>
          <w:tcPr>
            <w:tcW w:w="0" w:type="auto"/>
            <w:noWrap/>
            <w:hideMark/>
          </w:tcPr>
          <w:p w14:paraId="34A0C98E"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0,0</w:t>
            </w:r>
          </w:p>
        </w:tc>
      </w:tr>
      <w:tr w:rsidR="00473C3B" w:rsidRPr="00671E8F" w14:paraId="484BB28B" w14:textId="77777777" w:rsidTr="00473C3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22C1662" w14:textId="77777777" w:rsidR="00473C3B" w:rsidRPr="00671E8F" w:rsidRDefault="00473C3B" w:rsidP="00473C3B">
            <w:pPr>
              <w:jc w:val="left"/>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2027</w:t>
            </w:r>
          </w:p>
        </w:tc>
        <w:tc>
          <w:tcPr>
            <w:tcW w:w="0" w:type="auto"/>
            <w:hideMark/>
          </w:tcPr>
          <w:p w14:paraId="70634D7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0,7</w:t>
            </w:r>
          </w:p>
        </w:tc>
        <w:tc>
          <w:tcPr>
            <w:tcW w:w="0" w:type="auto"/>
            <w:hideMark/>
          </w:tcPr>
          <w:p w14:paraId="2C9EEFD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-3,0</w:t>
            </w:r>
          </w:p>
        </w:tc>
        <w:tc>
          <w:tcPr>
            <w:tcW w:w="0" w:type="auto"/>
            <w:hideMark/>
          </w:tcPr>
          <w:p w14:paraId="6863414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-1,1</w:t>
            </w:r>
          </w:p>
        </w:tc>
        <w:tc>
          <w:tcPr>
            <w:tcW w:w="0" w:type="auto"/>
            <w:hideMark/>
          </w:tcPr>
          <w:p w14:paraId="42CD040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-3,2</w:t>
            </w:r>
          </w:p>
        </w:tc>
        <w:tc>
          <w:tcPr>
            <w:tcW w:w="0" w:type="auto"/>
            <w:hideMark/>
          </w:tcPr>
          <w:p w14:paraId="4E2097A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-1,3</w:t>
            </w:r>
          </w:p>
        </w:tc>
        <w:tc>
          <w:tcPr>
            <w:tcW w:w="0" w:type="auto"/>
            <w:hideMark/>
          </w:tcPr>
          <w:p w14:paraId="5367897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-1,7</w:t>
            </w:r>
          </w:p>
        </w:tc>
        <w:tc>
          <w:tcPr>
            <w:tcW w:w="0" w:type="auto"/>
            <w:hideMark/>
          </w:tcPr>
          <w:p w14:paraId="4612386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0,2</w:t>
            </w:r>
          </w:p>
        </w:tc>
        <w:tc>
          <w:tcPr>
            <w:tcW w:w="0" w:type="auto"/>
            <w:noWrap/>
            <w:hideMark/>
          </w:tcPr>
          <w:p w14:paraId="4409D56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1F4E79" w:themeColor="accent5" w:themeShade="80"/>
                <w:sz w:val="14"/>
                <w:szCs w:val="14"/>
              </w:rPr>
            </w:pPr>
            <w:r w:rsidRPr="00671E8F">
              <w:rPr>
                <w:rFonts w:eastAsia="Times New Roman" w:cstheme="minorHAnsi"/>
                <w:color w:val="1F4E79" w:themeColor="accent5" w:themeShade="80"/>
                <w:sz w:val="14"/>
                <w:szCs w:val="14"/>
              </w:rPr>
              <w:t>0,3</w:t>
            </w:r>
          </w:p>
        </w:tc>
      </w:tr>
    </w:tbl>
    <w:p w14:paraId="1B0D6334" w14:textId="77777777" w:rsidR="00473C3B" w:rsidRPr="00671E8F" w:rsidRDefault="00473C3B" w:rsidP="00473C3B">
      <w:pPr>
        <w:shd w:val="clear" w:color="auto" w:fill="FFFFFF" w:themeFill="background1"/>
        <w:spacing w:before="40" w:after="0" w:line="276" w:lineRule="auto"/>
        <w:rPr>
          <w:rFonts w:ascii="Calibri" w:eastAsia="MS PGothic" w:hAnsi="Calibri" w:cs="Calibri"/>
          <w:sz w:val="16"/>
          <w:szCs w:val="16"/>
          <w:lang w:eastAsia="ja-JP"/>
        </w:rPr>
      </w:pPr>
      <w:r w:rsidRPr="00671E8F">
        <w:rPr>
          <w:rFonts w:ascii="Calibri" w:eastAsia="MS PGothic" w:hAnsi="Calibri" w:cs="Calibri"/>
          <w:bCs/>
          <w:sz w:val="16"/>
          <w:szCs w:val="16"/>
          <w:lang w:eastAsia="ja-JP"/>
        </w:rPr>
        <w:t xml:space="preserve">* </w:t>
      </w:r>
      <w:r w:rsidRPr="00671E8F">
        <w:rPr>
          <w:rFonts w:ascii="Calibri" w:eastAsia="MS PGothic" w:hAnsi="Calibri" w:cs="Calibri"/>
          <w:sz w:val="16"/>
          <w:szCs w:val="16"/>
          <w:lang w:eastAsia="ja-JP"/>
        </w:rPr>
        <w:t>За период 2024–2027. године приказане су пројектоване вредности.</w:t>
      </w:r>
    </w:p>
    <w:p w14:paraId="6BA37A29" w14:textId="69CE3B39" w:rsidR="00473C3B" w:rsidRPr="00671E8F" w:rsidRDefault="00473C3B" w:rsidP="00473C3B">
      <w:pPr>
        <w:shd w:val="clear" w:color="auto" w:fill="FFFFFF" w:themeFill="background1"/>
        <w:spacing w:after="0" w:line="276" w:lineRule="auto"/>
        <w:rPr>
          <w:rFonts w:ascii="Calibri" w:eastAsia="MS PGothic" w:hAnsi="Calibri" w:cs="Calibri"/>
          <w:sz w:val="16"/>
          <w:szCs w:val="16"/>
          <w:lang w:eastAsia="ja-JP"/>
        </w:rPr>
      </w:pPr>
      <w:r w:rsidRPr="00671E8F">
        <w:rPr>
          <w:rFonts w:ascii="Calibri" w:eastAsia="MS PGothic" w:hAnsi="Calibri" w:cs="Calibri"/>
          <w:bCs/>
          <w:sz w:val="16"/>
          <w:szCs w:val="16"/>
          <w:lang w:eastAsia="ja-JP"/>
        </w:rPr>
        <w:t>** Структурни биланси добијени су искључивањем процењених једнократних прихода и расхода</w:t>
      </w:r>
      <w:r w:rsidRPr="00671E8F">
        <w:rPr>
          <w:rFonts w:ascii="Calibri" w:eastAsia="MS PGothic" w:hAnsi="Calibri" w:cs="Calibri"/>
          <w:sz w:val="16"/>
          <w:szCs w:val="16"/>
          <w:lang w:eastAsia="ja-JP"/>
        </w:rPr>
        <w:t>. За период од 2024. до 2027. године једнокра</w:t>
      </w:r>
      <w:r w:rsidR="00560E5F">
        <w:rPr>
          <w:rFonts w:ascii="Calibri" w:eastAsia="MS PGothic" w:hAnsi="Calibri" w:cs="Calibri"/>
          <w:sz w:val="16"/>
          <w:szCs w:val="16"/>
          <w:lang w:val="sr-Cyrl-RS" w:eastAsia="ja-JP"/>
        </w:rPr>
        <w:t>т</w:t>
      </w:r>
      <w:r w:rsidRPr="00671E8F">
        <w:rPr>
          <w:rFonts w:ascii="Calibri" w:eastAsia="MS PGothic" w:hAnsi="Calibri" w:cs="Calibri"/>
          <w:sz w:val="16"/>
          <w:szCs w:val="16"/>
          <w:lang w:eastAsia="ja-JP"/>
        </w:rPr>
        <w:t xml:space="preserve">ним расходима су третирани и део капиталних расхода за потребе изложбе EXPO 2027, као и део расхода за војну опрему. </w:t>
      </w:r>
    </w:p>
    <w:p w14:paraId="7992608A" w14:textId="77777777" w:rsidR="00473C3B" w:rsidRPr="00671E8F" w:rsidRDefault="00473C3B" w:rsidP="00473C3B">
      <w:pPr>
        <w:spacing w:line="276" w:lineRule="auto"/>
        <w:rPr>
          <w:rFonts w:ascii="Calibri" w:eastAsia="Calibri" w:hAnsi="Calibri" w:cs="Calibri"/>
          <w:sz w:val="16"/>
          <w:szCs w:val="20"/>
        </w:rPr>
      </w:pPr>
      <w:r w:rsidRPr="00671E8F">
        <w:rPr>
          <w:rFonts w:ascii="Calibri" w:eastAsia="Calibri" w:hAnsi="Calibri" w:cs="Calibri"/>
          <w:sz w:val="16"/>
          <w:szCs w:val="16"/>
        </w:rPr>
        <w:t xml:space="preserve">Извор: </w:t>
      </w:r>
      <w:r w:rsidRPr="00671E8F">
        <w:rPr>
          <w:rFonts w:ascii="Calibri" w:eastAsia="Calibri" w:hAnsi="Calibri" w:cs="Calibri"/>
          <w:sz w:val="16"/>
          <w:szCs w:val="20"/>
        </w:rPr>
        <w:t>Министарство финансија</w:t>
      </w:r>
    </w:p>
    <w:p w14:paraId="7F8E92D4" w14:textId="77777777" w:rsidR="00473C3B" w:rsidRPr="00671E8F" w:rsidRDefault="00473C3B" w:rsidP="00473C3B">
      <w:pPr>
        <w:spacing w:line="276" w:lineRule="auto"/>
        <w:rPr>
          <w:rFonts w:ascii="Calibri" w:eastAsia="Calibri" w:hAnsi="Calibri" w:cs="Calibri"/>
          <w:sz w:val="16"/>
          <w:szCs w:val="16"/>
        </w:rPr>
        <w:sectPr w:rsidR="00473C3B" w:rsidRPr="00671E8F" w:rsidSect="00473C3B">
          <w:type w:val="continuous"/>
          <w:pgSz w:w="12240" w:h="15840" w:code="1"/>
          <w:pgMar w:top="1417" w:right="1417" w:bottom="1417" w:left="1417" w:header="720" w:footer="720" w:gutter="0"/>
          <w:cols w:space="720"/>
        </w:sectPr>
      </w:pPr>
    </w:p>
    <w:p w14:paraId="1BA3C33B" w14:textId="77777777" w:rsidR="00473C3B" w:rsidRPr="00671E8F" w:rsidRDefault="00473C3B" w:rsidP="00473C3B">
      <w:pPr>
        <w:spacing w:after="0"/>
        <w:jc w:val="center"/>
        <w:rPr>
          <w:color w:val="002060"/>
          <w:lang w:eastAsia="sr-Cyrl-RS"/>
        </w:rPr>
      </w:pPr>
      <w:r w:rsidRPr="00671E8F">
        <w:rPr>
          <w:rFonts w:cstheme="minorHAnsi"/>
          <w:b/>
          <w:color w:val="002060"/>
        </w:rPr>
        <w:t>Производни јаз, циклично прилаг. и структурни фиск. биланс у периоду 2005–2027. год, % БДП*</w:t>
      </w:r>
    </w:p>
    <w:p w14:paraId="74857DC8" w14:textId="77777777" w:rsidR="00473C3B" w:rsidRPr="00671E8F" w:rsidRDefault="00473C3B" w:rsidP="00473C3B">
      <w:pPr>
        <w:spacing w:after="0"/>
        <w:jc w:val="left"/>
        <w:rPr>
          <w:lang w:eastAsia="sr-Cyrl-RS"/>
        </w:rPr>
      </w:pPr>
      <w:r w:rsidRPr="00671E8F">
        <w:rPr>
          <w:noProof/>
          <w:lang w:val="en-US"/>
        </w:rPr>
        <w:drawing>
          <wp:inline distT="0" distB="0" distL="0" distR="0" wp14:anchorId="0C5D0993" wp14:editId="684515AE">
            <wp:extent cx="2757805" cy="2390775"/>
            <wp:effectExtent l="0" t="0" r="4445" b="0"/>
            <wp:docPr id="75" name="Chart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inline>
        </w:drawing>
      </w:r>
    </w:p>
    <w:p w14:paraId="40374935" w14:textId="77777777" w:rsidR="00473C3B" w:rsidRPr="00671E8F" w:rsidRDefault="00473C3B" w:rsidP="00473C3B">
      <w:pPr>
        <w:spacing w:after="0"/>
        <w:jc w:val="center"/>
        <w:rPr>
          <w:rFonts w:cstheme="minorHAnsi"/>
          <w:b/>
          <w:color w:val="002060"/>
        </w:rPr>
      </w:pPr>
    </w:p>
    <w:p w14:paraId="2400514B" w14:textId="77777777" w:rsidR="00473C3B" w:rsidRPr="00671E8F" w:rsidRDefault="00473C3B" w:rsidP="00473C3B">
      <w:pPr>
        <w:spacing w:after="0"/>
        <w:jc w:val="center"/>
        <w:rPr>
          <w:rFonts w:cstheme="minorHAnsi"/>
          <w:b/>
          <w:color w:val="002060"/>
        </w:rPr>
      </w:pPr>
      <w:r w:rsidRPr="00671E8F">
        <w:rPr>
          <w:rFonts w:cstheme="minorHAnsi"/>
          <w:b/>
          <w:color w:val="002060"/>
        </w:rPr>
        <w:t>Карактер и ефекти фискалне политике у периоду 2006–2027. године, % БДП*</w:t>
      </w:r>
    </w:p>
    <w:p w14:paraId="3B3B7852" w14:textId="77777777" w:rsidR="00473C3B" w:rsidRPr="00671E8F" w:rsidRDefault="00473C3B" w:rsidP="00473C3B">
      <w:pPr>
        <w:spacing w:after="0"/>
        <w:jc w:val="center"/>
        <w:rPr>
          <w:color w:val="002060"/>
          <w:lang w:eastAsia="sr-Cyrl-RS"/>
        </w:rPr>
      </w:pPr>
      <w:r w:rsidRPr="00671E8F">
        <w:rPr>
          <w:noProof/>
          <w:lang w:val="en-US"/>
        </w:rPr>
        <w:drawing>
          <wp:inline distT="0" distB="0" distL="0" distR="0" wp14:anchorId="3D5DA6C7" wp14:editId="4CD3EFB7">
            <wp:extent cx="2757805" cy="2390775"/>
            <wp:effectExtent l="0" t="0" r="4445" b="0"/>
            <wp:docPr id="76" name="Chart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p w14:paraId="7383C5F7" w14:textId="77777777" w:rsidR="00473C3B" w:rsidRPr="00671E8F" w:rsidRDefault="00473C3B" w:rsidP="00473C3B">
      <w:pPr>
        <w:jc w:val="left"/>
        <w:rPr>
          <w:rFonts w:ascii="Calibri" w:eastAsia="MS PGothic" w:hAnsi="Calibri" w:cs="Calibri"/>
          <w:sz w:val="16"/>
          <w:szCs w:val="20"/>
          <w:lang w:eastAsia="ja-JP"/>
        </w:rPr>
      </w:pPr>
      <w:r w:rsidRPr="00671E8F">
        <w:rPr>
          <w:rFonts w:ascii="Calibri" w:eastAsia="MS PGothic" w:hAnsi="Calibri" w:cs="Calibri"/>
          <w:sz w:val="16"/>
          <w:szCs w:val="20"/>
          <w:lang w:eastAsia="ja-JP"/>
        </w:rPr>
        <w:t>* За период 2024–2027. године приказане су пројектоване вредности.</w:t>
      </w:r>
    </w:p>
    <w:p w14:paraId="214E8F51" w14:textId="77777777" w:rsidR="00473C3B" w:rsidRPr="00671E8F" w:rsidRDefault="00473C3B" w:rsidP="00473C3B">
      <w:pPr>
        <w:jc w:val="left"/>
        <w:rPr>
          <w:rFonts w:ascii="Calibri" w:eastAsia="MS PGothic" w:hAnsi="Calibri" w:cs="Calibri"/>
          <w:sz w:val="16"/>
          <w:szCs w:val="20"/>
          <w:lang w:eastAsia="ja-JP"/>
        </w:rPr>
        <w:sectPr w:rsidR="00473C3B" w:rsidRPr="00671E8F" w:rsidSect="00473C3B">
          <w:type w:val="continuous"/>
          <w:pgSz w:w="12240" w:h="15840" w:code="1"/>
          <w:pgMar w:top="1417" w:right="1417" w:bottom="1417" w:left="1417" w:header="720" w:footer="720" w:gutter="0"/>
          <w:cols w:num="2" w:space="720"/>
        </w:sectPr>
      </w:pPr>
    </w:p>
    <w:p w14:paraId="5DDCD032" w14:textId="77777777" w:rsidR="00473C3B" w:rsidRPr="00671E8F" w:rsidRDefault="00473C3B" w:rsidP="00473C3B">
      <w:pPr>
        <w:spacing w:after="120"/>
        <w:rPr>
          <w:lang w:eastAsia="ja-JP"/>
        </w:rPr>
      </w:pPr>
      <w:r w:rsidRPr="00671E8F">
        <w:rPr>
          <w:rFonts w:ascii="Calibri" w:eastAsia="Calibri" w:hAnsi="Calibri" w:cs="Calibri"/>
          <w:bCs/>
          <w:szCs w:val="20"/>
        </w:rPr>
        <w:t>Структурна фискална позиција земље није нарушена у периоду између 2020. и 2022. године, због тога што су спроведене мере помоћи привреди и становништву из домена фискалне политике биле временски ограниченог карактера.</w:t>
      </w:r>
      <w:r w:rsidRPr="00671E8F">
        <w:rPr>
          <w:rFonts w:ascii="Calibri" w:eastAsia="Calibri" w:hAnsi="Calibri" w:cs="Calibri"/>
          <w:szCs w:val="20"/>
        </w:rPr>
        <w:t xml:space="preserve"> Осим тога, енергетска криза условила је значајне интервенције државе у домену обезбеђивања енергетске стабилности у 2022. години. На ове потребе, утрошено је 2,7% БДП. Током 2022. годинe реализована је и помоћи становништву у висини од 0,9% БДП. Осим повећаних издатака за енергенте, помоћ становништву и привреди, обезбеђена је и смањењем акциза на </w:t>
      </w:r>
      <w:r w:rsidRPr="00671E8F">
        <w:rPr>
          <w:lang w:eastAsia="ja-JP"/>
        </w:rPr>
        <w:t>нафтне деривате.</w:t>
      </w:r>
    </w:p>
    <w:p w14:paraId="7B2BE9B9" w14:textId="77777777" w:rsidR="00473C3B" w:rsidRPr="00671E8F" w:rsidRDefault="00473C3B" w:rsidP="00473C3B">
      <w:pPr>
        <w:spacing w:after="120"/>
        <w:rPr>
          <w:lang w:eastAsia="ja-JP"/>
        </w:rPr>
      </w:pPr>
      <w:r w:rsidRPr="00671E8F">
        <w:rPr>
          <w:bCs/>
          <w:lang w:eastAsia="ja-JP"/>
        </w:rPr>
        <w:t>Током 2023. године</w:t>
      </w:r>
      <w:r w:rsidRPr="00671E8F">
        <w:rPr>
          <w:lang w:eastAsia="ja-JP"/>
        </w:rPr>
        <w:t xml:space="preserve">, промена у структурној позицији сектора државе делом је условљена изменом формуле за усклађивање пензија у складу са посебним фискалним правилима као и ванредним повећањем пензија у 2022. и 2023. години. Посебно фискално правило уводи </w:t>
      </w:r>
      <w:r w:rsidRPr="00671E8F">
        <w:rPr>
          <w:lang w:eastAsia="ja-JP"/>
        </w:rPr>
        <w:t>директну везу између начина усклађивања пензија и учешћа овог облика расхода у БДП. Овакво системско решење обезбеђује да примања и стандард пензионера у већој мери рефлектују економску снагу земље, без угрожавања одрживости јавних финансија. Остатак благог погоршања структурне фискалне позиције последица је и раста учешћа расхода за камате у БДП. Увећани трошкови задуживања, као последица мера за сузбијање инфлаторних тенденција на домаћем и међународном тржишту, свакако ће и у наредном периоду имати негативан ефекат сличног интензитета.</w:t>
      </w:r>
    </w:p>
    <w:p w14:paraId="5EB25D0F" w14:textId="6426CEA2" w:rsidR="00473C3B" w:rsidRPr="00671E8F" w:rsidRDefault="00473C3B" w:rsidP="00473C3B">
      <w:pPr>
        <w:spacing w:after="120"/>
        <w:rPr>
          <w:lang w:eastAsia="ja-JP"/>
        </w:rPr>
      </w:pPr>
      <w:r w:rsidRPr="00671E8F">
        <w:rPr>
          <w:lang w:eastAsia="ja-JP"/>
        </w:rPr>
        <w:t>Ванредно повећање пензија крајем 2023. године, као и значајно повећање родитељског додатка у 2024. години, има</w:t>
      </w:r>
      <w:r w:rsidR="00560E5F">
        <w:rPr>
          <w:lang w:eastAsia="ja-JP"/>
        </w:rPr>
        <w:t xml:space="preserve"> пренети ефекат на кретање стру</w:t>
      </w:r>
      <w:r w:rsidRPr="00671E8F">
        <w:rPr>
          <w:lang w:eastAsia="ja-JP"/>
        </w:rPr>
        <w:t>к</w:t>
      </w:r>
      <w:r w:rsidR="00560E5F">
        <w:rPr>
          <w:lang w:val="sr-Cyrl-RS" w:eastAsia="ja-JP"/>
        </w:rPr>
        <w:t>т</w:t>
      </w:r>
      <w:r w:rsidRPr="00671E8F">
        <w:rPr>
          <w:lang w:eastAsia="ja-JP"/>
        </w:rPr>
        <w:t xml:space="preserve">урног резултата и током наредног периода.  Међутим, овим фискалним оквиром, одређена је кретање и горња граница структурног фискалног резултата, са основним циљем да се обезбеди </w:t>
      </w:r>
      <w:r w:rsidRPr="00671E8F">
        <w:rPr>
          <w:lang w:eastAsia="ja-JP"/>
        </w:rPr>
        <w:lastRenderedPageBreak/>
        <w:t>одржив ниво и опадајућа путања јавног дуга. У периоду од 2023. и 2025. године раст расхода за камате у одређеној мери такође повећава ниво структурног дефицита. Након тога, постепеним смањењем учешћа камата у БДП, отвара се простор за повећање других продуктивних облика расхода.</w:t>
      </w:r>
    </w:p>
    <w:p w14:paraId="7BA8F637" w14:textId="77777777" w:rsidR="00473C3B" w:rsidRPr="00671E8F" w:rsidRDefault="00473C3B" w:rsidP="00473C3B">
      <w:pPr>
        <w:spacing w:after="120"/>
        <w:rPr>
          <w:lang w:eastAsia="ja-JP"/>
        </w:rPr>
      </w:pPr>
      <w:r w:rsidRPr="00671E8F">
        <w:rPr>
          <w:lang w:eastAsia="ja-JP"/>
        </w:rPr>
        <w:t xml:space="preserve">Како је фискални импулс дефинисан као разлика два узастопна циклично прилагођена (примарна) резултата, оцењује се да је фискална политика током 2020. године била изразито експанзивно-контрациклична, усмерена на ублажавање негативног економског циклуса. Услед нешто мањег обима пакета мера економске подршке у 2021. години, фискална политика је рестриктивнија него претходне године, а по карактеру такође контрациклична. За период од 2022. до 2023. године, оцењено је да је фискална политика благо рестриктивна, и поред значајних издвајања за ублажавање енергетске кризе. Делом је то и последица раста расхода за камате који се искључују из обрачуна примарног резултата. У периоду од 2025. до 2027. године, а у складу са планираним фискалним оквиром, оцењена фискална политика је благо експанзивна. Основни разлог за то лежи у реализацији снажног инвестиционог циклуса за потребе манифестације EXPO 2027, али и осталих значајних инфраструктурних пројеката који ће, и у периоду након њихове реализације, утицати на повећање стопе привредног раста. </w:t>
      </w:r>
    </w:p>
    <w:p w14:paraId="1BFAA028" w14:textId="77777777" w:rsidR="00473C3B" w:rsidRPr="00671E8F" w:rsidRDefault="00473C3B" w:rsidP="00473C3B">
      <w:pPr>
        <w:spacing w:after="120"/>
        <w:jc w:val="center"/>
        <w:rPr>
          <w:color w:val="002060"/>
        </w:rPr>
      </w:pPr>
      <w:r w:rsidRPr="00671E8F">
        <w:rPr>
          <w:rFonts w:cstheme="minorHAnsi"/>
          <w:b/>
          <w:color w:val="002060"/>
        </w:rPr>
        <w:br w:type="column"/>
      </w:r>
      <w:r w:rsidRPr="00671E8F">
        <w:rPr>
          <w:rFonts w:cstheme="minorHAnsi"/>
          <w:b/>
          <w:color w:val="002060"/>
        </w:rPr>
        <w:t>Карактер и ефекти фискалне политике у периоду 2006–2024. године, % БДП</w:t>
      </w:r>
    </w:p>
    <w:p w14:paraId="78DEE1E3" w14:textId="77777777" w:rsidR="00473C3B" w:rsidRPr="00671E8F" w:rsidRDefault="00473C3B" w:rsidP="00473C3B">
      <w:r w:rsidRPr="00671E8F">
        <w:rPr>
          <w:noProof/>
          <w:lang w:val="en-US"/>
        </w:rPr>
        <w:drawing>
          <wp:inline distT="0" distB="0" distL="0" distR="0" wp14:anchorId="79A02DFF" wp14:editId="11118CC5">
            <wp:extent cx="2843530" cy="3143250"/>
            <wp:effectExtent l="0" t="0" r="0" b="0"/>
            <wp:docPr id="78" name="Chart 7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p w14:paraId="198CCCFC" w14:textId="77777777" w:rsidR="00473C3B" w:rsidRPr="00671E8F" w:rsidRDefault="00473C3B" w:rsidP="00473C3B">
      <w:pPr>
        <w:spacing w:after="120"/>
        <w:rPr>
          <w:rFonts w:ascii="Calibri" w:eastAsia="MS PGothic" w:hAnsi="Calibri" w:cs="Calibri"/>
          <w:color w:val="2F5496" w:themeColor="accent1" w:themeShade="BF"/>
          <w:szCs w:val="20"/>
          <w:lang w:eastAsia="ja-JP"/>
        </w:rPr>
        <w:sectPr w:rsidR="00473C3B" w:rsidRPr="00671E8F" w:rsidSect="00473C3B">
          <w:type w:val="continuous"/>
          <w:pgSz w:w="12240" w:h="15840" w:code="1"/>
          <w:pgMar w:top="1417" w:right="1417" w:bottom="1417" w:left="1417" w:header="720" w:footer="720" w:gutter="0"/>
          <w:cols w:num="2" w:space="720"/>
        </w:sectPr>
      </w:pPr>
    </w:p>
    <w:bookmarkEnd w:id="74"/>
    <w:bookmarkEnd w:id="75"/>
    <w:bookmarkEnd w:id="76"/>
    <w:p w14:paraId="49A09B6A" w14:textId="77777777" w:rsidR="00473C3B" w:rsidRPr="00671E8F" w:rsidRDefault="00473C3B" w:rsidP="00473C3B">
      <w:pPr>
        <w:rPr>
          <w:szCs w:val="26"/>
        </w:rPr>
      </w:pPr>
      <w:r w:rsidRPr="00671E8F">
        <w:br w:type="page"/>
      </w:r>
    </w:p>
    <w:p w14:paraId="3177105E" w14:textId="2C350F0E" w:rsidR="00473C3B" w:rsidRPr="00671E8F" w:rsidRDefault="00364F94" w:rsidP="000B4ACD">
      <w:pPr>
        <w:pStyle w:val="Heading2"/>
        <w:jc w:val="center"/>
        <w:rPr>
          <w:rFonts w:asciiTheme="minorHAnsi" w:hAnsiTheme="minorHAnsi" w:cstheme="minorHAnsi"/>
          <w:b/>
          <w:sz w:val="24"/>
        </w:rPr>
      </w:pPr>
      <w:bookmarkStart w:id="77" w:name="_Toc181190972"/>
      <w:r w:rsidRPr="00671E8F">
        <w:rPr>
          <w:rFonts w:asciiTheme="minorHAnsi" w:hAnsiTheme="minorHAnsi" w:cstheme="minorHAnsi"/>
          <w:b/>
          <w:sz w:val="24"/>
        </w:rPr>
        <w:lastRenderedPageBreak/>
        <w:t>6</w:t>
      </w:r>
      <w:r w:rsidR="00473C3B" w:rsidRPr="00671E8F">
        <w:rPr>
          <w:rFonts w:asciiTheme="minorHAnsi" w:hAnsiTheme="minorHAnsi" w:cstheme="minorHAnsi"/>
          <w:b/>
          <w:sz w:val="24"/>
        </w:rPr>
        <w:t>. Симулација путање јавног дуга</w:t>
      </w:r>
      <w:bookmarkEnd w:id="77"/>
    </w:p>
    <w:p w14:paraId="3FBBBE57" w14:textId="77777777" w:rsidR="00473C3B" w:rsidRPr="00671E8F" w:rsidRDefault="00473C3B" w:rsidP="00473C3B">
      <w:pPr>
        <w:sectPr w:rsidR="00473C3B" w:rsidRPr="00671E8F" w:rsidSect="00473C3B">
          <w:headerReference w:type="even" r:id="rId191"/>
          <w:footerReference w:type="even" r:id="rId192"/>
          <w:footerReference w:type="default" r:id="rId193"/>
          <w:headerReference w:type="first" r:id="rId194"/>
          <w:type w:val="continuous"/>
          <w:pgSz w:w="12240" w:h="15840" w:code="1"/>
          <w:pgMar w:top="1417" w:right="1417" w:bottom="1417" w:left="1417" w:header="720" w:footer="720" w:gutter="0"/>
          <w:cols w:space="720"/>
        </w:sectPr>
      </w:pPr>
    </w:p>
    <w:p w14:paraId="2081E16E" w14:textId="77777777" w:rsidR="00473C3B" w:rsidRPr="00671E8F" w:rsidRDefault="00473C3B" w:rsidP="00473C3B">
      <w:pPr>
        <w:sectPr w:rsidR="00473C3B" w:rsidRPr="00671E8F" w:rsidSect="00473C3B">
          <w:headerReference w:type="even" r:id="rId195"/>
          <w:footerReference w:type="even" r:id="rId196"/>
          <w:footerReference w:type="default" r:id="rId197"/>
          <w:headerReference w:type="first" r:id="rId198"/>
          <w:type w:val="continuous"/>
          <w:pgSz w:w="12240" w:h="15840" w:code="1"/>
          <w:pgMar w:top="1417" w:right="1417" w:bottom="1417" w:left="1417" w:header="720" w:footer="720" w:gutter="0"/>
          <w:cols w:space="720"/>
        </w:sectPr>
      </w:pPr>
    </w:p>
    <w:p w14:paraId="31B1F9ED" w14:textId="77777777" w:rsidR="00473C3B" w:rsidRPr="00671E8F" w:rsidRDefault="00473C3B" w:rsidP="00473C3B">
      <w:pPr>
        <w:spacing w:after="120"/>
        <w:rPr>
          <w:rFonts w:ascii="Calibri" w:eastAsia="MS PGothic" w:hAnsi="Calibri" w:cs="Calibri"/>
          <w:szCs w:val="20"/>
          <w:lang w:eastAsia="ja-JP"/>
        </w:rPr>
      </w:pPr>
      <w:r w:rsidRPr="00671E8F">
        <w:rPr>
          <w:rFonts w:ascii="Calibri" w:eastAsia="MS PGothic" w:hAnsi="Calibri" w:cs="Calibri"/>
          <w:bCs/>
          <w:szCs w:val="20"/>
          <w:lang w:eastAsia="ja-JP"/>
        </w:rPr>
        <w:t xml:space="preserve">У овом делу презентоваћемо краћу ретроспективу кретања јавног дуга у периоду од 2008. до 2024. године и пројекције за наредни трогодишњи период од 2025. до 2027. године, у складу са предвиђеним фискалним оквиром. Након тога </w:t>
      </w:r>
      <w:r w:rsidRPr="00671E8F">
        <w:rPr>
          <w:rFonts w:ascii="Calibri" w:eastAsia="MS PGothic" w:hAnsi="Calibri" w:cs="Calibri"/>
          <w:szCs w:val="20"/>
          <w:lang w:eastAsia="ja-JP"/>
        </w:rPr>
        <w:t xml:space="preserve">приказана је и симулација различитих сценарија кретања дуга у периоду од 2028. до </w:t>
      </w:r>
      <w:r w:rsidRPr="00671E8F">
        <w:rPr>
          <w:rFonts w:ascii="Calibri" w:eastAsia="MS PGothic" w:hAnsi="Calibri" w:cs="Calibri"/>
          <w:bCs/>
          <w:szCs w:val="20"/>
          <w:lang w:eastAsia="ja-JP"/>
        </w:rPr>
        <w:t>2030. године</w:t>
      </w:r>
      <w:r w:rsidRPr="00671E8F">
        <w:rPr>
          <w:rFonts w:ascii="Calibri" w:eastAsia="MS PGothic" w:hAnsi="Calibri" w:cs="Calibri"/>
          <w:szCs w:val="20"/>
          <w:lang w:eastAsia="ja-JP"/>
        </w:rPr>
        <w:t>.</w:t>
      </w:r>
    </w:p>
    <w:p w14:paraId="13CDBF15"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bCs/>
          <w:szCs w:val="20"/>
        </w:rPr>
        <w:t>У периоду од 2008. до 2014. године дефицит сектора државе је значајно повећан уз истовремено експлозивну путању раста јавног дуга, при чему је однос дуга и БДП више него удвостручен.</w:t>
      </w:r>
      <w:r w:rsidRPr="00671E8F">
        <w:rPr>
          <w:rFonts w:ascii="Calibri" w:eastAsia="Calibri" w:hAnsi="Calibri" w:cs="Calibri"/>
          <w:szCs w:val="20"/>
        </w:rPr>
        <w:t xml:space="preserve"> Мере фискалне консолидације усвојене крајем 2012. и током 2013. године делимично су ублажиле овај тренд, али је ниво јавног дуга и даље значајно растао. Смањивање примарног дефицита у периоду 2012–2014. године није било довољно да стабилизује учешће нивоа јавног дуга у БДП. Ефекти првог таласа фискалне консолидације, која се односила углавном на приходну страну, изостали су, услед повећаног обима сиве економије, карактеристичног у периоду након подизања пореских стопа. На расходној страни, високе камате и одређени једнократни расходи су додатно погоршавали фискалну позицију.</w:t>
      </w:r>
    </w:p>
    <w:p w14:paraId="57285521" w14:textId="77777777" w:rsidR="00473C3B" w:rsidRPr="00671E8F" w:rsidRDefault="00473C3B" w:rsidP="00473C3B">
      <w:pPr>
        <w:spacing w:after="0"/>
        <w:jc w:val="center"/>
        <w:rPr>
          <w:rFonts w:ascii="Calibri" w:eastAsia="Calibri" w:hAnsi="Calibri" w:cs="Calibri"/>
          <w:color w:val="002060"/>
          <w:szCs w:val="20"/>
        </w:rPr>
      </w:pPr>
      <w:r w:rsidRPr="00671E8F">
        <w:rPr>
          <w:rFonts w:cstheme="minorHAnsi"/>
          <w:b/>
          <w:color w:val="002060"/>
        </w:rPr>
        <w:t xml:space="preserve">Јавни дуг сектора државе у периоду </w:t>
      </w:r>
      <w:r w:rsidRPr="00671E8F">
        <w:rPr>
          <w:rFonts w:cstheme="minorHAnsi"/>
          <w:b/>
          <w:color w:val="002060"/>
        </w:rPr>
        <w:br w:type="textWrapping" w:clear="all"/>
        <w:t>2008–2024. године, % БДП</w:t>
      </w:r>
    </w:p>
    <w:p w14:paraId="4156BE49" w14:textId="77777777" w:rsidR="00473C3B" w:rsidRPr="00671E8F" w:rsidRDefault="00473C3B" w:rsidP="00473C3B">
      <w:pPr>
        <w:spacing w:after="0"/>
        <w:jc w:val="center"/>
        <w:rPr>
          <w:rFonts w:cstheme="minorHAnsi"/>
          <w:b/>
        </w:rPr>
      </w:pPr>
      <w:r w:rsidRPr="00671E8F">
        <w:rPr>
          <w:noProof/>
          <w:lang w:val="en-US"/>
        </w:rPr>
        <w:drawing>
          <wp:inline distT="0" distB="0" distL="0" distR="0" wp14:anchorId="6952223A" wp14:editId="0EF801E9">
            <wp:extent cx="2757805" cy="2670048"/>
            <wp:effectExtent l="0" t="0" r="4445" b="16510"/>
            <wp:docPr id="332543247" name="Chart 332543247">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9"/>
              </a:graphicData>
            </a:graphic>
          </wp:inline>
        </w:drawing>
      </w:r>
    </w:p>
    <w:p w14:paraId="37CED48E" w14:textId="77777777" w:rsidR="00473C3B" w:rsidRPr="00671E8F" w:rsidRDefault="00473C3B" w:rsidP="00473C3B">
      <w:pPr>
        <w:spacing w:after="0" w:line="240" w:lineRule="auto"/>
        <w:rPr>
          <w:rFonts w:cstheme="minorHAnsi"/>
          <w:bCs/>
          <w:sz w:val="16"/>
          <w:szCs w:val="72"/>
        </w:rPr>
      </w:pPr>
      <w:r w:rsidRPr="00671E8F">
        <w:rPr>
          <w:rFonts w:ascii="Calibri" w:eastAsia="Calibri" w:hAnsi="Calibri" w:cs="Calibri"/>
          <w:sz w:val="16"/>
          <w:szCs w:val="16"/>
        </w:rPr>
        <w:t xml:space="preserve">* </w:t>
      </w:r>
      <w:r w:rsidRPr="00671E8F">
        <w:rPr>
          <w:rFonts w:cstheme="minorHAnsi"/>
          <w:bCs/>
          <w:sz w:val="16"/>
          <w:szCs w:val="72"/>
        </w:rPr>
        <w:t>апроксимација локалног дуга</w:t>
      </w:r>
    </w:p>
    <w:p w14:paraId="14BD23DB" w14:textId="77777777" w:rsidR="00473C3B" w:rsidRPr="00671E8F" w:rsidRDefault="00473C3B" w:rsidP="00473C3B">
      <w:pPr>
        <w:spacing w:after="120" w:line="276" w:lineRule="auto"/>
        <w:rPr>
          <w:rFonts w:cstheme="minorHAnsi"/>
          <w:bCs/>
          <w:sz w:val="16"/>
          <w:szCs w:val="72"/>
        </w:rPr>
      </w:pPr>
      <w:r w:rsidRPr="00671E8F">
        <w:rPr>
          <w:rFonts w:cstheme="minorHAnsi"/>
          <w:bCs/>
          <w:sz w:val="16"/>
          <w:szCs w:val="72"/>
        </w:rPr>
        <w:t>** процена за 2024. годину</w:t>
      </w:r>
    </w:p>
    <w:p w14:paraId="37153AFC"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bCs/>
          <w:szCs w:val="20"/>
        </w:rPr>
        <w:t>Мере фискалне консолидације донете крајем 2014. године спустиле су примарни дефицит и успориле раст јавног дуга већ током 2015. године, а до смањења јавног дуга у БДП дошло је у 2016. години, годину дана раније него што је било предвиђено аранжманом са ММФ.</w:t>
      </w:r>
      <w:r w:rsidRPr="00671E8F">
        <w:rPr>
          <w:rFonts w:ascii="Calibri" w:eastAsia="Calibri" w:hAnsi="Calibri" w:cs="Calibri"/>
          <w:szCs w:val="20"/>
        </w:rPr>
        <w:t xml:space="preserve"> У 2016. години остварен је примарни суфицит од 1,6% БДП, чиме су се коначно стекли услови за пад учешћа јавног дуга у БДП. Након тога, у 2017. години, уз остварени примарни фискални суфицит од 3,5% БДП долази до још значајнијег пада учешћа дуга, за око 10 п.п., на 56,3% БДП.</w:t>
      </w:r>
      <w:r w:rsidRPr="00671E8F">
        <w:t xml:space="preserve"> </w:t>
      </w:r>
      <w:r w:rsidRPr="00671E8F">
        <w:rPr>
          <w:rFonts w:ascii="Calibri" w:eastAsia="Calibri" w:hAnsi="Calibri" w:cs="Calibri"/>
          <w:szCs w:val="20"/>
        </w:rPr>
        <w:t>Током 2018. године настављен је тренд смањења учешћа јавног дуга у БДП на 52,1% БДП. Фискална релаксација током 2019. године није угрозила опадајућу путању јавног дуга. Позитиван примарни фискални резултат у 2019. години од 1,7% БДП утицао је на даље смањење јавног дуга за још 1,6 п.п. БДП.</w:t>
      </w:r>
    </w:p>
    <w:p w14:paraId="4484B8C1"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bCs/>
          <w:spacing w:val="-2"/>
          <w:szCs w:val="20"/>
        </w:rPr>
        <w:t>Период од 2020. године обележила је једна од највећих здравствених и последично економских криза у последњих неколико деценија, изазвана пандемијом COVID-19.</w:t>
      </w:r>
      <w:r w:rsidRPr="00671E8F">
        <w:rPr>
          <w:rFonts w:ascii="Calibri" w:eastAsia="Calibri" w:hAnsi="Calibri" w:cs="Calibri"/>
          <w:spacing w:val="-2"/>
          <w:szCs w:val="20"/>
        </w:rPr>
        <w:t xml:space="preserve"> Најважнији фактори који су утицали на кретања дуга током поменутог периода су ниво укупног и примарног фискалног дефицита, додатне потребе за финансирањем и отплата доспелог дела дуга. Остварени фискални дефицит од 7,7% БДП (примарни дефицит од 5,8% БДП) у 2020. години и дефицит од 3,9% БДП у 2021. години, утицали су на то да се, до тада, опадајућа путања учешћа јавног дуга привремено преокрене. И поред тога, учешће јавног дуга сектора државе у БДП у 2021. години благо опада на 54,5% БДП. </w:t>
      </w:r>
      <w:r w:rsidRPr="00671E8F">
        <w:rPr>
          <w:rFonts w:ascii="Calibri" w:eastAsia="Calibri" w:hAnsi="Calibri" w:cs="Calibri"/>
          <w:szCs w:val="20"/>
        </w:rPr>
        <w:t>Успех претходног програма структурног фискалног прилагођавања омогућио је да Република Србија без тешкоћа обезбеди неопходно финансирање фискалног дефицита током трајања пандемије COVID-19, као и несметану отплату доспелог дуга.</w:t>
      </w:r>
    </w:p>
    <w:p w14:paraId="32B08A79"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szCs w:val="20"/>
        </w:rPr>
        <w:t>Након здравствене кризе наступила је енергетска криза, током 2022. и 2023. године, период који су обележили значајни инфлаторни притисци.</w:t>
      </w:r>
      <w:r w:rsidRPr="00671E8F">
        <w:rPr>
          <w:rFonts w:ascii="Calibri" w:eastAsia="Calibri" w:hAnsi="Calibri" w:cs="Calibri"/>
          <w:bCs/>
          <w:szCs w:val="20"/>
        </w:rPr>
        <w:t xml:space="preserve"> </w:t>
      </w:r>
      <w:r w:rsidRPr="00671E8F">
        <w:rPr>
          <w:rFonts w:ascii="Calibri" w:eastAsia="Calibri" w:hAnsi="Calibri" w:cs="Calibri"/>
          <w:szCs w:val="20"/>
        </w:rPr>
        <w:t xml:space="preserve">Неизвесност у погледу тока и трајања кризе, у овом периоду, захтевала је опрезно вођење фискалне политике, и поред значајних издвајања од стране државе како би се обезбедило несметано снабдевање енергентима. </w:t>
      </w:r>
      <w:r w:rsidRPr="00671E8F">
        <w:rPr>
          <w:rFonts w:ascii="Calibri" w:eastAsia="Calibri" w:hAnsi="Calibri" w:cs="Calibri"/>
          <w:spacing w:val="-2"/>
          <w:szCs w:val="20"/>
        </w:rPr>
        <w:t xml:space="preserve">У 2022. и 2023. години, </w:t>
      </w:r>
      <w:r w:rsidRPr="00671E8F">
        <w:rPr>
          <w:rFonts w:ascii="Calibri" w:eastAsia="Calibri" w:hAnsi="Calibri" w:cs="Calibri"/>
          <w:spacing w:val="-2"/>
          <w:szCs w:val="20"/>
        </w:rPr>
        <w:lastRenderedPageBreak/>
        <w:t xml:space="preserve">остварени нивои примарног фискалног резултата (примарни дефицити 1,6% и 0,5% БДП респективно), омогућили су даљи пад учешћа јавног дуга. </w:t>
      </w:r>
      <w:r w:rsidRPr="00671E8F">
        <w:rPr>
          <w:rFonts w:ascii="Calibri" w:eastAsia="Calibri" w:hAnsi="Calibri" w:cs="Calibri"/>
          <w:szCs w:val="20"/>
        </w:rPr>
        <w:t>На крају 2024. године пројектовани примарни фискални дефицит од 0,9%, спушта учешће јавног дуга на ниво 47,9% БДП.</w:t>
      </w:r>
    </w:p>
    <w:p w14:paraId="39BD0CF0" w14:textId="77777777" w:rsidR="00473C3B" w:rsidRPr="00671E8F" w:rsidRDefault="00473C3B" w:rsidP="00473C3B">
      <w:pPr>
        <w:spacing w:after="120"/>
        <w:jc w:val="center"/>
        <w:rPr>
          <w:rFonts w:cstheme="minorHAnsi"/>
          <w:b/>
          <w:color w:val="002060"/>
          <w:spacing w:val="-2"/>
        </w:rPr>
      </w:pPr>
      <w:r w:rsidRPr="00671E8F">
        <w:rPr>
          <w:rFonts w:cstheme="minorHAnsi"/>
          <w:b/>
          <w:color w:val="002060"/>
          <w:spacing w:val="-2"/>
        </w:rPr>
        <w:t>Примарни резултат који стабилизује учешће дуга у БДП и остварени/пројектовани резултат*, % БДП</w:t>
      </w:r>
    </w:p>
    <w:p w14:paraId="24A629E2" w14:textId="77777777" w:rsidR="00473C3B" w:rsidRPr="00671E8F" w:rsidRDefault="00473C3B" w:rsidP="00473C3B">
      <w:pPr>
        <w:spacing w:after="40"/>
      </w:pPr>
      <w:r w:rsidRPr="00671E8F">
        <w:rPr>
          <w:noProof/>
          <w:lang w:val="en-US"/>
        </w:rPr>
        <w:drawing>
          <wp:inline distT="0" distB="0" distL="0" distR="0" wp14:anchorId="5B6DFE44" wp14:editId="25C06081">
            <wp:extent cx="2757805" cy="1914525"/>
            <wp:effectExtent l="0" t="0" r="4445" b="9525"/>
            <wp:docPr id="332543248" name="Chart 3325432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0"/>
              </a:graphicData>
            </a:graphic>
          </wp:inline>
        </w:drawing>
      </w:r>
    </w:p>
    <w:p w14:paraId="15A17CA6" w14:textId="77777777" w:rsidR="00473C3B" w:rsidRPr="00671E8F" w:rsidRDefault="00473C3B" w:rsidP="00473C3B">
      <w:pPr>
        <w:spacing w:after="0"/>
        <w:rPr>
          <w:rFonts w:cstheme="minorHAnsi"/>
          <w:bCs/>
          <w:sz w:val="16"/>
          <w:szCs w:val="72"/>
        </w:rPr>
      </w:pPr>
      <w:r w:rsidRPr="00671E8F">
        <w:rPr>
          <w:rFonts w:ascii="Calibri" w:eastAsia="Calibri" w:hAnsi="Calibri" w:cs="Calibri"/>
          <w:sz w:val="16"/>
          <w:szCs w:val="16"/>
        </w:rPr>
        <w:t xml:space="preserve">* </w:t>
      </w:r>
      <w:r w:rsidRPr="00671E8F">
        <w:rPr>
          <w:rFonts w:cstheme="minorHAnsi"/>
          <w:bCs/>
          <w:sz w:val="16"/>
          <w:szCs w:val="72"/>
        </w:rPr>
        <w:t>За период 2024. до 2027. дате су пројектоване вредности.</w:t>
      </w:r>
    </w:p>
    <w:p w14:paraId="6F37B2F6" w14:textId="77777777" w:rsidR="00473C3B" w:rsidRPr="00671E8F" w:rsidRDefault="00473C3B" w:rsidP="00473C3B">
      <w:pPr>
        <w:rPr>
          <w:rFonts w:ascii="Calibri" w:eastAsia="MS PGothic" w:hAnsi="Calibri" w:cs="Calibri"/>
          <w:b/>
          <w:szCs w:val="20"/>
          <w:lang w:eastAsia="ja-JP"/>
        </w:rPr>
      </w:pPr>
      <w:r w:rsidRPr="00671E8F">
        <w:rPr>
          <w:rFonts w:cstheme="minorHAnsi"/>
          <w:bCs/>
          <w:sz w:val="16"/>
          <w:szCs w:val="72"/>
        </w:rPr>
        <w:t>Извор: Министарство финансија</w:t>
      </w:r>
    </w:p>
    <w:p w14:paraId="46D96C38" w14:textId="77777777" w:rsidR="00473C3B" w:rsidRPr="00671E8F" w:rsidRDefault="00473C3B" w:rsidP="00473C3B">
      <w:pPr>
        <w:spacing w:after="120"/>
        <w:rPr>
          <w:rFonts w:ascii="Calibri" w:eastAsia="Calibri" w:hAnsi="Calibri" w:cs="Calibri"/>
          <w:spacing w:val="-2"/>
          <w:szCs w:val="20"/>
        </w:rPr>
      </w:pPr>
      <w:r w:rsidRPr="00671E8F">
        <w:rPr>
          <w:rFonts w:ascii="Calibri" w:eastAsia="Calibri" w:hAnsi="Calibri" w:cs="Calibri"/>
          <w:bCs/>
          <w:spacing w:val="-2"/>
          <w:szCs w:val="20"/>
        </w:rPr>
        <w:t>Анализом примарног стабилизационог јаза, који је дефинисан као разлика између оствареног примарног резултата и примарног резултата који је неопходан да би се стабилизовало учешће јавног дуга у текућој години, могуће је оценити постављене квантитативне фискалне лимите.</w:t>
      </w:r>
      <w:r w:rsidRPr="00671E8F">
        <w:rPr>
          <w:rFonts w:ascii="Calibri" w:eastAsia="Calibri" w:hAnsi="Calibri" w:cs="Calibri"/>
          <w:spacing w:val="-2"/>
          <w:szCs w:val="20"/>
        </w:rPr>
        <w:t xml:space="preserve"> Од 2016. године присутан је позитиван примарни стабилизациони јаз, а путања дуга преокренута. Током 2017. и 2018. године позитиван јаз се повећава и у том периоду је остварено највеће смањење учешћа дуга у БДП. Супротан тренд бележи се током 2020. године кад се достиже највећа негативна вредност овог показатеља. Након тога у периоду од 2021–2024. године примарни стабилизациони јаз постаје позитиван, чиме се омогућава постепено смањење нивоа јавног дуга. У периоду од 2025–2027. године, у складу са фискалним оквиром датим у овом документу, пројектоване су благе позитивне вредности овог параметра.</w:t>
      </w:r>
    </w:p>
    <w:p w14:paraId="1E198D11" w14:textId="77777777" w:rsidR="00473C3B" w:rsidRPr="00671E8F" w:rsidRDefault="00473C3B" w:rsidP="00473C3B">
      <w:pPr>
        <w:widowControl w:val="0"/>
        <w:spacing w:after="120"/>
        <w:rPr>
          <w:rFonts w:ascii="Calibri" w:eastAsia="Calibri" w:hAnsi="Calibri" w:cs="Calibri"/>
          <w:bCs/>
          <w:szCs w:val="20"/>
        </w:rPr>
      </w:pPr>
      <w:r w:rsidRPr="00671E8F">
        <w:rPr>
          <w:rFonts w:ascii="Calibri" w:eastAsia="Calibri" w:hAnsi="Calibri" w:cs="Calibri"/>
          <w:bCs/>
          <w:szCs w:val="20"/>
        </w:rPr>
        <w:t xml:space="preserve">Основни сценарио у овом документу предвиђа повећање дефицита са 2,7% у 2024. години на 3% БДП у периоду од 2025. до 2027. године. Оваквом путањом дефицита, учешће јавног дуга у БДП се смањује на 46,5% на крају 2027. године. За период од 2028. до 2030. године дата је симулација три </w:t>
      </w:r>
      <w:r w:rsidRPr="00671E8F">
        <w:rPr>
          <w:rFonts w:ascii="Calibri" w:eastAsia="Calibri" w:hAnsi="Calibri" w:cs="Calibri"/>
          <w:bCs/>
          <w:szCs w:val="20"/>
        </w:rPr>
        <w:t>сценарија кретања јавног дуга, при чему се у сваком подразумева одговарајућа реакција државе у погледу нивоа фискалног дефицита. Два алтернативна сценарија симулирају ефекте екстерних фискалних и/или макроекономских шокова и неопходно прилагођавање фискалне политике.</w:t>
      </w:r>
    </w:p>
    <w:p w14:paraId="55458E28" w14:textId="77777777" w:rsidR="00473C3B" w:rsidRPr="00671E8F" w:rsidRDefault="00473C3B" w:rsidP="00473C3B">
      <w:pPr>
        <w:widowControl w:val="0"/>
        <w:spacing w:after="120"/>
        <w:rPr>
          <w:rFonts w:ascii="Calibri" w:eastAsia="Calibri" w:hAnsi="Calibri" w:cs="Calibri"/>
          <w:bCs/>
          <w:szCs w:val="20"/>
        </w:rPr>
      </w:pPr>
      <w:r w:rsidRPr="00671E8F">
        <w:rPr>
          <w:rFonts w:ascii="Calibri" w:eastAsia="Calibri" w:hAnsi="Calibri" w:cs="Calibri"/>
          <w:szCs w:val="20"/>
        </w:rPr>
        <w:t>Претпоставке у основном сценарију су:</w:t>
      </w:r>
    </w:p>
    <w:p w14:paraId="686B6B39" w14:textId="77777777" w:rsidR="00473C3B" w:rsidRPr="00671E8F" w:rsidRDefault="00473C3B" w:rsidP="00473C3B">
      <w:pPr>
        <w:widowControl w:val="0"/>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у периоду од 2025. до 2027. године фискални дефицит се планира на нивоу датим овим фискалним оквиром. Након тога, до 2028. године планира се фискални дефицит на максималном нивоу од 2,5%, уз спуштање на ниво од 1,5% до 2030. године. На овај начин, уз остале претпоставке долази до константног смањење учешћа јавног дуга у БДП на ниво од 44,8% БДП у 2030. години.</w:t>
      </w:r>
    </w:p>
    <w:p w14:paraId="7BFD499D" w14:textId="77777777" w:rsidR="00473C3B" w:rsidRPr="00671E8F" w:rsidRDefault="00473C3B" w:rsidP="00473C3B">
      <w:pPr>
        <w:numPr>
          <w:ilvl w:val="0"/>
          <w:numId w:val="3"/>
        </w:numPr>
        <w:spacing w:after="120"/>
        <w:ind w:left="181" w:hanging="181"/>
        <w:rPr>
          <w:rFonts w:ascii="Calibri" w:eastAsia="Calibri" w:hAnsi="Calibri" w:cs="Calibri"/>
          <w:spacing w:val="-2"/>
          <w:szCs w:val="20"/>
        </w:rPr>
      </w:pPr>
      <w:r w:rsidRPr="00671E8F">
        <w:rPr>
          <w:rFonts w:ascii="Calibri" w:eastAsia="Calibri" w:hAnsi="Calibri" w:cs="Calibri"/>
          <w:spacing w:val="-2"/>
          <w:szCs w:val="20"/>
        </w:rPr>
        <w:t>претпостављена просечна стопа реалног раста БДП од 4% у дугом року. Овакве макроекономске перформансе омогућавају да се и у случају релативно релаксиране фискалне политике обезбеди пожељно кретање нивоа дуга;</w:t>
      </w:r>
    </w:p>
    <w:p w14:paraId="3EFDF90E"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успоравање инфлације и након тога задржавање на нивоу од 3% просечно у дугом року;</w:t>
      </w:r>
    </w:p>
    <w:p w14:paraId="30487304"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спорији раст фискалних прихода у односу на номинални раст БДП услед промене структуре привреде, јачања инвестиционе активности и раста извоза. Не предвиђају се значајније промене у пореској политици, уз задржавање релативно високог нивоа капиталних расхода;</w:t>
      </w:r>
    </w:p>
    <w:p w14:paraId="66712DA1"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изостанак нето прираста издатих гаранција након 2027. године;</w:t>
      </w:r>
    </w:p>
    <w:p w14:paraId="1EF056C7"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изостанак значајних прилива од приватизације у посматраном периоду. Евентуални већи приватизациони приходи смањују потребу за финансирањем и додатно смањују учешће јавног дуга.</w:t>
      </w:r>
    </w:p>
    <w:p w14:paraId="053DC93E" w14:textId="77777777" w:rsidR="00473C3B" w:rsidRPr="00671E8F" w:rsidRDefault="00473C3B" w:rsidP="00473C3B">
      <w:pPr>
        <w:spacing w:after="120"/>
        <w:ind w:left="-90"/>
        <w:rPr>
          <w:rFonts w:ascii="Calibri" w:eastAsia="Calibri" w:hAnsi="Calibri" w:cs="Calibri"/>
          <w:szCs w:val="20"/>
        </w:rPr>
      </w:pPr>
      <w:r w:rsidRPr="00671E8F">
        <w:rPr>
          <w:rFonts w:ascii="Calibri" w:eastAsia="Calibri" w:hAnsi="Calibri" w:cs="Calibri"/>
          <w:szCs w:val="20"/>
        </w:rPr>
        <w:t>Управљање и одрживост јавног дуга ће се додатно обезбедити:</w:t>
      </w:r>
    </w:p>
    <w:p w14:paraId="2E5E04CD"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ограничењем закључивања нових пројектних зајмова у случајевима да претходно одобрени зајмови нису ефикасно коришћени;</w:t>
      </w:r>
    </w:p>
    <w:p w14:paraId="67EAE591" w14:textId="77777777" w:rsidR="00473C3B" w:rsidRPr="00671E8F" w:rsidRDefault="00473C3B" w:rsidP="00473C3B">
      <w:pPr>
        <w:numPr>
          <w:ilvl w:val="0"/>
          <w:numId w:val="3"/>
        </w:numPr>
        <w:spacing w:after="120"/>
        <w:ind w:left="181" w:hanging="181"/>
        <w:rPr>
          <w:rFonts w:ascii="Calibri" w:eastAsia="Calibri" w:hAnsi="Calibri" w:cs="Calibri"/>
          <w:szCs w:val="20"/>
        </w:rPr>
      </w:pPr>
      <w:r w:rsidRPr="00671E8F">
        <w:rPr>
          <w:rFonts w:ascii="Calibri" w:eastAsia="Calibri" w:hAnsi="Calibri" w:cs="Calibri"/>
          <w:szCs w:val="20"/>
        </w:rPr>
        <w:t xml:space="preserve">откупом једног дела скупог дуга коришћењем средстава из повољнијих зајмова или </w:t>
      </w:r>
      <w:r w:rsidRPr="00671E8F">
        <w:rPr>
          <w:rFonts w:ascii="Calibri" w:eastAsia="Calibri" w:hAnsi="Calibri" w:cs="Calibri"/>
          <w:szCs w:val="20"/>
        </w:rPr>
        <w:lastRenderedPageBreak/>
        <w:t>приватизационих прихода уколико за то постоје могућности;</w:t>
      </w:r>
    </w:p>
    <w:p w14:paraId="3975D540" w14:textId="77777777" w:rsidR="00473C3B" w:rsidRPr="00671E8F" w:rsidRDefault="00473C3B" w:rsidP="00473C3B">
      <w:pPr>
        <w:numPr>
          <w:ilvl w:val="0"/>
          <w:numId w:val="2"/>
        </w:numPr>
        <w:spacing w:after="120"/>
        <w:ind w:left="181" w:hanging="181"/>
        <w:rPr>
          <w:rFonts w:ascii="Calibri" w:eastAsia="Calibri" w:hAnsi="Calibri" w:cs="Calibri"/>
          <w:szCs w:val="20"/>
        </w:rPr>
      </w:pPr>
      <w:r w:rsidRPr="00671E8F">
        <w:rPr>
          <w:rFonts w:ascii="Calibri" w:eastAsia="Calibri" w:hAnsi="Calibri" w:cs="Calibri"/>
          <w:szCs w:val="20"/>
        </w:rPr>
        <w:t>идентификацијом и бољим управљањем фискалним ризицима.</w:t>
      </w:r>
    </w:p>
    <w:p w14:paraId="7882CF77" w14:textId="77777777" w:rsidR="00473C3B" w:rsidRPr="00671E8F" w:rsidRDefault="00473C3B" w:rsidP="00473C3B">
      <w:pPr>
        <w:numPr>
          <w:ilvl w:val="0"/>
          <w:numId w:val="3"/>
        </w:numPr>
        <w:ind w:left="90" w:hanging="181"/>
        <w:rPr>
          <w:rFonts w:cs="Calibri"/>
          <w:szCs w:val="20"/>
          <w:lang w:eastAsia="ja-JP"/>
        </w:rPr>
        <w:sectPr w:rsidR="00473C3B" w:rsidRPr="00671E8F" w:rsidSect="00473C3B">
          <w:type w:val="continuous"/>
          <w:pgSz w:w="12240" w:h="15840" w:code="1"/>
          <w:pgMar w:top="1417" w:right="1417" w:bottom="1417" w:left="1417" w:header="720" w:footer="720" w:gutter="0"/>
          <w:cols w:num="2" w:space="720"/>
        </w:sectPr>
      </w:pPr>
    </w:p>
    <w:p w14:paraId="4D5DF28E" w14:textId="4235277B" w:rsidR="00473C3B" w:rsidRPr="00671E8F" w:rsidRDefault="00473C3B" w:rsidP="00473C3B">
      <w:pPr>
        <w:spacing w:after="40"/>
        <w:jc w:val="center"/>
        <w:rPr>
          <w:rFonts w:cstheme="minorHAnsi"/>
          <w:b/>
          <w:color w:val="002060"/>
        </w:rPr>
      </w:pPr>
      <w:r w:rsidRPr="00671E8F">
        <w:rPr>
          <w:rFonts w:cstheme="minorHAnsi"/>
          <w:b/>
          <w:color w:val="002060"/>
        </w:rPr>
        <w:t>Табела 2</w:t>
      </w:r>
      <w:r w:rsidR="00FC5CD7" w:rsidRPr="00671E8F">
        <w:rPr>
          <w:rFonts w:cstheme="minorHAnsi"/>
          <w:b/>
          <w:color w:val="002060"/>
        </w:rPr>
        <w:t>6</w:t>
      </w:r>
      <w:r w:rsidRPr="00671E8F">
        <w:rPr>
          <w:rFonts w:cstheme="minorHAnsi"/>
          <w:b/>
          <w:color w:val="002060"/>
        </w:rPr>
        <w:t>. Симулација нивоа укупног дуга у основном сценарију до 2030. године, % БДП</w:t>
      </w:r>
    </w:p>
    <w:tbl>
      <w:tblPr>
        <w:tblStyle w:val="LightShading-Accent33823"/>
        <w:tblW w:w="5000" w:type="pct"/>
        <w:jc w:val="center"/>
        <w:tblLook w:val="04A0" w:firstRow="1" w:lastRow="0" w:firstColumn="1" w:lastColumn="0" w:noHBand="0" w:noVBand="1"/>
      </w:tblPr>
      <w:tblGrid>
        <w:gridCol w:w="2748"/>
        <w:gridCol w:w="831"/>
        <w:gridCol w:w="830"/>
        <w:gridCol w:w="835"/>
        <w:gridCol w:w="835"/>
        <w:gridCol w:w="835"/>
        <w:gridCol w:w="835"/>
        <w:gridCol w:w="835"/>
        <w:gridCol w:w="822"/>
      </w:tblGrid>
      <w:tr w:rsidR="00473C3B" w:rsidRPr="00671E8F" w14:paraId="2268640C" w14:textId="77777777" w:rsidTr="00473C3B">
        <w:trPr>
          <w:cnfStyle w:val="100000000000" w:firstRow="1" w:lastRow="0" w:firstColumn="0" w:lastColumn="0" w:oddVBand="0" w:evenVBand="0" w:oddHBand="0"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single" w:sz="4" w:space="0" w:color="002060"/>
              <w:bottom w:val="single" w:sz="4" w:space="0" w:color="002060"/>
            </w:tcBorders>
            <w:shd w:val="clear" w:color="auto" w:fill="auto"/>
            <w:vAlign w:val="center"/>
            <w:hideMark/>
          </w:tcPr>
          <w:p w14:paraId="282F01D6" w14:textId="77777777" w:rsidR="00473C3B" w:rsidRPr="00671E8F" w:rsidRDefault="00473C3B" w:rsidP="00473C3B">
            <w:pPr>
              <w:ind w:right="-427"/>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Основни сценарио</w:t>
            </w:r>
          </w:p>
        </w:tc>
        <w:tc>
          <w:tcPr>
            <w:tcW w:w="442" w:type="pct"/>
            <w:tcBorders>
              <w:top w:val="single" w:sz="4" w:space="0" w:color="002060"/>
              <w:bottom w:val="single" w:sz="4" w:space="0" w:color="002060"/>
            </w:tcBorders>
            <w:shd w:val="clear" w:color="auto" w:fill="auto"/>
            <w:noWrap/>
            <w:vAlign w:val="bottom"/>
            <w:hideMark/>
          </w:tcPr>
          <w:p w14:paraId="2E6636D3"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2023</w:t>
            </w:r>
          </w:p>
        </w:tc>
        <w:tc>
          <w:tcPr>
            <w:tcW w:w="441" w:type="pct"/>
            <w:tcBorders>
              <w:top w:val="single" w:sz="4" w:space="0" w:color="002060"/>
              <w:bottom w:val="single" w:sz="4" w:space="0" w:color="002060"/>
            </w:tcBorders>
            <w:shd w:val="clear" w:color="auto" w:fill="auto"/>
            <w:noWrap/>
            <w:vAlign w:val="bottom"/>
            <w:hideMark/>
          </w:tcPr>
          <w:p w14:paraId="22520C74"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2024</w:t>
            </w:r>
          </w:p>
        </w:tc>
        <w:tc>
          <w:tcPr>
            <w:tcW w:w="444" w:type="pct"/>
            <w:tcBorders>
              <w:top w:val="single" w:sz="4" w:space="0" w:color="002060"/>
              <w:bottom w:val="single" w:sz="4" w:space="0" w:color="002060"/>
            </w:tcBorders>
            <w:shd w:val="clear" w:color="auto" w:fill="auto"/>
            <w:noWrap/>
            <w:vAlign w:val="bottom"/>
            <w:hideMark/>
          </w:tcPr>
          <w:p w14:paraId="40B482C6"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2025</w:t>
            </w:r>
          </w:p>
        </w:tc>
        <w:tc>
          <w:tcPr>
            <w:tcW w:w="444" w:type="pct"/>
            <w:tcBorders>
              <w:top w:val="single" w:sz="4" w:space="0" w:color="002060"/>
              <w:bottom w:val="single" w:sz="4" w:space="0" w:color="002060"/>
            </w:tcBorders>
            <w:shd w:val="clear" w:color="auto" w:fill="auto"/>
            <w:noWrap/>
            <w:vAlign w:val="bottom"/>
            <w:hideMark/>
          </w:tcPr>
          <w:p w14:paraId="6809CE74"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2026</w:t>
            </w:r>
          </w:p>
        </w:tc>
        <w:tc>
          <w:tcPr>
            <w:tcW w:w="444" w:type="pct"/>
            <w:tcBorders>
              <w:top w:val="single" w:sz="4" w:space="0" w:color="002060"/>
              <w:bottom w:val="single" w:sz="4" w:space="0" w:color="002060"/>
            </w:tcBorders>
            <w:shd w:val="clear" w:color="auto" w:fill="auto"/>
            <w:noWrap/>
            <w:vAlign w:val="bottom"/>
            <w:hideMark/>
          </w:tcPr>
          <w:p w14:paraId="5B4220E4"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2027</w:t>
            </w:r>
          </w:p>
        </w:tc>
        <w:tc>
          <w:tcPr>
            <w:tcW w:w="444" w:type="pct"/>
            <w:tcBorders>
              <w:top w:val="single" w:sz="4" w:space="0" w:color="002060"/>
              <w:bottom w:val="single" w:sz="4" w:space="0" w:color="002060"/>
            </w:tcBorders>
            <w:shd w:val="clear" w:color="auto" w:fill="auto"/>
            <w:noWrap/>
            <w:vAlign w:val="bottom"/>
            <w:hideMark/>
          </w:tcPr>
          <w:p w14:paraId="12F4A21F"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2028</w:t>
            </w:r>
          </w:p>
        </w:tc>
        <w:tc>
          <w:tcPr>
            <w:tcW w:w="444" w:type="pct"/>
            <w:tcBorders>
              <w:top w:val="single" w:sz="4" w:space="0" w:color="002060"/>
              <w:bottom w:val="single" w:sz="4" w:space="0" w:color="002060"/>
            </w:tcBorders>
            <w:shd w:val="clear" w:color="auto" w:fill="auto"/>
            <w:noWrap/>
            <w:vAlign w:val="bottom"/>
            <w:hideMark/>
          </w:tcPr>
          <w:p w14:paraId="4DFC4A31"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2029</w:t>
            </w:r>
          </w:p>
        </w:tc>
        <w:tc>
          <w:tcPr>
            <w:tcW w:w="438" w:type="pct"/>
            <w:tcBorders>
              <w:top w:val="single" w:sz="4" w:space="0" w:color="002060"/>
              <w:bottom w:val="single" w:sz="4" w:space="0" w:color="002060"/>
            </w:tcBorders>
            <w:shd w:val="clear" w:color="auto" w:fill="auto"/>
            <w:noWrap/>
            <w:vAlign w:val="bottom"/>
            <w:hideMark/>
          </w:tcPr>
          <w:p w14:paraId="62B705DA" w14:textId="77777777" w:rsidR="00473C3B" w:rsidRPr="00671E8F" w:rsidRDefault="00473C3B" w:rsidP="00473C3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rPr>
            </w:pPr>
            <w:r w:rsidRPr="00671E8F">
              <w:rPr>
                <w:rFonts w:asciiTheme="minorHAnsi" w:hAnsiTheme="minorHAnsi" w:cstheme="minorHAnsi"/>
                <w:color w:val="002060"/>
                <w:sz w:val="18"/>
                <w:szCs w:val="18"/>
              </w:rPr>
              <w:t>2030</w:t>
            </w:r>
          </w:p>
        </w:tc>
      </w:tr>
      <w:tr w:rsidR="00473C3B" w:rsidRPr="00671E8F" w14:paraId="29F323AE" w14:textId="77777777" w:rsidTr="00473C3B">
        <w:trPr>
          <w:cnfStyle w:val="000000100000" w:firstRow="0" w:lastRow="0" w:firstColumn="0" w:lastColumn="0" w:oddVBand="0" w:evenVBand="0" w:oddHBand="1"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single" w:sz="4" w:space="0" w:color="002060"/>
              <w:bottom w:val="nil"/>
            </w:tcBorders>
            <w:shd w:val="clear" w:color="auto" w:fill="auto"/>
            <w:noWrap/>
            <w:vAlign w:val="center"/>
            <w:hideMark/>
          </w:tcPr>
          <w:p w14:paraId="19D2F0C3"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Приходи</w:t>
            </w:r>
          </w:p>
        </w:tc>
        <w:tc>
          <w:tcPr>
            <w:tcW w:w="442" w:type="pct"/>
            <w:tcBorders>
              <w:top w:val="nil"/>
              <w:bottom w:val="nil"/>
            </w:tcBorders>
            <w:shd w:val="clear" w:color="auto" w:fill="auto"/>
            <w:noWrap/>
            <w:vAlign w:val="bottom"/>
            <w:hideMark/>
          </w:tcPr>
          <w:p w14:paraId="4C6B187E"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39,4</w:t>
            </w:r>
          </w:p>
        </w:tc>
        <w:tc>
          <w:tcPr>
            <w:tcW w:w="441" w:type="pct"/>
            <w:tcBorders>
              <w:top w:val="nil"/>
              <w:bottom w:val="nil"/>
            </w:tcBorders>
            <w:shd w:val="clear" w:color="auto" w:fill="auto"/>
            <w:noWrap/>
            <w:vAlign w:val="bottom"/>
            <w:hideMark/>
          </w:tcPr>
          <w:p w14:paraId="439787B1"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40,8</w:t>
            </w:r>
          </w:p>
        </w:tc>
        <w:tc>
          <w:tcPr>
            <w:tcW w:w="444" w:type="pct"/>
            <w:tcBorders>
              <w:top w:val="nil"/>
              <w:bottom w:val="nil"/>
            </w:tcBorders>
            <w:shd w:val="clear" w:color="auto" w:fill="auto"/>
            <w:noWrap/>
            <w:vAlign w:val="bottom"/>
            <w:hideMark/>
          </w:tcPr>
          <w:p w14:paraId="273D7D0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41,3</w:t>
            </w:r>
          </w:p>
        </w:tc>
        <w:tc>
          <w:tcPr>
            <w:tcW w:w="444" w:type="pct"/>
            <w:tcBorders>
              <w:top w:val="nil"/>
              <w:bottom w:val="nil"/>
            </w:tcBorders>
            <w:shd w:val="clear" w:color="auto" w:fill="auto"/>
            <w:noWrap/>
            <w:vAlign w:val="bottom"/>
            <w:hideMark/>
          </w:tcPr>
          <w:p w14:paraId="7CF316D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40,9</w:t>
            </w:r>
          </w:p>
        </w:tc>
        <w:tc>
          <w:tcPr>
            <w:tcW w:w="444" w:type="pct"/>
            <w:tcBorders>
              <w:top w:val="nil"/>
              <w:bottom w:val="nil"/>
            </w:tcBorders>
            <w:shd w:val="clear" w:color="auto" w:fill="auto"/>
            <w:noWrap/>
            <w:vAlign w:val="bottom"/>
            <w:hideMark/>
          </w:tcPr>
          <w:p w14:paraId="14C01C03"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40,5</w:t>
            </w:r>
          </w:p>
        </w:tc>
        <w:tc>
          <w:tcPr>
            <w:tcW w:w="444" w:type="pct"/>
            <w:tcBorders>
              <w:top w:val="nil"/>
              <w:bottom w:val="nil"/>
            </w:tcBorders>
            <w:shd w:val="clear" w:color="auto" w:fill="auto"/>
            <w:noWrap/>
            <w:vAlign w:val="bottom"/>
            <w:hideMark/>
          </w:tcPr>
          <w:p w14:paraId="28FF53C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40,3</w:t>
            </w:r>
          </w:p>
        </w:tc>
        <w:tc>
          <w:tcPr>
            <w:tcW w:w="444" w:type="pct"/>
            <w:tcBorders>
              <w:top w:val="nil"/>
              <w:bottom w:val="nil"/>
            </w:tcBorders>
            <w:shd w:val="clear" w:color="auto" w:fill="auto"/>
            <w:noWrap/>
            <w:vAlign w:val="bottom"/>
            <w:hideMark/>
          </w:tcPr>
          <w:p w14:paraId="663D544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40,1</w:t>
            </w:r>
          </w:p>
        </w:tc>
        <w:tc>
          <w:tcPr>
            <w:tcW w:w="438" w:type="pct"/>
            <w:tcBorders>
              <w:top w:val="nil"/>
              <w:bottom w:val="nil"/>
            </w:tcBorders>
            <w:shd w:val="clear" w:color="auto" w:fill="auto"/>
            <w:noWrap/>
            <w:vAlign w:val="bottom"/>
            <w:hideMark/>
          </w:tcPr>
          <w:p w14:paraId="59D70BF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39,9</w:t>
            </w:r>
          </w:p>
        </w:tc>
      </w:tr>
      <w:tr w:rsidR="00473C3B" w:rsidRPr="00671E8F" w14:paraId="54C6A578" w14:textId="77777777" w:rsidTr="00473C3B">
        <w:trPr>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left w:val="nil"/>
              <w:bottom w:val="nil"/>
              <w:right w:val="nil"/>
            </w:tcBorders>
            <w:shd w:val="clear" w:color="auto" w:fill="auto"/>
            <w:noWrap/>
            <w:vAlign w:val="center"/>
            <w:hideMark/>
          </w:tcPr>
          <w:p w14:paraId="6FAC83FA"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Расходи</w:t>
            </w:r>
          </w:p>
        </w:tc>
        <w:tc>
          <w:tcPr>
            <w:tcW w:w="442" w:type="pct"/>
            <w:tcBorders>
              <w:top w:val="nil"/>
              <w:left w:val="nil"/>
              <w:bottom w:val="nil"/>
              <w:right w:val="nil"/>
            </w:tcBorders>
            <w:shd w:val="clear" w:color="auto" w:fill="auto"/>
            <w:noWrap/>
            <w:vAlign w:val="bottom"/>
            <w:hideMark/>
          </w:tcPr>
          <w:p w14:paraId="48500FBF"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41,4</w:t>
            </w:r>
          </w:p>
        </w:tc>
        <w:tc>
          <w:tcPr>
            <w:tcW w:w="441" w:type="pct"/>
            <w:tcBorders>
              <w:top w:val="nil"/>
              <w:left w:val="nil"/>
              <w:bottom w:val="nil"/>
              <w:right w:val="nil"/>
            </w:tcBorders>
            <w:shd w:val="clear" w:color="auto" w:fill="auto"/>
            <w:noWrap/>
            <w:vAlign w:val="bottom"/>
            <w:hideMark/>
          </w:tcPr>
          <w:p w14:paraId="4278EB07"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43,6</w:t>
            </w:r>
          </w:p>
        </w:tc>
        <w:tc>
          <w:tcPr>
            <w:tcW w:w="444" w:type="pct"/>
            <w:tcBorders>
              <w:top w:val="nil"/>
              <w:left w:val="nil"/>
              <w:bottom w:val="nil"/>
              <w:right w:val="nil"/>
            </w:tcBorders>
            <w:shd w:val="clear" w:color="auto" w:fill="auto"/>
            <w:noWrap/>
            <w:vAlign w:val="bottom"/>
            <w:hideMark/>
          </w:tcPr>
          <w:p w14:paraId="33DD40D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44,3</w:t>
            </w:r>
          </w:p>
        </w:tc>
        <w:tc>
          <w:tcPr>
            <w:tcW w:w="444" w:type="pct"/>
            <w:tcBorders>
              <w:top w:val="nil"/>
              <w:left w:val="nil"/>
              <w:bottom w:val="nil"/>
              <w:right w:val="nil"/>
            </w:tcBorders>
            <w:shd w:val="clear" w:color="auto" w:fill="auto"/>
            <w:noWrap/>
            <w:vAlign w:val="bottom"/>
            <w:hideMark/>
          </w:tcPr>
          <w:p w14:paraId="4A0C3A29"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43,9</w:t>
            </w:r>
          </w:p>
        </w:tc>
        <w:tc>
          <w:tcPr>
            <w:tcW w:w="444" w:type="pct"/>
            <w:tcBorders>
              <w:top w:val="nil"/>
              <w:left w:val="nil"/>
              <w:bottom w:val="nil"/>
              <w:right w:val="nil"/>
            </w:tcBorders>
            <w:shd w:val="clear" w:color="auto" w:fill="auto"/>
            <w:noWrap/>
            <w:vAlign w:val="bottom"/>
            <w:hideMark/>
          </w:tcPr>
          <w:p w14:paraId="5220257D"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43,5</w:t>
            </w:r>
          </w:p>
        </w:tc>
        <w:tc>
          <w:tcPr>
            <w:tcW w:w="444" w:type="pct"/>
            <w:tcBorders>
              <w:top w:val="nil"/>
              <w:left w:val="nil"/>
              <w:bottom w:val="nil"/>
              <w:right w:val="nil"/>
            </w:tcBorders>
            <w:shd w:val="clear" w:color="auto" w:fill="auto"/>
            <w:noWrap/>
            <w:vAlign w:val="bottom"/>
            <w:hideMark/>
          </w:tcPr>
          <w:p w14:paraId="364B0A2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42,8</w:t>
            </w:r>
          </w:p>
        </w:tc>
        <w:tc>
          <w:tcPr>
            <w:tcW w:w="444" w:type="pct"/>
            <w:tcBorders>
              <w:top w:val="nil"/>
              <w:left w:val="nil"/>
              <w:bottom w:val="nil"/>
              <w:right w:val="nil"/>
            </w:tcBorders>
            <w:shd w:val="clear" w:color="auto" w:fill="auto"/>
            <w:noWrap/>
            <w:vAlign w:val="bottom"/>
            <w:hideMark/>
          </w:tcPr>
          <w:p w14:paraId="77D11032"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42,6</w:t>
            </w:r>
          </w:p>
        </w:tc>
        <w:tc>
          <w:tcPr>
            <w:tcW w:w="438" w:type="pct"/>
            <w:tcBorders>
              <w:top w:val="nil"/>
              <w:left w:val="nil"/>
              <w:bottom w:val="nil"/>
              <w:right w:val="nil"/>
            </w:tcBorders>
            <w:shd w:val="clear" w:color="auto" w:fill="auto"/>
            <w:noWrap/>
            <w:vAlign w:val="bottom"/>
            <w:hideMark/>
          </w:tcPr>
          <w:p w14:paraId="2A673771"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41,4</w:t>
            </w:r>
          </w:p>
        </w:tc>
      </w:tr>
      <w:tr w:rsidR="00473C3B" w:rsidRPr="00671E8F" w14:paraId="6E0BE6DB" w14:textId="77777777" w:rsidTr="00473C3B">
        <w:trPr>
          <w:cnfStyle w:val="000000100000" w:firstRow="0" w:lastRow="0" w:firstColumn="0" w:lastColumn="0" w:oddVBand="0" w:evenVBand="0" w:oddHBand="1"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bottom w:val="nil"/>
            </w:tcBorders>
            <w:shd w:val="clear" w:color="auto" w:fill="auto"/>
            <w:noWrap/>
            <w:vAlign w:val="center"/>
            <w:hideMark/>
          </w:tcPr>
          <w:p w14:paraId="63C6C801" w14:textId="77777777" w:rsidR="00473C3B" w:rsidRPr="00671E8F" w:rsidRDefault="00473C3B" w:rsidP="00473C3B">
            <w:pPr>
              <w:jc w:val="left"/>
              <w:rPr>
                <w:rFonts w:asciiTheme="minorHAnsi" w:eastAsia="Times New Roman" w:hAnsiTheme="minorHAnsi" w:cstheme="minorHAnsi"/>
                <w:i/>
                <w:iCs/>
                <w:color w:val="002060"/>
                <w:sz w:val="18"/>
                <w:szCs w:val="18"/>
              </w:rPr>
            </w:pPr>
            <w:r w:rsidRPr="00671E8F">
              <w:rPr>
                <w:rFonts w:asciiTheme="minorHAnsi" w:eastAsia="Times New Roman" w:hAnsiTheme="minorHAnsi" w:cstheme="minorHAnsi"/>
                <w:i/>
                <w:color w:val="002060"/>
                <w:sz w:val="18"/>
                <w:szCs w:val="18"/>
              </w:rPr>
              <w:t>Пад учешћа расхода</w:t>
            </w:r>
          </w:p>
        </w:tc>
        <w:tc>
          <w:tcPr>
            <w:tcW w:w="442" w:type="pct"/>
            <w:tcBorders>
              <w:top w:val="nil"/>
              <w:bottom w:val="nil"/>
            </w:tcBorders>
            <w:shd w:val="clear" w:color="auto" w:fill="auto"/>
            <w:noWrap/>
            <w:vAlign w:val="bottom"/>
            <w:hideMark/>
          </w:tcPr>
          <w:p w14:paraId="5BF3BF4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p>
        </w:tc>
        <w:tc>
          <w:tcPr>
            <w:tcW w:w="441" w:type="pct"/>
            <w:tcBorders>
              <w:top w:val="nil"/>
              <w:bottom w:val="nil"/>
            </w:tcBorders>
            <w:shd w:val="clear" w:color="auto" w:fill="auto"/>
            <w:noWrap/>
            <w:vAlign w:val="bottom"/>
            <w:hideMark/>
          </w:tcPr>
          <w:p w14:paraId="30FDFCB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2,1</w:t>
            </w:r>
          </w:p>
        </w:tc>
        <w:tc>
          <w:tcPr>
            <w:tcW w:w="444" w:type="pct"/>
            <w:tcBorders>
              <w:top w:val="nil"/>
              <w:bottom w:val="nil"/>
            </w:tcBorders>
            <w:shd w:val="clear" w:color="auto" w:fill="auto"/>
            <w:noWrap/>
            <w:vAlign w:val="bottom"/>
            <w:hideMark/>
          </w:tcPr>
          <w:p w14:paraId="1AD56807"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0,7</w:t>
            </w:r>
          </w:p>
        </w:tc>
        <w:tc>
          <w:tcPr>
            <w:tcW w:w="444" w:type="pct"/>
            <w:tcBorders>
              <w:top w:val="nil"/>
              <w:bottom w:val="nil"/>
            </w:tcBorders>
            <w:shd w:val="clear" w:color="auto" w:fill="auto"/>
            <w:noWrap/>
            <w:vAlign w:val="bottom"/>
            <w:hideMark/>
          </w:tcPr>
          <w:p w14:paraId="0804A312"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-0,4</w:t>
            </w:r>
          </w:p>
        </w:tc>
        <w:tc>
          <w:tcPr>
            <w:tcW w:w="444" w:type="pct"/>
            <w:tcBorders>
              <w:top w:val="nil"/>
              <w:bottom w:val="nil"/>
            </w:tcBorders>
            <w:shd w:val="clear" w:color="auto" w:fill="auto"/>
            <w:noWrap/>
            <w:vAlign w:val="bottom"/>
            <w:hideMark/>
          </w:tcPr>
          <w:p w14:paraId="34F0AAC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-0,4</w:t>
            </w:r>
          </w:p>
        </w:tc>
        <w:tc>
          <w:tcPr>
            <w:tcW w:w="444" w:type="pct"/>
            <w:tcBorders>
              <w:top w:val="nil"/>
              <w:bottom w:val="nil"/>
            </w:tcBorders>
            <w:shd w:val="clear" w:color="auto" w:fill="auto"/>
            <w:noWrap/>
            <w:vAlign w:val="bottom"/>
            <w:hideMark/>
          </w:tcPr>
          <w:p w14:paraId="0FD55C5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-0,7</w:t>
            </w:r>
          </w:p>
        </w:tc>
        <w:tc>
          <w:tcPr>
            <w:tcW w:w="444" w:type="pct"/>
            <w:tcBorders>
              <w:top w:val="nil"/>
              <w:bottom w:val="nil"/>
            </w:tcBorders>
            <w:shd w:val="clear" w:color="auto" w:fill="auto"/>
            <w:noWrap/>
            <w:vAlign w:val="bottom"/>
            <w:hideMark/>
          </w:tcPr>
          <w:p w14:paraId="0743E4E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-0,2</w:t>
            </w:r>
          </w:p>
        </w:tc>
        <w:tc>
          <w:tcPr>
            <w:tcW w:w="438" w:type="pct"/>
            <w:tcBorders>
              <w:top w:val="nil"/>
              <w:bottom w:val="nil"/>
            </w:tcBorders>
            <w:shd w:val="clear" w:color="auto" w:fill="auto"/>
            <w:noWrap/>
            <w:vAlign w:val="bottom"/>
            <w:hideMark/>
          </w:tcPr>
          <w:p w14:paraId="52B111FD"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-1,2</w:t>
            </w:r>
          </w:p>
        </w:tc>
      </w:tr>
      <w:tr w:rsidR="00473C3B" w:rsidRPr="00671E8F" w14:paraId="014F3060" w14:textId="77777777" w:rsidTr="00473C3B">
        <w:trPr>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left w:val="nil"/>
              <w:bottom w:val="nil"/>
              <w:right w:val="nil"/>
            </w:tcBorders>
            <w:shd w:val="clear" w:color="auto" w:fill="auto"/>
            <w:noWrap/>
            <w:vAlign w:val="center"/>
            <w:hideMark/>
          </w:tcPr>
          <w:p w14:paraId="59A4587E"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 xml:space="preserve">Фискални резултат </w:t>
            </w:r>
          </w:p>
        </w:tc>
        <w:tc>
          <w:tcPr>
            <w:tcW w:w="442" w:type="pct"/>
            <w:tcBorders>
              <w:top w:val="nil"/>
              <w:left w:val="nil"/>
              <w:bottom w:val="nil"/>
              <w:right w:val="nil"/>
            </w:tcBorders>
            <w:shd w:val="clear" w:color="auto" w:fill="auto"/>
            <w:noWrap/>
            <w:vAlign w:val="bottom"/>
            <w:hideMark/>
          </w:tcPr>
          <w:p w14:paraId="10E3BA3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-2,1</w:t>
            </w:r>
          </w:p>
        </w:tc>
        <w:tc>
          <w:tcPr>
            <w:tcW w:w="441" w:type="pct"/>
            <w:tcBorders>
              <w:top w:val="nil"/>
              <w:left w:val="nil"/>
              <w:bottom w:val="nil"/>
              <w:right w:val="nil"/>
            </w:tcBorders>
            <w:shd w:val="clear" w:color="auto" w:fill="auto"/>
            <w:noWrap/>
            <w:vAlign w:val="bottom"/>
            <w:hideMark/>
          </w:tcPr>
          <w:p w14:paraId="0B6B545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-2,7</w:t>
            </w:r>
          </w:p>
        </w:tc>
        <w:tc>
          <w:tcPr>
            <w:tcW w:w="444" w:type="pct"/>
            <w:tcBorders>
              <w:top w:val="nil"/>
              <w:left w:val="nil"/>
              <w:bottom w:val="nil"/>
              <w:right w:val="nil"/>
            </w:tcBorders>
            <w:shd w:val="clear" w:color="auto" w:fill="auto"/>
            <w:noWrap/>
            <w:vAlign w:val="bottom"/>
            <w:hideMark/>
          </w:tcPr>
          <w:p w14:paraId="2F8EE28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-3,0</w:t>
            </w:r>
          </w:p>
        </w:tc>
        <w:tc>
          <w:tcPr>
            <w:tcW w:w="444" w:type="pct"/>
            <w:tcBorders>
              <w:top w:val="nil"/>
              <w:left w:val="nil"/>
              <w:bottom w:val="nil"/>
              <w:right w:val="nil"/>
            </w:tcBorders>
            <w:shd w:val="clear" w:color="auto" w:fill="auto"/>
            <w:noWrap/>
            <w:vAlign w:val="bottom"/>
            <w:hideMark/>
          </w:tcPr>
          <w:p w14:paraId="1794F783"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-3,0</w:t>
            </w:r>
          </w:p>
        </w:tc>
        <w:tc>
          <w:tcPr>
            <w:tcW w:w="444" w:type="pct"/>
            <w:tcBorders>
              <w:top w:val="nil"/>
              <w:left w:val="nil"/>
              <w:bottom w:val="nil"/>
              <w:right w:val="nil"/>
            </w:tcBorders>
            <w:shd w:val="clear" w:color="auto" w:fill="auto"/>
            <w:noWrap/>
            <w:vAlign w:val="bottom"/>
            <w:hideMark/>
          </w:tcPr>
          <w:p w14:paraId="48E8255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-3,0</w:t>
            </w:r>
          </w:p>
        </w:tc>
        <w:tc>
          <w:tcPr>
            <w:tcW w:w="444" w:type="pct"/>
            <w:tcBorders>
              <w:top w:val="nil"/>
              <w:left w:val="nil"/>
              <w:bottom w:val="nil"/>
              <w:right w:val="nil"/>
            </w:tcBorders>
            <w:shd w:val="clear" w:color="auto" w:fill="auto"/>
            <w:noWrap/>
            <w:vAlign w:val="bottom"/>
            <w:hideMark/>
          </w:tcPr>
          <w:p w14:paraId="0CED891F"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-2,5</w:t>
            </w:r>
          </w:p>
        </w:tc>
        <w:tc>
          <w:tcPr>
            <w:tcW w:w="444" w:type="pct"/>
            <w:tcBorders>
              <w:top w:val="nil"/>
              <w:left w:val="nil"/>
              <w:bottom w:val="nil"/>
              <w:right w:val="nil"/>
            </w:tcBorders>
            <w:shd w:val="clear" w:color="auto" w:fill="auto"/>
            <w:noWrap/>
            <w:vAlign w:val="bottom"/>
            <w:hideMark/>
          </w:tcPr>
          <w:p w14:paraId="0FB2302C"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-2,5</w:t>
            </w:r>
          </w:p>
        </w:tc>
        <w:tc>
          <w:tcPr>
            <w:tcW w:w="438" w:type="pct"/>
            <w:tcBorders>
              <w:top w:val="nil"/>
              <w:left w:val="nil"/>
              <w:bottom w:val="nil"/>
              <w:right w:val="nil"/>
            </w:tcBorders>
            <w:shd w:val="clear" w:color="auto" w:fill="auto"/>
            <w:noWrap/>
            <w:vAlign w:val="bottom"/>
            <w:hideMark/>
          </w:tcPr>
          <w:p w14:paraId="41EECD85"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-1,5</w:t>
            </w:r>
          </w:p>
        </w:tc>
      </w:tr>
      <w:tr w:rsidR="00473C3B" w:rsidRPr="00671E8F" w14:paraId="782E7419" w14:textId="77777777" w:rsidTr="00473C3B">
        <w:trPr>
          <w:cnfStyle w:val="000000100000" w:firstRow="0" w:lastRow="0" w:firstColumn="0" w:lastColumn="0" w:oddVBand="0" w:evenVBand="0" w:oddHBand="1"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bottom w:val="nil"/>
            </w:tcBorders>
            <w:shd w:val="clear" w:color="auto" w:fill="auto"/>
            <w:noWrap/>
            <w:vAlign w:val="center"/>
            <w:hideMark/>
          </w:tcPr>
          <w:p w14:paraId="55FF8A2C"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Примарни фиск. резултат</w:t>
            </w:r>
          </w:p>
        </w:tc>
        <w:tc>
          <w:tcPr>
            <w:tcW w:w="442" w:type="pct"/>
            <w:tcBorders>
              <w:top w:val="nil"/>
              <w:bottom w:val="nil"/>
            </w:tcBorders>
            <w:shd w:val="clear" w:color="auto" w:fill="auto"/>
            <w:noWrap/>
            <w:vAlign w:val="bottom"/>
            <w:hideMark/>
          </w:tcPr>
          <w:p w14:paraId="476495C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-0,5</w:t>
            </w:r>
          </w:p>
        </w:tc>
        <w:tc>
          <w:tcPr>
            <w:tcW w:w="441" w:type="pct"/>
            <w:tcBorders>
              <w:top w:val="nil"/>
              <w:bottom w:val="nil"/>
            </w:tcBorders>
            <w:shd w:val="clear" w:color="auto" w:fill="auto"/>
            <w:noWrap/>
            <w:vAlign w:val="bottom"/>
            <w:hideMark/>
          </w:tcPr>
          <w:p w14:paraId="78D29F6C"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-0,9</w:t>
            </w:r>
          </w:p>
        </w:tc>
        <w:tc>
          <w:tcPr>
            <w:tcW w:w="444" w:type="pct"/>
            <w:tcBorders>
              <w:top w:val="nil"/>
              <w:bottom w:val="nil"/>
            </w:tcBorders>
            <w:shd w:val="clear" w:color="auto" w:fill="auto"/>
            <w:noWrap/>
            <w:vAlign w:val="bottom"/>
            <w:hideMark/>
          </w:tcPr>
          <w:p w14:paraId="433AF1E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-1,0</w:t>
            </w:r>
          </w:p>
        </w:tc>
        <w:tc>
          <w:tcPr>
            <w:tcW w:w="444" w:type="pct"/>
            <w:tcBorders>
              <w:top w:val="nil"/>
              <w:bottom w:val="nil"/>
            </w:tcBorders>
            <w:shd w:val="clear" w:color="auto" w:fill="auto"/>
            <w:noWrap/>
            <w:vAlign w:val="bottom"/>
            <w:hideMark/>
          </w:tcPr>
          <w:p w14:paraId="475F654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-1,0</w:t>
            </w:r>
          </w:p>
        </w:tc>
        <w:tc>
          <w:tcPr>
            <w:tcW w:w="444" w:type="pct"/>
            <w:tcBorders>
              <w:top w:val="nil"/>
              <w:bottom w:val="nil"/>
            </w:tcBorders>
            <w:shd w:val="clear" w:color="auto" w:fill="auto"/>
            <w:noWrap/>
            <w:vAlign w:val="bottom"/>
            <w:hideMark/>
          </w:tcPr>
          <w:p w14:paraId="31BCB19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-1,1</w:t>
            </w:r>
          </w:p>
        </w:tc>
        <w:tc>
          <w:tcPr>
            <w:tcW w:w="444" w:type="pct"/>
            <w:tcBorders>
              <w:top w:val="nil"/>
              <w:bottom w:val="nil"/>
            </w:tcBorders>
            <w:shd w:val="clear" w:color="auto" w:fill="auto"/>
            <w:noWrap/>
            <w:vAlign w:val="bottom"/>
            <w:hideMark/>
          </w:tcPr>
          <w:p w14:paraId="2EF5465F"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-0,5</w:t>
            </w:r>
          </w:p>
        </w:tc>
        <w:tc>
          <w:tcPr>
            <w:tcW w:w="444" w:type="pct"/>
            <w:tcBorders>
              <w:top w:val="nil"/>
              <w:bottom w:val="nil"/>
            </w:tcBorders>
            <w:shd w:val="clear" w:color="auto" w:fill="auto"/>
            <w:noWrap/>
            <w:vAlign w:val="bottom"/>
            <w:hideMark/>
          </w:tcPr>
          <w:p w14:paraId="1299688E"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0,5</w:t>
            </w:r>
          </w:p>
        </w:tc>
        <w:tc>
          <w:tcPr>
            <w:tcW w:w="438" w:type="pct"/>
            <w:tcBorders>
              <w:top w:val="nil"/>
              <w:bottom w:val="nil"/>
            </w:tcBorders>
            <w:shd w:val="clear" w:color="auto" w:fill="auto"/>
            <w:noWrap/>
            <w:vAlign w:val="bottom"/>
            <w:hideMark/>
          </w:tcPr>
          <w:p w14:paraId="224CD25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0,5</w:t>
            </w:r>
          </w:p>
        </w:tc>
      </w:tr>
      <w:tr w:rsidR="00473C3B" w:rsidRPr="00671E8F" w14:paraId="74E8E72E" w14:textId="77777777" w:rsidTr="00473C3B">
        <w:trPr>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left w:val="nil"/>
              <w:bottom w:val="nil"/>
              <w:right w:val="nil"/>
            </w:tcBorders>
            <w:shd w:val="clear" w:color="auto" w:fill="auto"/>
            <w:noWrap/>
            <w:vAlign w:val="center"/>
            <w:hideMark/>
          </w:tcPr>
          <w:p w14:paraId="2928E622"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Јавни дуг у БДП</w:t>
            </w:r>
          </w:p>
        </w:tc>
        <w:tc>
          <w:tcPr>
            <w:tcW w:w="442" w:type="pct"/>
            <w:tcBorders>
              <w:top w:val="nil"/>
              <w:left w:val="nil"/>
              <w:bottom w:val="nil"/>
              <w:right w:val="nil"/>
            </w:tcBorders>
            <w:shd w:val="clear" w:color="auto" w:fill="auto"/>
            <w:noWrap/>
            <w:vAlign w:val="bottom"/>
            <w:hideMark/>
          </w:tcPr>
          <w:p w14:paraId="2111745B"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48,4</w:t>
            </w:r>
          </w:p>
        </w:tc>
        <w:tc>
          <w:tcPr>
            <w:tcW w:w="441" w:type="pct"/>
            <w:tcBorders>
              <w:top w:val="nil"/>
              <w:left w:val="nil"/>
              <w:bottom w:val="nil"/>
              <w:right w:val="nil"/>
            </w:tcBorders>
            <w:shd w:val="clear" w:color="auto" w:fill="auto"/>
            <w:noWrap/>
            <w:vAlign w:val="bottom"/>
            <w:hideMark/>
          </w:tcPr>
          <w:p w14:paraId="35A97DE8"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47,9</w:t>
            </w:r>
          </w:p>
        </w:tc>
        <w:tc>
          <w:tcPr>
            <w:tcW w:w="444" w:type="pct"/>
            <w:tcBorders>
              <w:top w:val="nil"/>
              <w:left w:val="nil"/>
              <w:bottom w:val="nil"/>
              <w:right w:val="nil"/>
            </w:tcBorders>
            <w:shd w:val="clear" w:color="auto" w:fill="auto"/>
            <w:noWrap/>
            <w:vAlign w:val="bottom"/>
            <w:hideMark/>
          </w:tcPr>
          <w:p w14:paraId="4250059F"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47,5</w:t>
            </w:r>
          </w:p>
        </w:tc>
        <w:tc>
          <w:tcPr>
            <w:tcW w:w="444" w:type="pct"/>
            <w:tcBorders>
              <w:top w:val="nil"/>
              <w:left w:val="nil"/>
              <w:bottom w:val="nil"/>
              <w:right w:val="nil"/>
            </w:tcBorders>
            <w:shd w:val="clear" w:color="auto" w:fill="auto"/>
            <w:noWrap/>
            <w:vAlign w:val="bottom"/>
            <w:hideMark/>
          </w:tcPr>
          <w:p w14:paraId="12F4848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47,0</w:t>
            </w:r>
          </w:p>
        </w:tc>
        <w:tc>
          <w:tcPr>
            <w:tcW w:w="444" w:type="pct"/>
            <w:tcBorders>
              <w:top w:val="nil"/>
              <w:left w:val="nil"/>
              <w:bottom w:val="nil"/>
              <w:right w:val="nil"/>
            </w:tcBorders>
            <w:shd w:val="clear" w:color="auto" w:fill="auto"/>
            <w:noWrap/>
            <w:vAlign w:val="bottom"/>
            <w:hideMark/>
          </w:tcPr>
          <w:p w14:paraId="498CC166"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46,5</w:t>
            </w:r>
          </w:p>
        </w:tc>
        <w:tc>
          <w:tcPr>
            <w:tcW w:w="444" w:type="pct"/>
            <w:tcBorders>
              <w:top w:val="nil"/>
              <w:left w:val="nil"/>
              <w:bottom w:val="nil"/>
              <w:right w:val="nil"/>
            </w:tcBorders>
            <w:shd w:val="clear" w:color="auto" w:fill="auto"/>
            <w:noWrap/>
            <w:vAlign w:val="bottom"/>
            <w:hideMark/>
          </w:tcPr>
          <w:p w14:paraId="37E45327"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46,3</w:t>
            </w:r>
          </w:p>
        </w:tc>
        <w:tc>
          <w:tcPr>
            <w:tcW w:w="444" w:type="pct"/>
            <w:tcBorders>
              <w:top w:val="nil"/>
              <w:left w:val="nil"/>
              <w:bottom w:val="nil"/>
              <w:right w:val="nil"/>
            </w:tcBorders>
            <w:shd w:val="clear" w:color="auto" w:fill="auto"/>
            <w:noWrap/>
            <w:vAlign w:val="bottom"/>
            <w:hideMark/>
          </w:tcPr>
          <w:p w14:paraId="4D56C4A0"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46,0</w:t>
            </w:r>
          </w:p>
        </w:tc>
        <w:tc>
          <w:tcPr>
            <w:tcW w:w="438" w:type="pct"/>
            <w:tcBorders>
              <w:top w:val="nil"/>
              <w:left w:val="nil"/>
              <w:bottom w:val="nil"/>
              <w:right w:val="nil"/>
            </w:tcBorders>
            <w:shd w:val="clear" w:color="auto" w:fill="auto"/>
            <w:noWrap/>
            <w:vAlign w:val="bottom"/>
            <w:hideMark/>
          </w:tcPr>
          <w:p w14:paraId="14C21694" w14:textId="77777777" w:rsidR="00473C3B" w:rsidRPr="00671E8F" w:rsidRDefault="00473C3B" w:rsidP="00473C3B">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44,8</w:t>
            </w:r>
          </w:p>
        </w:tc>
      </w:tr>
      <w:tr w:rsidR="00473C3B" w:rsidRPr="00671E8F" w14:paraId="6FBD8885" w14:textId="77777777" w:rsidTr="00473C3B">
        <w:trPr>
          <w:cnfStyle w:val="000000100000" w:firstRow="0" w:lastRow="0" w:firstColumn="0" w:lastColumn="0" w:oddVBand="0" w:evenVBand="0" w:oddHBand="1" w:evenHBand="0" w:firstRowFirstColumn="0" w:firstRowLastColumn="0" w:lastRowFirstColumn="0" w:lastRowLastColumn="0"/>
          <w:trHeight w:hRule="exact" w:val="328"/>
          <w:jc w:val="center"/>
        </w:trPr>
        <w:tc>
          <w:tcPr>
            <w:cnfStyle w:val="001000000000" w:firstRow="0" w:lastRow="0" w:firstColumn="1" w:lastColumn="0" w:oddVBand="0" w:evenVBand="0" w:oddHBand="0" w:evenHBand="0" w:firstRowFirstColumn="0" w:firstRowLastColumn="0" w:lastRowFirstColumn="0" w:lastRowLastColumn="0"/>
            <w:tcW w:w="1460" w:type="pct"/>
            <w:tcBorders>
              <w:top w:val="nil"/>
              <w:bottom w:val="single" w:sz="4" w:space="0" w:color="auto"/>
            </w:tcBorders>
            <w:shd w:val="clear" w:color="auto" w:fill="auto"/>
            <w:noWrap/>
            <w:vAlign w:val="center"/>
            <w:hideMark/>
          </w:tcPr>
          <w:p w14:paraId="25F9D17D" w14:textId="77777777" w:rsidR="00473C3B" w:rsidRPr="00671E8F" w:rsidRDefault="00473C3B" w:rsidP="00473C3B">
            <w:pPr>
              <w:jc w:val="left"/>
              <w:rPr>
                <w:rFonts w:asciiTheme="minorHAnsi" w:eastAsia="Times New Roman" w:hAnsiTheme="minorHAnsi" w:cstheme="minorHAnsi"/>
                <w:color w:val="002060"/>
                <w:sz w:val="18"/>
                <w:szCs w:val="18"/>
              </w:rPr>
            </w:pPr>
            <w:r w:rsidRPr="00671E8F">
              <w:rPr>
                <w:rFonts w:asciiTheme="minorHAnsi" w:eastAsia="Times New Roman" w:hAnsiTheme="minorHAnsi" w:cstheme="minorHAnsi"/>
                <w:color w:val="002060"/>
                <w:sz w:val="18"/>
                <w:szCs w:val="18"/>
              </w:rPr>
              <w:t>БДП реални раст, %</w:t>
            </w:r>
          </w:p>
        </w:tc>
        <w:tc>
          <w:tcPr>
            <w:tcW w:w="442" w:type="pct"/>
            <w:tcBorders>
              <w:top w:val="nil"/>
              <w:bottom w:val="single" w:sz="4" w:space="0" w:color="auto"/>
            </w:tcBorders>
            <w:shd w:val="clear" w:color="auto" w:fill="auto"/>
            <w:noWrap/>
            <w:vAlign w:val="bottom"/>
            <w:hideMark/>
          </w:tcPr>
          <w:p w14:paraId="7BE672F6"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3,8</w:t>
            </w:r>
          </w:p>
        </w:tc>
        <w:tc>
          <w:tcPr>
            <w:tcW w:w="441" w:type="pct"/>
            <w:tcBorders>
              <w:top w:val="nil"/>
              <w:bottom w:val="single" w:sz="4" w:space="0" w:color="auto"/>
            </w:tcBorders>
            <w:shd w:val="clear" w:color="auto" w:fill="auto"/>
            <w:noWrap/>
            <w:vAlign w:val="bottom"/>
            <w:hideMark/>
          </w:tcPr>
          <w:p w14:paraId="52D53D4E"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3,8</w:t>
            </w:r>
          </w:p>
        </w:tc>
        <w:tc>
          <w:tcPr>
            <w:tcW w:w="444" w:type="pct"/>
            <w:tcBorders>
              <w:top w:val="nil"/>
              <w:bottom w:val="single" w:sz="4" w:space="0" w:color="auto"/>
            </w:tcBorders>
            <w:shd w:val="clear" w:color="auto" w:fill="auto"/>
            <w:noWrap/>
            <w:vAlign w:val="bottom"/>
            <w:hideMark/>
          </w:tcPr>
          <w:p w14:paraId="599DAF94"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4,2</w:t>
            </w:r>
          </w:p>
        </w:tc>
        <w:tc>
          <w:tcPr>
            <w:tcW w:w="444" w:type="pct"/>
            <w:tcBorders>
              <w:top w:val="nil"/>
              <w:bottom w:val="single" w:sz="4" w:space="0" w:color="auto"/>
            </w:tcBorders>
            <w:shd w:val="clear" w:color="auto" w:fill="auto"/>
            <w:noWrap/>
            <w:vAlign w:val="bottom"/>
            <w:hideMark/>
          </w:tcPr>
          <w:p w14:paraId="11659D3B"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w:t>
            </w:r>
          </w:p>
        </w:tc>
        <w:tc>
          <w:tcPr>
            <w:tcW w:w="444" w:type="pct"/>
            <w:tcBorders>
              <w:top w:val="nil"/>
              <w:bottom w:val="single" w:sz="4" w:space="0" w:color="auto"/>
            </w:tcBorders>
            <w:shd w:val="clear" w:color="auto" w:fill="auto"/>
            <w:noWrap/>
            <w:vAlign w:val="bottom"/>
            <w:hideMark/>
          </w:tcPr>
          <w:p w14:paraId="024D9975"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5,0</w:t>
            </w:r>
          </w:p>
        </w:tc>
        <w:tc>
          <w:tcPr>
            <w:tcW w:w="444" w:type="pct"/>
            <w:tcBorders>
              <w:top w:val="nil"/>
              <w:bottom w:val="single" w:sz="4" w:space="0" w:color="auto"/>
            </w:tcBorders>
            <w:shd w:val="clear" w:color="auto" w:fill="auto"/>
            <w:noWrap/>
            <w:vAlign w:val="bottom"/>
            <w:hideMark/>
          </w:tcPr>
          <w:p w14:paraId="7604D9BE"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w:t>
            </w:r>
          </w:p>
        </w:tc>
        <w:tc>
          <w:tcPr>
            <w:tcW w:w="444" w:type="pct"/>
            <w:tcBorders>
              <w:top w:val="nil"/>
              <w:bottom w:val="single" w:sz="4" w:space="0" w:color="auto"/>
            </w:tcBorders>
            <w:shd w:val="clear" w:color="auto" w:fill="auto"/>
            <w:noWrap/>
            <w:vAlign w:val="bottom"/>
            <w:hideMark/>
          </w:tcPr>
          <w:p w14:paraId="33224FBA"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w:t>
            </w:r>
          </w:p>
        </w:tc>
        <w:tc>
          <w:tcPr>
            <w:tcW w:w="438" w:type="pct"/>
            <w:tcBorders>
              <w:top w:val="nil"/>
              <w:bottom w:val="single" w:sz="4" w:space="0" w:color="auto"/>
            </w:tcBorders>
            <w:shd w:val="clear" w:color="auto" w:fill="auto"/>
            <w:noWrap/>
            <w:vAlign w:val="bottom"/>
            <w:hideMark/>
          </w:tcPr>
          <w:p w14:paraId="46596D29" w14:textId="77777777" w:rsidR="00473C3B" w:rsidRPr="00671E8F" w:rsidRDefault="00473C3B" w:rsidP="00473C3B">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rPr>
            </w:pPr>
            <w:r w:rsidRPr="00671E8F">
              <w:rPr>
                <w:rFonts w:asciiTheme="minorHAnsi" w:eastAsia="Times New Roman" w:hAnsiTheme="minorHAnsi" w:cstheme="minorHAnsi"/>
                <w:color w:val="002060"/>
                <w:sz w:val="18"/>
                <w:szCs w:val="18"/>
              </w:rPr>
              <w:t>4,0</w:t>
            </w:r>
          </w:p>
        </w:tc>
      </w:tr>
    </w:tbl>
    <w:p w14:paraId="552B5339" w14:textId="77777777" w:rsidR="00473C3B" w:rsidRPr="00671E8F" w:rsidRDefault="00473C3B" w:rsidP="00473C3B">
      <w:pPr>
        <w:spacing w:after="0" w:line="240" w:lineRule="auto"/>
        <w:jc w:val="left"/>
        <w:rPr>
          <w:rFonts w:ascii="Calibri" w:eastAsia="MS PGothic" w:hAnsi="Calibri" w:cs="Calibri"/>
          <w:sz w:val="16"/>
          <w:szCs w:val="16"/>
          <w:lang w:eastAsia="ja-JP"/>
        </w:rPr>
        <w:sectPr w:rsidR="00473C3B" w:rsidRPr="00671E8F" w:rsidSect="00473C3B">
          <w:type w:val="continuous"/>
          <w:pgSz w:w="12240" w:h="15840" w:code="1"/>
          <w:pgMar w:top="1417" w:right="1417" w:bottom="1417" w:left="1417" w:header="720" w:footer="720" w:gutter="0"/>
          <w:cols w:space="720"/>
        </w:sectPr>
      </w:pPr>
    </w:p>
    <w:p w14:paraId="5EEDE370" w14:textId="77777777" w:rsidR="00A65461" w:rsidRPr="00671E8F" w:rsidRDefault="00473C3B" w:rsidP="0043099A">
      <w:pPr>
        <w:spacing w:after="0" w:line="240" w:lineRule="auto"/>
        <w:jc w:val="left"/>
        <w:rPr>
          <w:rFonts w:ascii="Calibri" w:eastAsia="Calibri" w:hAnsi="Calibri" w:cs="Calibri"/>
          <w:sz w:val="16"/>
          <w:szCs w:val="20"/>
        </w:rPr>
        <w:sectPr w:rsidR="00A65461" w:rsidRPr="00671E8F" w:rsidSect="0043099A">
          <w:type w:val="continuous"/>
          <w:pgSz w:w="12240" w:h="15840" w:code="1"/>
          <w:pgMar w:top="1440" w:right="1440" w:bottom="1440" w:left="1440" w:header="720" w:footer="720" w:gutter="0"/>
          <w:cols w:space="720"/>
          <w:docGrid w:linePitch="360"/>
        </w:sectPr>
      </w:pPr>
      <w:r w:rsidRPr="00671E8F">
        <w:rPr>
          <w:rFonts w:ascii="Calibri" w:eastAsia="MS PGothic" w:hAnsi="Calibri" w:cs="Calibri"/>
          <w:sz w:val="16"/>
          <w:szCs w:val="16"/>
          <w:lang w:eastAsia="ja-JP"/>
        </w:rPr>
        <w:t xml:space="preserve">Извор: </w:t>
      </w:r>
      <w:r w:rsidRPr="00671E8F">
        <w:rPr>
          <w:rFonts w:ascii="Calibri" w:eastAsia="Calibri" w:hAnsi="Calibri" w:cs="Calibri"/>
          <w:sz w:val="16"/>
          <w:szCs w:val="20"/>
        </w:rPr>
        <w:t>Министарство финансија</w:t>
      </w:r>
    </w:p>
    <w:p w14:paraId="44657551" w14:textId="36651546" w:rsidR="00473C3B" w:rsidRPr="00671E8F" w:rsidRDefault="00473C3B" w:rsidP="0043099A">
      <w:pPr>
        <w:spacing w:after="0" w:line="240" w:lineRule="auto"/>
        <w:jc w:val="left"/>
        <w:rPr>
          <w:rFonts w:ascii="Calibri" w:eastAsia="Calibri" w:hAnsi="Calibri" w:cs="Calibri"/>
          <w:sz w:val="16"/>
          <w:szCs w:val="20"/>
        </w:rPr>
      </w:pPr>
    </w:p>
    <w:p w14:paraId="03527FFE" w14:textId="77777777" w:rsidR="00473C3B" w:rsidRPr="00671E8F" w:rsidRDefault="00473C3B" w:rsidP="00473C3B">
      <w:pPr>
        <w:widowControl w:val="0"/>
        <w:spacing w:after="120"/>
        <w:rPr>
          <w:rFonts w:ascii="Calibri" w:eastAsia="Calibri" w:hAnsi="Calibri" w:cs="Calibri"/>
          <w:szCs w:val="20"/>
        </w:rPr>
      </w:pPr>
      <w:r w:rsidRPr="00671E8F">
        <w:rPr>
          <w:rFonts w:ascii="Calibri" w:eastAsia="Calibri" w:hAnsi="Calibri" w:cs="Calibri"/>
          <w:spacing w:val="-2"/>
          <w:szCs w:val="20"/>
        </w:rPr>
        <w:t xml:space="preserve">На наредном графикону су приказане симулације два алтернативна сценарија кретања јавног дуга, у зависности од промена одређених претпоставки у основном сценарију. У оба случаја </w:t>
      </w:r>
      <w:r w:rsidRPr="00671E8F">
        <w:rPr>
          <w:rFonts w:ascii="Calibri" w:eastAsia="Calibri" w:hAnsi="Calibri" w:cs="Calibri"/>
          <w:szCs w:val="20"/>
        </w:rPr>
        <w:t>предвиђана је одговарајућа реакцију фискалне политике како би се ниво јавног дуг задржао под контролом.</w:t>
      </w:r>
    </w:p>
    <w:p w14:paraId="0F04E567" w14:textId="77777777" w:rsidR="00473C3B" w:rsidRPr="00671E8F" w:rsidRDefault="00473C3B" w:rsidP="00473C3B">
      <w:pPr>
        <w:spacing w:after="120"/>
        <w:jc w:val="center"/>
        <w:rPr>
          <w:rFonts w:cstheme="minorHAnsi"/>
          <w:b/>
          <w:color w:val="002060"/>
        </w:rPr>
      </w:pPr>
      <w:r w:rsidRPr="00671E8F">
        <w:rPr>
          <w:rFonts w:cstheme="minorHAnsi"/>
          <w:b/>
          <w:color w:val="002060"/>
        </w:rPr>
        <w:t>Поређење различитих сценарија и утицај на висину јавног дуга, % БДП</w:t>
      </w:r>
    </w:p>
    <w:p w14:paraId="49E167C0" w14:textId="77777777" w:rsidR="00473C3B" w:rsidRPr="00671E8F" w:rsidRDefault="00473C3B" w:rsidP="00473C3B">
      <w:pPr>
        <w:widowControl w:val="0"/>
        <w:spacing w:after="120"/>
        <w:rPr>
          <w:rFonts w:ascii="Calibri" w:eastAsia="Calibri" w:hAnsi="Calibri" w:cs="Calibri"/>
          <w:szCs w:val="20"/>
        </w:rPr>
      </w:pPr>
      <w:r w:rsidRPr="00671E8F">
        <w:rPr>
          <w:noProof/>
          <w:lang w:val="en-US"/>
        </w:rPr>
        <w:drawing>
          <wp:inline distT="0" distB="0" distL="0" distR="0" wp14:anchorId="6042FA9F" wp14:editId="049583BA">
            <wp:extent cx="2743200" cy="2143125"/>
            <wp:effectExtent l="0" t="0" r="0" b="9525"/>
            <wp:docPr id="332543249" name="Chart 332543249">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1"/>
              </a:graphicData>
            </a:graphic>
          </wp:inline>
        </w:drawing>
      </w:r>
    </w:p>
    <w:p w14:paraId="67561E98" w14:textId="77777777" w:rsidR="00473C3B" w:rsidRPr="00671E8F" w:rsidRDefault="00473C3B" w:rsidP="00473C3B">
      <w:pPr>
        <w:widowControl w:val="0"/>
        <w:spacing w:after="120"/>
        <w:rPr>
          <w:rFonts w:ascii="Calibri" w:eastAsia="Calibri" w:hAnsi="Calibri" w:cs="Calibri"/>
          <w:szCs w:val="20"/>
        </w:rPr>
      </w:pPr>
      <w:r w:rsidRPr="00671E8F">
        <w:rPr>
          <w:rFonts w:ascii="Calibri" w:eastAsia="Calibri" w:hAnsi="Calibri" w:cs="Calibri"/>
          <w:szCs w:val="20"/>
        </w:rPr>
        <w:t xml:space="preserve">Сценарио „успорени раст након 2027.” подразумева просечан реални раст БДП од око 1% у посматраном периоду, уз исти ниво фискалног дефицита у односу на основни сценарио. Јавни дуг према овом сценарију бележи континуиран умерени раст и на крају 2030. године достиже ниво од 48,7% БДП. Предвиђена путање фискалног дефицита обезбеђује да, и поред дужег периода ниских стопа реалног раста, не долази до прекомерне акумулације јавног дуга. Међутим ово не подразумева аутоматски и исти ниво </w:t>
      </w:r>
      <w:r w:rsidRPr="00671E8F">
        <w:rPr>
          <w:rFonts w:ascii="Calibri" w:eastAsia="Calibri" w:hAnsi="Calibri" w:cs="Calibri"/>
          <w:szCs w:val="20"/>
        </w:rPr>
        <w:t>фискалног прилагођавања као у основном сценарију, јер је потребна већа акомодација на расходној страни у ситуацијама када се бележи нижи привредни раст. Иако не подразумева снажан једнократни шок, овај сценарио показује дугорочну неодрживост ниских стопа реалног раста по економски развој земље, упркос томе што се ниво јавног дуга држи под контролом.</w:t>
      </w:r>
    </w:p>
    <w:p w14:paraId="6DE091FF" w14:textId="77777777" w:rsidR="00473C3B" w:rsidRPr="00671E8F" w:rsidRDefault="00473C3B" w:rsidP="00473C3B">
      <w:pPr>
        <w:spacing w:after="120"/>
        <w:rPr>
          <w:rFonts w:ascii="Calibri" w:eastAsia="Calibri" w:hAnsi="Calibri" w:cs="Calibri"/>
          <w:szCs w:val="20"/>
        </w:rPr>
      </w:pPr>
      <w:r w:rsidRPr="00671E8F">
        <w:rPr>
          <w:rFonts w:ascii="Calibri" w:eastAsia="Calibri" w:hAnsi="Calibri" w:cs="Calibri"/>
          <w:spacing w:val="-4"/>
          <w:szCs w:val="20"/>
        </w:rPr>
        <w:t>С</w:t>
      </w:r>
      <w:r w:rsidRPr="00671E8F">
        <w:rPr>
          <w:rFonts w:ascii="Calibri" w:eastAsia="Calibri" w:hAnsi="Calibri" w:cs="Calibri"/>
          <w:szCs w:val="20"/>
        </w:rPr>
        <w:t>ценарио „фискални шок након 2027. године” подразумева реализацију ванредног догађаја (природна, здравствена, економска и др. ванредна околност) са дуалним дејством и на фискални и реални сектор. Како би се ублажиле последице такве кризе (шока) држава је приморана да реагује већим издвајањима на расходној страни или привременим смањењем пореза, што једнострано погоршава фискалне перформансе. Дејство кризе на реални сектор, у зависности од врсте шока, може да буде веома различито по интензитету, начину и дужини деловања, али извесно има за последицу пад или успорени раст БДП као и негативно дејство на приходну страну буџета. Ови вишеструки негативни фактори доводе до снажне негативне промене фискалне позиције земље у виду повећања фискалног дефицита, и у апсолутном износу и израженог као удео у БДП.</w:t>
      </w:r>
    </w:p>
    <w:p w14:paraId="5B4DC93D" w14:textId="77777777" w:rsidR="00473C3B" w:rsidRPr="00671E8F" w:rsidRDefault="00473C3B" w:rsidP="00473C3B">
      <w:pPr>
        <w:widowControl w:val="0"/>
        <w:spacing w:after="120"/>
        <w:rPr>
          <w:rFonts w:ascii="Calibri" w:eastAsia="Calibri" w:hAnsi="Calibri" w:cs="Calibri"/>
          <w:szCs w:val="20"/>
        </w:rPr>
      </w:pPr>
      <w:r w:rsidRPr="00671E8F">
        <w:rPr>
          <w:rFonts w:ascii="Calibri" w:eastAsia="Calibri" w:hAnsi="Calibri" w:cs="Calibri"/>
          <w:szCs w:val="20"/>
        </w:rPr>
        <w:t xml:space="preserve">Представљени сценарио, услед ванредних насталих околности, подразумева нагло повећање фискалног дефицита на 9% БДП уз истовремени реални пад БДП од 3,5%. Као последица тога, учешће јавног дуга се рапидно повећава на ниво од 56,2% БДП. Иако би било могуће спровести </w:t>
      </w:r>
      <w:r w:rsidRPr="00671E8F">
        <w:rPr>
          <w:rFonts w:ascii="Calibri" w:eastAsia="Calibri" w:hAnsi="Calibri" w:cs="Calibri"/>
          <w:szCs w:val="20"/>
        </w:rPr>
        <w:lastRenderedPageBreak/>
        <w:t>мере којима би се прекомеран ниво фискалног дефицита нагло елиминисао, такво екстремно фискално прилагођавање у једној години произвело би додатне негативне ефекте по становништво, као и даље погоршање ослабљених економских перформанси привреде. У овом случају било би сврсисходно и очекивано да Влада предвиди постепено фискално прилагођавање у наредне две године. Тако би се у 2029. години, према овом сценарију планирао фискални дефицит од 2%, што би уз симулирано одсуство реалног раста БДП у тој години, произвело даље минимално повећање учешћа јавног дуга. Након тога у 2030. години планиран је избалансирани фискални резултат, који доводи до преокретања путање дуга. На крају овог кризног периода, уз очекивани опоравак привредног раста од 3%, након 2030. године, учешће јавног дуга пада испод 55%, чиме се омогућава постепена релаксација фискалне политике.</w:t>
      </w:r>
    </w:p>
    <w:p w14:paraId="47B30004" w14:textId="522E0EB0" w:rsidR="00531828" w:rsidRPr="00671E8F" w:rsidRDefault="00473C3B" w:rsidP="00473C3B">
      <w:r w:rsidRPr="00671E8F">
        <w:rPr>
          <w:rFonts w:ascii="Calibri" w:eastAsia="Calibri" w:hAnsi="Calibri" w:cs="Calibri"/>
          <w:szCs w:val="20"/>
        </w:rPr>
        <w:t>Ове симулације поред осталог показују могуће правце деловања фискалне политике у различитим сценаријима. Истовремено оне дају и потврду о томе да је основни сценарио дат овим фискалним оквиром операбилан и спроводљив и да испуњава своју сврху, а то је дугорочна одрживост фискалне позиције земље</w:t>
      </w:r>
      <w:r w:rsidRPr="00671E8F">
        <w:t>.</w:t>
      </w:r>
    </w:p>
    <w:p w14:paraId="62DC7BCB" w14:textId="3F85FFAD" w:rsidR="00531828" w:rsidRPr="00671E8F" w:rsidRDefault="00531828" w:rsidP="00AD6DF6"/>
    <w:p w14:paraId="12AE5D07" w14:textId="46338C77" w:rsidR="00531828" w:rsidRPr="00671E8F" w:rsidRDefault="00531828" w:rsidP="00AD6DF6"/>
    <w:p w14:paraId="42A0908A" w14:textId="24D5D9C6" w:rsidR="00531828" w:rsidRPr="00671E8F" w:rsidRDefault="00531828" w:rsidP="00AD6DF6"/>
    <w:p w14:paraId="3B103A07" w14:textId="72B38EEB" w:rsidR="00531828" w:rsidRPr="00671E8F" w:rsidRDefault="00531828" w:rsidP="00AD6DF6"/>
    <w:p w14:paraId="6D7EC45B" w14:textId="3CAE6148" w:rsidR="00531828" w:rsidRPr="00671E8F" w:rsidRDefault="00531828" w:rsidP="00AD6DF6"/>
    <w:p w14:paraId="08D6E7E4" w14:textId="378ADC69" w:rsidR="00A155E1" w:rsidRPr="00671E8F" w:rsidRDefault="00A155E1" w:rsidP="00AD6DF6"/>
    <w:p w14:paraId="65368607" w14:textId="77C0AB3B" w:rsidR="00A155E1" w:rsidRPr="00671E8F" w:rsidRDefault="00A155E1" w:rsidP="00AD6DF6"/>
    <w:p w14:paraId="3575FDD4" w14:textId="0A97908D" w:rsidR="00A155E1" w:rsidRPr="00671E8F" w:rsidRDefault="00A155E1" w:rsidP="00AD6DF6"/>
    <w:p w14:paraId="73911F3A" w14:textId="2167E224" w:rsidR="00A155E1" w:rsidRPr="00671E8F" w:rsidRDefault="00A155E1" w:rsidP="00AD6DF6"/>
    <w:p w14:paraId="295B527A" w14:textId="2F77CC2B" w:rsidR="00A155E1" w:rsidRPr="00671E8F" w:rsidRDefault="00A155E1" w:rsidP="00AD6DF6"/>
    <w:p w14:paraId="21E049CA" w14:textId="26015CBA" w:rsidR="00A155E1" w:rsidRPr="00671E8F" w:rsidRDefault="00A155E1" w:rsidP="00AD6DF6"/>
    <w:p w14:paraId="1D4F1634" w14:textId="7A3C463D" w:rsidR="00AE5DED" w:rsidRPr="00671E8F" w:rsidRDefault="00AE5DED" w:rsidP="00AD6DF6"/>
    <w:p w14:paraId="755F9595" w14:textId="5226B3A8" w:rsidR="006B475C" w:rsidRPr="00671E8F" w:rsidRDefault="006B475C" w:rsidP="00AD6DF6"/>
    <w:p w14:paraId="31C708DA" w14:textId="008D38CE" w:rsidR="006B475C" w:rsidRPr="00671E8F" w:rsidRDefault="006B475C" w:rsidP="00AD6DF6"/>
    <w:p w14:paraId="44C8ECDC" w14:textId="48A4B80F" w:rsidR="006B475C" w:rsidRPr="00671E8F" w:rsidRDefault="006B475C" w:rsidP="00AD6DF6"/>
    <w:p w14:paraId="7235FB67" w14:textId="4533B7F1" w:rsidR="006B475C" w:rsidRPr="00671E8F" w:rsidRDefault="006B475C" w:rsidP="00AD6DF6"/>
    <w:p w14:paraId="6C246CD8" w14:textId="77777777" w:rsidR="006B475C" w:rsidRPr="00671E8F" w:rsidRDefault="006B475C" w:rsidP="00AD6DF6"/>
    <w:p w14:paraId="055EDC20" w14:textId="108CF89C" w:rsidR="00A65461" w:rsidRPr="00671E8F" w:rsidRDefault="00A65461" w:rsidP="00AD6DF6"/>
    <w:p w14:paraId="0B2A39CA" w14:textId="0BD244A6" w:rsidR="00A65461" w:rsidRPr="00671E8F" w:rsidRDefault="00A65461" w:rsidP="00AD6DF6"/>
    <w:p w14:paraId="1CA04469" w14:textId="637E4324" w:rsidR="00A65461" w:rsidRPr="00671E8F" w:rsidRDefault="00A65461" w:rsidP="00AD6DF6"/>
    <w:p w14:paraId="7DE2AE31" w14:textId="01E6795D" w:rsidR="00A65461" w:rsidRPr="00671E8F" w:rsidRDefault="00A65461" w:rsidP="00AD6DF6"/>
    <w:p w14:paraId="01CA895B" w14:textId="047F34E2" w:rsidR="00A65461" w:rsidRPr="00671E8F" w:rsidRDefault="00A65461" w:rsidP="00AD6DF6"/>
    <w:p w14:paraId="1F1C6C83" w14:textId="03A87E3F" w:rsidR="00A65461" w:rsidRPr="00671E8F" w:rsidRDefault="00A65461" w:rsidP="00AD6DF6"/>
    <w:p w14:paraId="71FFF47A" w14:textId="632B9D38" w:rsidR="00A65461" w:rsidRPr="00671E8F" w:rsidRDefault="00A65461" w:rsidP="00AD6DF6"/>
    <w:p w14:paraId="1B3B5EA3" w14:textId="42D0E182" w:rsidR="00A65461" w:rsidRPr="00671E8F" w:rsidRDefault="00A65461" w:rsidP="00AD6DF6"/>
    <w:p w14:paraId="62681177" w14:textId="730F806A" w:rsidR="00A65461" w:rsidRPr="00671E8F" w:rsidRDefault="00A65461" w:rsidP="00AD6DF6"/>
    <w:p w14:paraId="34BE4ABC" w14:textId="13212FF7" w:rsidR="00A65461" w:rsidRPr="00671E8F" w:rsidRDefault="00A65461" w:rsidP="00AD6DF6"/>
    <w:p w14:paraId="7B39DFDB" w14:textId="494ED5EF" w:rsidR="00A65461" w:rsidRPr="00671E8F" w:rsidRDefault="00A65461" w:rsidP="00AD6DF6"/>
    <w:p w14:paraId="70721900" w14:textId="24DC3701" w:rsidR="00A65461" w:rsidRPr="00671E8F" w:rsidRDefault="00A65461" w:rsidP="00AD6DF6"/>
    <w:p w14:paraId="2F36DF41" w14:textId="4120E05B" w:rsidR="00A65461" w:rsidRPr="00671E8F" w:rsidRDefault="00A65461" w:rsidP="00AD6DF6"/>
    <w:p w14:paraId="254BCD8A" w14:textId="48B80461" w:rsidR="00A65461" w:rsidRPr="00671E8F" w:rsidRDefault="00A65461" w:rsidP="00AD6DF6"/>
    <w:p w14:paraId="568CE803" w14:textId="79906BB4" w:rsidR="00A65461" w:rsidRPr="00671E8F" w:rsidRDefault="00A65461" w:rsidP="00AD6DF6"/>
    <w:p w14:paraId="3480C8B6" w14:textId="093B8BA2" w:rsidR="00A65461" w:rsidRPr="00671E8F" w:rsidRDefault="00A65461" w:rsidP="00AD6DF6"/>
    <w:p w14:paraId="4C68755B" w14:textId="5DD52712" w:rsidR="00A65461" w:rsidRPr="00671E8F" w:rsidRDefault="00A65461" w:rsidP="00AD6DF6"/>
    <w:p w14:paraId="5548C28B" w14:textId="331DCCE8" w:rsidR="00A65461" w:rsidRPr="00671E8F" w:rsidRDefault="00A65461" w:rsidP="00AD6DF6"/>
    <w:p w14:paraId="194AB04F" w14:textId="19FB862D" w:rsidR="00A65461" w:rsidRPr="00671E8F" w:rsidRDefault="00A65461" w:rsidP="00AD6DF6"/>
    <w:p w14:paraId="61572225" w14:textId="73322286" w:rsidR="00A65461" w:rsidRPr="00671E8F" w:rsidRDefault="00A65461" w:rsidP="00AD6DF6"/>
    <w:p w14:paraId="656370AE" w14:textId="01DCFA42" w:rsidR="00A65461" w:rsidRPr="00671E8F" w:rsidRDefault="00A65461" w:rsidP="00AD6DF6"/>
    <w:p w14:paraId="157968A2" w14:textId="21622A4F" w:rsidR="00A65461" w:rsidRPr="00671E8F" w:rsidRDefault="00A65461" w:rsidP="00AD6DF6"/>
    <w:p w14:paraId="4DFDD564" w14:textId="77777777" w:rsidR="00A65461" w:rsidRPr="00671E8F" w:rsidRDefault="00A65461" w:rsidP="00AD6DF6">
      <w:pPr>
        <w:sectPr w:rsidR="00A65461" w:rsidRPr="00671E8F" w:rsidSect="00A65461">
          <w:type w:val="continuous"/>
          <w:pgSz w:w="12240" w:h="15840" w:code="1"/>
          <w:pgMar w:top="1440" w:right="1440" w:bottom="1440" w:left="1440" w:header="720" w:footer="720" w:gutter="0"/>
          <w:cols w:num="2" w:space="720"/>
          <w:docGrid w:linePitch="360"/>
        </w:sectPr>
      </w:pPr>
    </w:p>
    <w:p w14:paraId="377F14B2" w14:textId="27C7A31A" w:rsidR="00A65461" w:rsidRPr="00671E8F" w:rsidRDefault="00A65461" w:rsidP="00AD6DF6"/>
    <w:p w14:paraId="30C8DC49" w14:textId="363CCB24" w:rsidR="00A65461" w:rsidRPr="00671E8F" w:rsidRDefault="00A65461" w:rsidP="00AD6DF6"/>
    <w:p w14:paraId="6BC1219F" w14:textId="764DEC39" w:rsidR="00A65461" w:rsidRPr="00671E8F" w:rsidRDefault="00AE5DED" w:rsidP="00A65461">
      <w:pPr>
        <w:pStyle w:val="Heading1"/>
        <w:spacing w:before="0" w:after="240"/>
        <w:jc w:val="center"/>
        <w:rPr>
          <w:rFonts w:ascii="Calibri" w:eastAsia="Calibri" w:hAnsi="Calibri" w:cs="Calibri"/>
          <w:bCs/>
          <w:szCs w:val="72"/>
        </w:rPr>
        <w:sectPr w:rsidR="00A65461" w:rsidRPr="00671E8F" w:rsidSect="00A65461">
          <w:type w:val="continuous"/>
          <w:pgSz w:w="12240" w:h="15840" w:code="1"/>
          <w:pgMar w:top="1440" w:right="1440" w:bottom="1440" w:left="1440" w:header="720" w:footer="720" w:gutter="0"/>
          <w:cols w:space="720"/>
          <w:docGrid w:linePitch="360"/>
        </w:sectPr>
      </w:pPr>
      <w:bookmarkStart w:id="78" w:name="_Toc170722311"/>
      <w:bookmarkStart w:id="79" w:name="_Toc181190973"/>
      <w:r w:rsidRPr="00671E8F">
        <w:rPr>
          <w:rFonts w:asciiTheme="minorHAnsi" w:hAnsiTheme="minorHAnsi" w:cstheme="minorHAnsi"/>
          <w:b/>
          <w:sz w:val="26"/>
          <w:szCs w:val="26"/>
        </w:rPr>
        <w:lastRenderedPageBreak/>
        <w:t>III. СТРАТЕГИЈА УПРАВЉАЊА ЈАВНИМ ДУГОМ ОД 2025. ДО 2027. ГОДИНЕ</w:t>
      </w:r>
      <w:bookmarkEnd w:id="78"/>
      <w:bookmarkEnd w:id="79"/>
    </w:p>
    <w:p w14:paraId="172DF65F" w14:textId="363A0AE7" w:rsidR="0043099A" w:rsidRPr="00671E8F" w:rsidRDefault="0043099A" w:rsidP="00AE5DED">
      <w:pPr>
        <w:rPr>
          <w:rFonts w:ascii="Calibri" w:eastAsia="Calibri" w:hAnsi="Calibri" w:cs="Calibri"/>
          <w:bCs/>
          <w:szCs w:val="72"/>
        </w:rPr>
        <w:sectPr w:rsidR="0043099A" w:rsidRPr="00671E8F" w:rsidSect="00A65461">
          <w:type w:val="continuous"/>
          <w:pgSz w:w="12240" w:h="15840" w:code="1"/>
          <w:pgMar w:top="1440" w:right="1440" w:bottom="1440" w:left="1440" w:header="720" w:footer="720" w:gutter="0"/>
          <w:cols w:num="2" w:space="720"/>
          <w:docGrid w:linePitch="360"/>
        </w:sectPr>
      </w:pPr>
    </w:p>
    <w:p w14:paraId="0590AC86" w14:textId="4496D93C"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Према Закону о јавном дугу, као правном основу задуживања Републике Србије, јавни дуг чине све директне обавезе Републике по основу задуживања, као и гаранције издате од Републике за задуживање јавних предузећа и јединица локалне самоуправе, као и других правних лица. </w:t>
      </w:r>
      <w:r w:rsidRPr="00671E8F">
        <w:rPr>
          <w:rFonts w:ascii="Calibri" w:eastAsia="Calibri" w:hAnsi="Calibri" w:cs="Calibri"/>
          <w:bCs/>
          <w:spacing w:val="-2"/>
          <w:szCs w:val="72"/>
        </w:rPr>
        <w:t>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w:t>
      </w:r>
      <w:r w:rsidRPr="00671E8F">
        <w:rPr>
          <w:rFonts w:ascii="Calibri" w:eastAsia="Calibri" w:hAnsi="Calibri" w:cs="Calibri"/>
          <w:bCs/>
          <w:szCs w:val="72"/>
        </w:rPr>
        <w:t xml:space="preserve"> Одредбама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w:t>
      </w:r>
    </w:p>
    <w:p w14:paraId="1A3731BA" w14:textId="69B678BF"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За формулисање Стратегије за управљање јавним дугом коришћен је квантитативни </w:t>
      </w:r>
      <w:r w:rsidR="0043099A" w:rsidRPr="00671E8F">
        <w:rPr>
          <w:rFonts w:ascii="Calibri" w:eastAsia="Calibri" w:hAnsi="Calibri" w:cs="Calibri"/>
          <w:bCs/>
          <w:szCs w:val="72"/>
        </w:rPr>
        <w:t>п</w:t>
      </w:r>
      <w:r w:rsidRPr="00671E8F">
        <w:rPr>
          <w:rFonts w:ascii="Calibri" w:eastAsia="Calibri" w:hAnsi="Calibri" w:cs="Calibri"/>
          <w:bCs/>
          <w:szCs w:val="72"/>
        </w:rPr>
        <w:t>риступ, идентификујући могућа ограничењ</w:t>
      </w:r>
      <w:r w:rsidR="0043099A" w:rsidRPr="00671E8F">
        <w:rPr>
          <w:rFonts w:ascii="Calibri" w:eastAsia="Calibri" w:hAnsi="Calibri" w:cs="Calibri"/>
          <w:bCs/>
          <w:szCs w:val="72"/>
        </w:rPr>
        <w:t>а</w:t>
      </w:r>
      <w:r w:rsidRPr="00671E8F">
        <w:rPr>
          <w:rFonts w:ascii="Calibri" w:eastAsia="Calibri" w:hAnsi="Calibri" w:cs="Calibri"/>
          <w:bCs/>
          <w:szCs w:val="72"/>
        </w:rPr>
        <w:t xml:space="preserve"> кроз макроекономске показатеље, анализу трошкова и ризика и тржишних услова који утичу на управљање јавним дугом. У сврху анализе коришћени су инструменти финансирања доступни на домаћем и међународном финансијском тржишту.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527B6F8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Ситуација на међународном и домаћем финансијском тржишту, успешна примена мера фискалне консолидације уз добру координацију фискалне и монетарне политике довела је до значајног пада трошкова задуживања на динарским и евро деноминованим хартијама од вредности у периоду од 2012. до 2021. године и смањивања ризико премије за српске државне хартије од вредности. Међутим, почетком 2022. године долази до значајног раста каматних стопа изазваног екстерним утицајем, који је настављен и у 2023. години, да би током 2024. године дошло до њихове стагнације и благог пада.</w:t>
      </w:r>
    </w:p>
    <w:p w14:paraId="6471E55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Фискална стратегија предвиђа смањење јавног дуга сектора државе до краја 2027. године на ниво од 46,5% БДП, при чему се у складу са смерницама управљања јавним дугом дефинисаним од стране Светске банке и ММФ, у оквиру Стратегије управљања јавним дугом врши стрес-сценарио анализа утицаја промене девизног курса домаће валуте у односу на валуте у којима је деноминован јавни дуг Републике Србије.</w:t>
      </w:r>
    </w:p>
    <w:p w14:paraId="0078041D"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 последњих десет година учињен је значајан напредак у погледу повећања просечне рочности динарских државних хартија од вредности и смањења трошкова финансирања по основу овог вида задуживања, чиме је смањена изложеност ризику рефинансирања. Битно је напоменути да је у наведеном периоду просечна пондерисана купонска стопа на динарске државне хартије од вредности смањена са 13,68%, колико је износила на крају 2012. године, на 5,10% на крају августа 2024. године.</w:t>
      </w:r>
    </w:p>
    <w:p w14:paraId="17428748"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Стратегијом управљања јавним дугом се дефинишу основне мере за даљи наставак развоја динарског тржишта државних хартија од вредности. Развојем овог тржишта очекује се да ће доћи до даљег раста унутрашњег дуга и повећања његовог учешћа у укупном дугу, као и смањења изложености јавног дуга према девизном ризику, што ће позитивно утицати на повећање кредитног рејтинга Републике Србије.</w:t>
      </w:r>
    </w:p>
    <w:p w14:paraId="6E4C983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Након успешно спроведених мера фискалне консолидације у 2016. години је преокренута растућа путања кретања јавног дуга и учешће јавног дуга у БДП, те долази до пада учешћа са 67,2% БДП колико је износило на централном нивоу власти на крају 2015. године на 65,2% на крају 2016. године. Током 2017. године дошло је до значајног пада на 55,5% БДП. Тренд је настављен и током 2018. године када удео јавног дуга у БДП пада на 51,4%, као и током 2019. године када је учешће јавног дуга у БДП смањено на ниво од 49,7% БДП. Како би се смањио утицај кризе изазване пандемијом вируса COVID-19, јавила се потреба за финансирањем мера подршке </w:t>
      </w:r>
      <w:r w:rsidRPr="00671E8F">
        <w:rPr>
          <w:rFonts w:ascii="Calibri" w:eastAsia="Calibri" w:hAnsi="Calibri" w:cs="Calibri"/>
          <w:bCs/>
          <w:szCs w:val="72"/>
        </w:rPr>
        <w:lastRenderedPageBreak/>
        <w:t>привреди и грађанима, што је резултирало растом учешћа дуга у БДП на 54,4% на крају 2020. године. Током 2021. године долази до благог пада наведеног показатеља, тако да је учешће јавног дуга у БДП на крају 2021. године износило 53,9%. Позитивни тренд је настављен и у наредним годинама, тако да је на крају 2022. године учешће износило 52,4%, а на крају 2023. године 48,0%. На крају августа 2024. године учешће јавног дуга у БДП је износило 46,4%.</w:t>
      </w:r>
    </w:p>
    <w:p w14:paraId="0B787121"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Услед појачане контроле издавања гаранција у последњих десет година гарантовани јавни дуг је значајно смањен и бележи пад са 2,8 милијарде EUR колико је износио на крају 2013. године на 1,8 милијарди EUR на крају августа 2024. године, док је његово учешће у БДП у истом периоду пало са 7,6% на само 2,1%.</w:t>
      </w:r>
    </w:p>
    <w:p w14:paraId="2698B384" w14:textId="0A5E0D40"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Позитивни фискални резултати које остварује Република Србија потврђени су и преко кретања кредитног рејтинга Србије последњих неколико </w:t>
      </w:r>
      <w:r w:rsidR="0098737C" w:rsidRPr="00671E8F">
        <w:rPr>
          <w:rFonts w:ascii="Calibri" w:eastAsia="Calibri" w:hAnsi="Calibri" w:cs="Calibri"/>
          <w:bCs/>
          <w:szCs w:val="72"/>
        </w:rPr>
        <w:t xml:space="preserve">година. Захваљујући одговорној </w:t>
      </w:r>
      <w:r w:rsidRPr="00671E8F">
        <w:rPr>
          <w:rFonts w:ascii="Calibri" w:eastAsia="Calibri" w:hAnsi="Calibri" w:cs="Calibri"/>
          <w:bCs/>
          <w:szCs w:val="72"/>
        </w:rPr>
        <w:t xml:space="preserve">макроекономској политици коју Република Србија континуирано спроводи годинама уназад по први пут је добијен инвестициони рејтинг. Рејтинг агенција Standard and Poor’s је 4. октобра 2024. године повећала је кредитни рејтинг Републике Србије на инвестициони, на нивоу БББ- са стабилним изгледима за његово даље побољшање. И код остале две агенције се ускоро очекује добијање инвестиционог рејтинга, на шта указују и њихови последњи извештаји. Fitch Ratings је у најновијем извештају од 9. августа 2024. године потврдио кредитни рејтинг Републике Србије на нивоу ББ+, и повећао изгледе за његово даље повећање са стабилних на позитивне. Рејтинг агенција Moody’s је у последњем извештају 30. августа 2024. године потврдила кредитни рејтинг Републике Србије на нивоу Ба2 и повећала изгледе за његово даље повећање са стабилних на позитивне. Добијање инвестиционог рејтинга ће значајно утицати на даље смањивање трошкова финансирања Републике Србије. Очекује се проширивање базе инвеститора, с обзиром да одређени инвеститори нису до сада улагали у државне обвезнице Републике Србије услед пословне политике да се не улаже у земље које немају инвестициони рејтинг, односно због лимита које имају за улагање у обвезнице ових земаља. Ово ће довести </w:t>
      </w:r>
      <w:r w:rsidRPr="00671E8F">
        <w:rPr>
          <w:rFonts w:ascii="Calibri" w:eastAsia="Calibri" w:hAnsi="Calibri" w:cs="Calibri"/>
          <w:bCs/>
          <w:szCs w:val="72"/>
        </w:rPr>
        <w:t xml:space="preserve">до нижих трошкова задуживања и на домаћем и на међународном тржишту, услед мање ризичности које носе инструменти које ће издавати Република Србија. Нижи трошкови задуживања ће довести до уштеда у буџету, уз истовремено смањивање ризичности портофолија јавног дуга. </w:t>
      </w:r>
    </w:p>
    <w:p w14:paraId="4B2B8F1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Република Србија је током 2020. године у два наврата емитовала еврообвезнице како би финансирала пакет мера помоћи привреди и грађанима у циљу минимизирања утицаја кризе изазване пандемијом вируса COVID-19 и превремено отплатиле раније емитоване скупе еврообвезнице. Прва емисија еврообвезница је била 15. маја 2020. године, у еврима, у најделикатнијем тренутку у првом таласу пандемије, у укупном износу од 2,0 милијарде EUR. Купонска стопа је износила 3,125%, доспева 2027. године. Друга емисија еврообвезница је била 1. децембра 2020. године, у укупном износу од 1,2 милијарде америчких долара са доспећем 2030. године. Купонска стопа је износила 2,125%, а финална каматна стопа у еврима, након реализације хеџинг трансакције 1,066%. Повратак на доларско тржиште хартија и нова емисија деноминована у доларима, омогућиле су Србији да остане присутна у индексу обвезница тржишта у развоју – EMBI Index, чиме је осигурана њена видљивост на америчком тржишту капитала, као и на широј међународној инвестиционој мапи. Средствима емисије еврообвезница из децембра 2020. године извршeна je превремена отплата 900 милиона долара еврообвезница емитованих 2011. године, од укупно 1,6 милијарде долара колико је доспевало у септембру 2021. године. Превремено су откупљене обвезнице које су биле емитоване по купонској стопи од чак 7,25%.</w:t>
      </w:r>
    </w:p>
    <w:p w14:paraId="611D51C6" w14:textId="77777777" w:rsidR="00AE5DED" w:rsidRPr="00671E8F" w:rsidRDefault="00AE5DED" w:rsidP="00AE5DED">
      <w:r w:rsidRPr="00671E8F">
        <w:rPr>
          <w:rFonts w:ascii="Calibri" w:eastAsia="Calibri" w:hAnsi="Calibri" w:cs="Calibri"/>
          <w:bCs/>
          <w:spacing w:val="-2"/>
          <w:szCs w:val="72"/>
        </w:rPr>
        <w:t xml:space="preserve">Како би снизила трошкове финансирања и продужила рочност дуга Република Србија је 3. марта 2021. године успешно искористила још увек повољне услове на међународном финансијском тржишту и по први пут емитовала дванаестогодишње еврообвезнице деноминоване у еврима у износу од једне милијарде евра </w:t>
      </w:r>
      <w:r w:rsidRPr="00671E8F">
        <w:rPr>
          <w:rFonts w:ascii="Calibri" w:eastAsia="Calibri" w:hAnsi="Calibri" w:cs="Times New Roman"/>
          <w:spacing w:val="-2"/>
        </w:rPr>
        <w:t xml:space="preserve">по купонској стопи од 1,65%. Република </w:t>
      </w:r>
      <w:r w:rsidRPr="00671E8F">
        <w:rPr>
          <w:rFonts w:ascii="Calibri" w:hAnsi="Calibri"/>
          <w:spacing w:val="-2"/>
        </w:rPr>
        <w:t xml:space="preserve">Србија је </w:t>
      </w:r>
      <w:r w:rsidRPr="00671E8F">
        <w:rPr>
          <w:rFonts w:ascii="Calibri" w:eastAsia="Calibri" w:hAnsi="Calibri" w:cs="Times New Roman"/>
          <w:spacing w:val="-2"/>
        </w:rPr>
        <w:t xml:space="preserve">23. септембра 2021. године </w:t>
      </w:r>
      <w:r w:rsidRPr="00671E8F">
        <w:rPr>
          <w:rFonts w:ascii="Calibri" w:hAnsi="Calibri"/>
          <w:spacing w:val="-2"/>
        </w:rPr>
        <w:t xml:space="preserve">поново померила границе у избору финансирања својих инвестиција изласком на међународно тржиште зелених </w:t>
      </w:r>
      <w:r w:rsidRPr="00671E8F">
        <w:rPr>
          <w:rFonts w:ascii="Calibri" w:hAnsi="Calibri"/>
          <w:spacing w:val="-2"/>
        </w:rPr>
        <w:lastRenderedPageBreak/>
        <w:t>обвезница. Зелена</w:t>
      </w:r>
      <w:r w:rsidRPr="00671E8F">
        <w:t xml:space="preserve"> еврообвезница емитована је у износу од 1,0 милијарде евра са роком доспећа од седам година и купонском стопом од 1,00%, најнижом до сада постигнутом на међународном тржишту. Република Србија се сврстала у ред ретких европских земаља које су на међународном финансијском тржишту емитовале зелене еврообвезнице намењене искључиво за финансирање еколошки прихватљивих пројеката. Истовремено, са емисијом зелене еврообвезнице, емитована је и петнаестогодишња еврообвезница најдуже рочности до сада у износу од 750 милиона евра, са годишњом купонском стопом од 2,05%, чијом емисијом је додатно повећана рочност јавног дуга.</w:t>
      </w:r>
    </w:p>
    <w:p w14:paraId="3CD712C3" w14:textId="77777777" w:rsidR="00AE5DED" w:rsidRPr="00671E8F" w:rsidRDefault="00AE5DED" w:rsidP="00AE5DED">
      <w:r w:rsidRPr="00671E8F">
        <w:t>У јануару 2023. године су издате еврообвезнице рочности пет и десет година у укупном износу од 1,75 милијарди долара (750 милиона долара на пет година и 1 милијарда долара на десет година). Еврообвезница рочности пет година емитована је уз купонску стопу од 6,25%, док је еврообвезница рочности десет година емитована уз купонску стопу од 6,50%. 12. јуна 2024. године Република Србија је успешно реализовала емисију одрживих (ESG - Environmental, Social and Governance) еврообвезница деноминованих у америчким доларима на међународном финансијском тржишту рочности десет година у укупном износу од 1,5 милијарди долара уз купонску стопу од 6,00%.</w:t>
      </w:r>
    </w:p>
    <w:p w14:paraId="21F7AA0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Водећи се најбољом међународном праксом активног управљања јавним дугом, Република Србија је у децембру 2020. године по први пут реализовала хеџинг трансакцију, тј. коришћење финансијских деривата у сврху заштите од девизног и каматног ризика, у складу са међународним ISDA стандардима (</w:t>
      </w:r>
      <w:r w:rsidRPr="00671E8F">
        <w:rPr>
          <w:rFonts w:ascii="Calibri" w:eastAsia="Calibri" w:hAnsi="Calibri" w:cs="Calibri"/>
          <w:bCs/>
          <w:i/>
          <w:szCs w:val="72"/>
        </w:rPr>
        <w:t>International Swaps and Derivatives Association</w:t>
      </w:r>
      <w:r w:rsidRPr="00671E8F">
        <w:rPr>
          <w:rFonts w:ascii="Calibri" w:eastAsia="Calibri" w:hAnsi="Calibri" w:cs="Calibri"/>
          <w:bCs/>
          <w:szCs w:val="72"/>
        </w:rPr>
        <w:t xml:space="preserve">), односно унакрсна валутна своп трансакција којом су обавезе по основу емитоване обвезнице конвертоване из америчких долара у евре по значајно нижој финалној каматној стопи. Своје обавезе по основу емисије деноминоване у доларима, у износу од 1,2 милијарди USD, Република Србија ће исплаћивати у еврима по купонској стопи од 1,066% на номиналну вредност емисије након конверзије од 1,016 милијарди евра. Искоришћен је повољан однос курса евра и </w:t>
      </w:r>
      <w:r w:rsidRPr="00671E8F">
        <w:rPr>
          <w:rFonts w:ascii="Calibri" w:eastAsia="Calibri" w:hAnsi="Calibri" w:cs="Calibri"/>
          <w:bCs/>
          <w:szCs w:val="72"/>
        </w:rPr>
        <w:t xml:space="preserve">америчког долара у датом тренутку, као и дивергенције између доларских и еварских каматних стопа на међународном тржишту капитала и постигнута је најповољнија цена задуживања, уз оптимизацију валутне структуре јавног дуга, а све у циљу заштите од ризика промене девизног курса. Током јануара 2021. године реализована је друга своп трансакција, којом је обавеза по основу Споразума о репрограму дуга између Републике Србије и Kuwait Investment Authority конвертована из америчких долара у евре, по значајно нижој каматној стопи. Обавезе по основу наведеног репрограмираног зајма, уговорене у доларима по каматној стопи од 1,5%, Република Србија ће исплаћивати у еврима по каматној стопи од 0,393%. У марту 2021. године је закључена нова своп трансакција којом је кредит код Export - Import Bank of China за пројекат изградње обилазнице око Београда на аутопуту Е70/Е75, који је 2018. године иницијално уговорен у кинеским јуанима конвертован у евре са негативном каматном стопом. Наведени зајам, на који је плаћана фиксна каматна стопа од 2,50% годишње у кинеским јуанима, конвертован је у евре по фиксној негативној каматној стопи од </w:t>
      </w:r>
      <w:r w:rsidRPr="00671E8F">
        <w:rPr>
          <w:rFonts w:ascii="Calibri" w:eastAsia="Calibri" w:hAnsi="Calibri" w:cs="Calibri"/>
          <w:bCs/>
          <w:szCs w:val="72"/>
        </w:rPr>
        <w:br w:type="textWrapping" w:clear="all"/>
        <w:t>-0,07%. Како је уговорена негативна каматна стопа, Република Србија неће имати никакве трошкове по основу камата у првих пет година своп аранжмана, који важи до 2030. године, већ ће остваривати додатна примања од банака са којима је трансакција закључена. 24. новембра 2021. године</w:t>
      </w:r>
      <w:r w:rsidRPr="00671E8F">
        <w:t xml:space="preserve"> реализована је</w:t>
      </w:r>
      <w:r w:rsidRPr="00671E8F">
        <w:rPr>
          <w:rFonts w:ascii="Calibri" w:eastAsia="Calibri" w:hAnsi="Calibri" w:cs="Calibri"/>
          <w:bCs/>
          <w:szCs w:val="72"/>
        </w:rPr>
        <w:t xml:space="preserve"> </w:t>
      </w:r>
      <w:r w:rsidRPr="00671E8F">
        <w:t xml:space="preserve">још једна, четврта по реду, своп трансакција којом су обавезе по основу зајма узетог од Фонда за развој Абу Дабија, 2016. године, иницијално уговорене у дирхамима, са плаћањем у америчким доларима, конвертоване у евре. Дуг и обавезе по основу наведеног зајма на који је плаћана фиксна каматна стопа од 2,25% годишње, замењени су у евре по годишњој каматној стопи од 0,96%. У 2023. години су одмах након емитовања еврообвезница закључене хеџинг трансакције, тј. обавезе по основу емисије доларских еврообвезница су конвертоване у обавезе у еврима, тако да након извршеног cross currency swap-а, варијабилна каматна стопа за петогодишњу обвезницу износи шестомесечни еuribor + 2,908%, а за десетогодишњу обвезницу шестомесечни еuribor + 3,073%. У јуну 2024. </w:t>
      </w:r>
      <w:r w:rsidRPr="00671E8F">
        <w:lastRenderedPageBreak/>
        <w:t>године, истовремено са емитовањем десетогодишње доларске одрживе еврообвезнице уз купонску стопу од 6% (ESG - Environmental, Social, and Governance), закључена је своп трансакција, чиме су обавезе у доларима конвертоване у обавезе у еврима уз фиксну каматну стопу од 4,754%.</w:t>
      </w:r>
    </w:p>
    <w:p w14:paraId="354239DD"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Током 2020. године настављено је са емитовањем „бенчмарк” обвезница на домаћем тржишту. Емитоване су обвезнице рочности 5,5 и 12,5 година у RSD номиналнe вредности од по 100 милијарди динара, чији обими су повећани на по 150 милијарди динара током 2021. године. 30. јуна 2021. године динарске бенчмарк обвезнице Републике Србије рочности 7, 10 и 12,5 година укључене су у J.P. Morgan GBI-EM Index. Укључивањем у наведени индекс начињен је значајан напредак у јачању ликвидности секундарног тржишта државних обвезница и обезбеђен долазак нових међународних инвестиционих фондова, што ће резултирати већом конкуренцијом и даљим падом трошкова задуживања. У марту 2024. године, у J.P. Morgan GBI-EM Index укључена је и бенчмарк обвезница Републике Србије рочности 8 година номиналне вредности 150 милијарди динара емитована 2023. године. У октобру 2021. године, Clearstream, међународни централни регистар хартија од вредности, који обавља послове клиринга и салдирања (ICSD), отворио је рачун хартија од вредности у домаћем регистру и путем посредника – овлашћеног учесника на локалном тржишту, омогућио страним инвеститорима салдирање српских обвезница у динарима.</w:t>
      </w:r>
    </w:p>
    <w:p w14:paraId="48B2A80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Валутни ризик је смањен током претходних година, иако је током последње три године дошло до извесног погоршања овог показатеља услед специфичних околности на тржишту, те неопходности интензивнијег коришћења међународног финансијског тржишта, како би се минимизирали трошкови задуживања. Удео јавног дуга у домаћој валути у укупном јавном дугу централног нивоа власти је на крају 2008. године </w:t>
      </w:r>
      <w:r w:rsidRPr="00671E8F">
        <w:rPr>
          <w:rFonts w:ascii="Calibri" w:eastAsia="Calibri" w:hAnsi="Calibri" w:cs="Calibri"/>
          <w:bCs/>
          <w:szCs w:val="72"/>
        </w:rPr>
        <w:t>износио само 2,6%, а до краја 2020. године је порастао на 30,5%, али је након тога услед задуживања у већој мери на иностраном тржишту због повољнијих услова, дошло до пада учешћа на 21,7% на крају 2023. године, да би дошло до малог побољшања током 2024. године, те је на крају августа учешће износило 21,8%. Расту динарског дуга претходних година су пре свега допринеле емисије динарских државних хартија од вредности на домаћем тржишту хартија од вредности. Током 2019. и 2020. године је извршен превремени откуп скупих еврообвезница емитованих у 2011. и 2013. години у америчким доларима, а током фебруара 2020. године редовна отплата доларске обвезнице емитоване у 2013. години. У децембру 2020. године је закључена и прва хеџинг трансакција којом је емитована еврообвезница у америчким доларима, одмах конвертована у евре. У јануару 2021. године је закључена још једна хеџинг трансакција којом су обавезе у америчким доларима конвертоване у евре. У јануару 2023. и јуну 2024. године су закључене нове хеџинг трансакције којим су емитоване еврообвезнице у америчким доларима, одмах конвертоване у евре. Захваљујући свим овим трансакцијама, дошло је до пада његовог учешћа у укупном јавном дугу са 33,9% колико је износило на крају 2016. године на 12,9% на крају августа 2024. године.</w:t>
      </w:r>
    </w:p>
    <w:p w14:paraId="08E4FF18"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Трошкови задуживања су такође значајно снижени током претходних година. Учешће трошкова камата у БДП је пало са 2,8% (централни ниво власти) колико је износило 2015. године на 1,7% у 2023. години.</w:t>
      </w:r>
    </w:p>
    <w:p w14:paraId="541AFA6F" w14:textId="77777777" w:rsidR="00AE5DED" w:rsidRPr="00671E8F" w:rsidRDefault="00AE5DED" w:rsidP="00AE5DED">
      <w:pPr>
        <w:spacing w:after="240"/>
        <w:rPr>
          <w:rFonts w:ascii="Calibri" w:eastAsia="Calibri" w:hAnsi="Calibri" w:cs="Calibri"/>
          <w:bCs/>
          <w:szCs w:val="72"/>
        </w:rPr>
        <w:sectPr w:rsidR="00AE5DED" w:rsidRPr="00671E8F" w:rsidSect="00AE5DED">
          <w:type w:val="continuous"/>
          <w:pgSz w:w="12240" w:h="15840"/>
          <w:pgMar w:top="1440" w:right="1440" w:bottom="1440" w:left="1440" w:header="720" w:footer="720" w:gutter="0"/>
          <w:cols w:num="2" w:space="720"/>
        </w:sectPr>
      </w:pPr>
      <w:r w:rsidRPr="00671E8F">
        <w:rPr>
          <w:rFonts w:ascii="Calibri" w:eastAsia="Calibri" w:hAnsi="Calibri" w:cs="Calibri"/>
          <w:bCs/>
          <w:szCs w:val="72"/>
        </w:rPr>
        <w:t>На крају августа 2024. године укупно стање јавног дуга сектора државе износило је 4.484,6 млрд динара, односно 46,7% БДП. Од тога се на директне обавезе односило 4.249,0 млрд динара, на индиректне обавезе 205,7 млрд динара, док се 29,7 млрд динара односи на негарантовани дуг јединица локалне самоуправе и 253,1 милион динара на негарантовани дуг ЈП „Путеви Србије” и предузећа „Коридори Србије” д.о.о.</w:t>
      </w:r>
    </w:p>
    <w:p w14:paraId="2A064F70" w14:textId="2BF03C38" w:rsidR="00AE5DED" w:rsidRPr="00671E8F" w:rsidRDefault="00AE5DED" w:rsidP="00AE5DED"/>
    <w:p w14:paraId="3A42FDD2" w14:textId="77777777" w:rsidR="007543BB" w:rsidRPr="00671E8F" w:rsidRDefault="007543BB" w:rsidP="00AE5DED"/>
    <w:p w14:paraId="320CE5DE" w14:textId="77777777" w:rsidR="00AE5DED" w:rsidRPr="00671E8F" w:rsidRDefault="00AE5DED" w:rsidP="00AE5DED">
      <w:pPr>
        <w:spacing w:after="0" w:line="257" w:lineRule="auto"/>
        <w:jc w:val="center"/>
        <w:rPr>
          <w:rFonts w:ascii="Calibri" w:eastAsia="Calibri" w:hAnsi="Calibri" w:cs="Times New Roman"/>
          <w:b/>
          <w:color w:val="002060"/>
        </w:rPr>
      </w:pPr>
      <w:r w:rsidRPr="00671E8F">
        <w:rPr>
          <w:rFonts w:ascii="Calibri" w:eastAsia="Calibri" w:hAnsi="Calibri" w:cs="Times New Roman"/>
          <w:b/>
          <w:color w:val="002060"/>
        </w:rPr>
        <w:lastRenderedPageBreak/>
        <w:t>Учешће јавног дуга сектора државе у БДП,%</w:t>
      </w:r>
    </w:p>
    <w:p w14:paraId="33DB5256" w14:textId="77777777" w:rsidR="00AE5DED" w:rsidRPr="00671E8F" w:rsidRDefault="00AE5DED" w:rsidP="00AE5DED">
      <w:pPr>
        <w:spacing w:line="256" w:lineRule="auto"/>
        <w:jc w:val="center"/>
      </w:pPr>
      <w:r w:rsidRPr="00671E8F">
        <w:rPr>
          <w:rFonts w:ascii="Calibri" w:eastAsia="Calibri" w:hAnsi="Calibri" w:cs="Times New Roman"/>
          <w:noProof/>
          <w:lang w:val="en-US"/>
        </w:rPr>
        <w:drawing>
          <wp:inline distT="0" distB="0" distL="0" distR="0" wp14:anchorId="724A3200" wp14:editId="236D0FE8">
            <wp:extent cx="4472305" cy="1532890"/>
            <wp:effectExtent l="0" t="0" r="4445" b="0"/>
            <wp:docPr id="70"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2"/>
              </a:graphicData>
            </a:graphic>
          </wp:inline>
        </w:drawing>
      </w:r>
    </w:p>
    <w:p w14:paraId="7FF27B2A" w14:textId="30A607EA" w:rsidR="00AE5DED" w:rsidRPr="00671E8F" w:rsidRDefault="00AE5DED" w:rsidP="00AE5DED">
      <w:pPr>
        <w:spacing w:line="256" w:lineRule="auto"/>
        <w:jc w:val="center"/>
      </w:pPr>
      <w:r w:rsidRPr="00671E8F">
        <w:rPr>
          <w:rFonts w:ascii="Calibri" w:eastAsia="Calibri" w:hAnsi="Calibri" w:cs="Times New Roman"/>
          <w:b/>
          <w:color w:val="002060"/>
        </w:rPr>
        <w:t>Табела 2</w:t>
      </w:r>
      <w:r w:rsidR="00B265DD" w:rsidRPr="00671E8F">
        <w:rPr>
          <w:rFonts w:ascii="Calibri" w:eastAsia="Calibri" w:hAnsi="Calibri" w:cs="Times New Roman"/>
          <w:b/>
          <w:color w:val="002060"/>
        </w:rPr>
        <w:t>7</w:t>
      </w:r>
      <w:r w:rsidRPr="00671E8F">
        <w:rPr>
          <w:rFonts w:ascii="Calibri" w:eastAsia="Calibri" w:hAnsi="Calibri" w:cs="Times New Roman"/>
          <w:b/>
          <w:color w:val="002060"/>
        </w:rPr>
        <w:t xml:space="preserve">. </w:t>
      </w:r>
      <w:r w:rsidRPr="00671E8F">
        <w:rPr>
          <w:rFonts w:ascii="Calibri" w:eastAsia="Calibri" w:hAnsi="Calibri" w:cs="Times New Roman"/>
          <w:b/>
          <w:bCs/>
          <w:color w:val="002060"/>
        </w:rPr>
        <w:t xml:space="preserve">Јавни дуг сектора државе Републике Србије у периоду </w:t>
      </w:r>
      <w:r w:rsidRPr="00671E8F">
        <w:rPr>
          <w:rFonts w:ascii="Calibri" w:eastAsia="Calibri" w:hAnsi="Calibri" w:cs="Times New Roman"/>
          <w:b/>
          <w:bCs/>
          <w:color w:val="002060"/>
        </w:rPr>
        <w:br w:type="textWrapping" w:clear="all"/>
        <w:t>крај 2021–31. август 2024. године</w:t>
      </w:r>
    </w:p>
    <w:tbl>
      <w:tblPr>
        <w:tblStyle w:val="LightShading-Accent12121"/>
        <w:tblW w:w="5000" w:type="pct"/>
        <w:tblInd w:w="0" w:type="dxa"/>
        <w:tblLook w:val="04A0" w:firstRow="1" w:lastRow="0" w:firstColumn="1" w:lastColumn="0" w:noHBand="0" w:noVBand="1"/>
      </w:tblPr>
      <w:tblGrid>
        <w:gridCol w:w="4046"/>
        <w:gridCol w:w="1328"/>
        <w:gridCol w:w="1330"/>
        <w:gridCol w:w="1327"/>
        <w:gridCol w:w="1329"/>
      </w:tblGrid>
      <w:tr w:rsidR="00AE5DED" w:rsidRPr="00671E8F" w14:paraId="36E9C81C" w14:textId="77777777" w:rsidTr="00AE5DED">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002060"/>
              <w:bottom w:val="single" w:sz="4" w:space="0" w:color="FFFFFF" w:themeColor="background1"/>
            </w:tcBorders>
            <w:noWrap/>
            <w:hideMark/>
          </w:tcPr>
          <w:p w14:paraId="146BF6DE"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 </w:t>
            </w:r>
          </w:p>
        </w:tc>
        <w:tc>
          <w:tcPr>
            <w:tcW w:w="709" w:type="pct"/>
            <w:tcBorders>
              <w:top w:val="single" w:sz="4" w:space="0" w:color="002060"/>
              <w:bottom w:val="single" w:sz="4" w:space="0" w:color="002060"/>
            </w:tcBorders>
            <w:vAlign w:val="center"/>
            <w:hideMark/>
          </w:tcPr>
          <w:p w14:paraId="0CEA58D3"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2021</w:t>
            </w:r>
          </w:p>
        </w:tc>
        <w:tc>
          <w:tcPr>
            <w:tcW w:w="710" w:type="pct"/>
            <w:tcBorders>
              <w:top w:val="single" w:sz="4" w:space="0" w:color="002060"/>
              <w:bottom w:val="single" w:sz="4" w:space="0" w:color="002060"/>
            </w:tcBorders>
            <w:vAlign w:val="center"/>
            <w:hideMark/>
          </w:tcPr>
          <w:p w14:paraId="155E56A5"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2022</w:t>
            </w:r>
          </w:p>
        </w:tc>
        <w:tc>
          <w:tcPr>
            <w:tcW w:w="709" w:type="pct"/>
            <w:tcBorders>
              <w:top w:val="single" w:sz="4" w:space="0" w:color="002060"/>
              <w:bottom w:val="single" w:sz="4" w:space="0" w:color="002060"/>
            </w:tcBorders>
            <w:noWrap/>
            <w:vAlign w:val="center"/>
            <w:hideMark/>
          </w:tcPr>
          <w:p w14:paraId="5F2EB010"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2023</w:t>
            </w:r>
          </w:p>
        </w:tc>
        <w:tc>
          <w:tcPr>
            <w:tcW w:w="710" w:type="pct"/>
            <w:tcBorders>
              <w:top w:val="single" w:sz="4" w:space="0" w:color="002060"/>
              <w:bottom w:val="single" w:sz="4" w:space="0" w:color="002060"/>
            </w:tcBorders>
            <w:noWrap/>
            <w:vAlign w:val="center"/>
            <w:hideMark/>
          </w:tcPr>
          <w:p w14:paraId="1D253187"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2024/VIII</w:t>
            </w:r>
          </w:p>
        </w:tc>
      </w:tr>
      <w:tr w:rsidR="00AE5DED" w:rsidRPr="00671E8F" w14:paraId="1EBC620E" w14:textId="77777777" w:rsidTr="00AE5DED">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FFFFFF" w:themeColor="background1"/>
              <w:bottom w:val="nil"/>
            </w:tcBorders>
            <w:shd w:val="clear" w:color="auto" w:fill="E7E6E6" w:themeFill="background2"/>
            <w:noWrap/>
            <w:vAlign w:val="center"/>
            <w:hideMark/>
          </w:tcPr>
          <w:p w14:paraId="41AE9943"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Јавни дуг сектора државе (у млрд динара)</w:t>
            </w:r>
          </w:p>
        </w:tc>
        <w:tc>
          <w:tcPr>
            <w:tcW w:w="709" w:type="pct"/>
            <w:tcBorders>
              <w:top w:val="single" w:sz="4" w:space="0" w:color="002060"/>
              <w:bottom w:val="nil"/>
            </w:tcBorders>
            <w:shd w:val="clear" w:color="auto" w:fill="E7E6E6" w:themeFill="background2"/>
            <w:vAlign w:val="center"/>
            <w:hideMark/>
          </w:tcPr>
          <w:p w14:paraId="623A76E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3.581,8</w:t>
            </w:r>
          </w:p>
        </w:tc>
        <w:tc>
          <w:tcPr>
            <w:tcW w:w="710" w:type="pct"/>
            <w:tcBorders>
              <w:top w:val="single" w:sz="4" w:space="0" w:color="002060"/>
              <w:bottom w:val="nil"/>
            </w:tcBorders>
            <w:shd w:val="clear" w:color="auto" w:fill="E7E6E6" w:themeFill="background2"/>
            <w:vAlign w:val="center"/>
            <w:hideMark/>
          </w:tcPr>
          <w:p w14:paraId="77F16F4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3.945,8</w:t>
            </w:r>
          </w:p>
        </w:tc>
        <w:tc>
          <w:tcPr>
            <w:tcW w:w="709" w:type="pct"/>
            <w:tcBorders>
              <w:top w:val="single" w:sz="4" w:space="0" w:color="002060"/>
              <w:bottom w:val="nil"/>
            </w:tcBorders>
            <w:shd w:val="clear" w:color="auto" w:fill="E7E6E6" w:themeFill="background2"/>
            <w:noWrap/>
            <w:vAlign w:val="center"/>
            <w:hideMark/>
          </w:tcPr>
          <w:p w14:paraId="04463F46"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4.266,6</w:t>
            </w:r>
          </w:p>
        </w:tc>
        <w:tc>
          <w:tcPr>
            <w:tcW w:w="710" w:type="pct"/>
            <w:tcBorders>
              <w:top w:val="single" w:sz="4" w:space="0" w:color="002060"/>
              <w:bottom w:val="nil"/>
            </w:tcBorders>
            <w:shd w:val="clear" w:color="auto" w:fill="E7E6E6" w:themeFill="background2"/>
            <w:noWrap/>
            <w:vAlign w:val="center"/>
            <w:hideMark/>
          </w:tcPr>
          <w:p w14:paraId="15F6237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4.484,6</w:t>
            </w:r>
          </w:p>
        </w:tc>
      </w:tr>
      <w:tr w:rsidR="00AE5DED" w:rsidRPr="00671E8F" w14:paraId="1E475156" w14:textId="77777777" w:rsidTr="00AE5DED">
        <w:trPr>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left w:val="nil"/>
              <w:bottom w:val="nil"/>
              <w:right w:val="nil"/>
            </w:tcBorders>
            <w:noWrap/>
            <w:vAlign w:val="center"/>
            <w:hideMark/>
          </w:tcPr>
          <w:p w14:paraId="3C0A7F4A"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Јавни дуг сектора државе (у мил. евра)</w:t>
            </w:r>
          </w:p>
        </w:tc>
        <w:tc>
          <w:tcPr>
            <w:tcW w:w="709" w:type="pct"/>
            <w:tcBorders>
              <w:top w:val="nil"/>
              <w:left w:val="nil"/>
              <w:bottom w:val="nil"/>
              <w:right w:val="nil"/>
            </w:tcBorders>
            <w:vAlign w:val="center"/>
            <w:hideMark/>
          </w:tcPr>
          <w:p w14:paraId="79C2094E"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30.461,8</w:t>
            </w:r>
          </w:p>
        </w:tc>
        <w:tc>
          <w:tcPr>
            <w:tcW w:w="710" w:type="pct"/>
            <w:tcBorders>
              <w:top w:val="nil"/>
              <w:left w:val="nil"/>
              <w:bottom w:val="nil"/>
              <w:right w:val="nil"/>
            </w:tcBorders>
            <w:vAlign w:val="center"/>
            <w:hideMark/>
          </w:tcPr>
          <w:p w14:paraId="23EBE3DB"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33.632,2</w:t>
            </w:r>
          </w:p>
        </w:tc>
        <w:tc>
          <w:tcPr>
            <w:tcW w:w="709" w:type="pct"/>
            <w:tcBorders>
              <w:top w:val="nil"/>
              <w:left w:val="nil"/>
              <w:bottom w:val="nil"/>
              <w:right w:val="nil"/>
            </w:tcBorders>
            <w:noWrap/>
            <w:vAlign w:val="center"/>
            <w:hideMark/>
          </w:tcPr>
          <w:p w14:paraId="2B911F6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36.412,3</w:t>
            </w:r>
          </w:p>
        </w:tc>
        <w:tc>
          <w:tcPr>
            <w:tcW w:w="710" w:type="pct"/>
            <w:tcBorders>
              <w:top w:val="nil"/>
              <w:left w:val="nil"/>
              <w:bottom w:val="nil"/>
              <w:right w:val="nil"/>
            </w:tcBorders>
            <w:noWrap/>
            <w:vAlign w:val="center"/>
            <w:hideMark/>
          </w:tcPr>
          <w:p w14:paraId="796E79E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38.323,0</w:t>
            </w:r>
          </w:p>
        </w:tc>
      </w:tr>
      <w:tr w:rsidR="00AE5DED" w:rsidRPr="00671E8F" w14:paraId="12AFD192" w14:textId="77777777" w:rsidTr="00AE5DED">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bottom w:val="single" w:sz="4" w:space="0" w:color="002060"/>
            </w:tcBorders>
            <w:shd w:val="clear" w:color="auto" w:fill="E7E6E6" w:themeFill="background2"/>
            <w:noWrap/>
            <w:vAlign w:val="center"/>
            <w:hideMark/>
          </w:tcPr>
          <w:p w14:paraId="31080F8F"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Јавни дуг сектора државе (у мил. долара)</w:t>
            </w:r>
          </w:p>
        </w:tc>
        <w:tc>
          <w:tcPr>
            <w:tcW w:w="709" w:type="pct"/>
            <w:tcBorders>
              <w:top w:val="nil"/>
              <w:bottom w:val="single" w:sz="4" w:space="0" w:color="002060"/>
            </w:tcBorders>
            <w:shd w:val="clear" w:color="auto" w:fill="E7E6E6" w:themeFill="background2"/>
            <w:vAlign w:val="center"/>
            <w:hideMark/>
          </w:tcPr>
          <w:p w14:paraId="1D49A716"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34.464,5</w:t>
            </w:r>
          </w:p>
        </w:tc>
        <w:tc>
          <w:tcPr>
            <w:tcW w:w="710" w:type="pct"/>
            <w:tcBorders>
              <w:top w:val="nil"/>
              <w:bottom w:val="single" w:sz="4" w:space="0" w:color="002060"/>
            </w:tcBorders>
            <w:shd w:val="clear" w:color="auto" w:fill="E7E6E6" w:themeFill="background2"/>
            <w:vAlign w:val="center"/>
            <w:hideMark/>
          </w:tcPr>
          <w:p w14:paraId="2D9BAB1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35.821,6</w:t>
            </w:r>
          </w:p>
        </w:tc>
        <w:tc>
          <w:tcPr>
            <w:tcW w:w="709" w:type="pct"/>
            <w:tcBorders>
              <w:top w:val="nil"/>
              <w:bottom w:val="single" w:sz="4" w:space="0" w:color="002060"/>
            </w:tcBorders>
            <w:shd w:val="clear" w:color="auto" w:fill="E7E6E6" w:themeFill="background2"/>
            <w:noWrap/>
            <w:vAlign w:val="center"/>
            <w:hideMark/>
          </w:tcPr>
          <w:p w14:paraId="47FE8E3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40.301,1</w:t>
            </w:r>
          </w:p>
        </w:tc>
        <w:tc>
          <w:tcPr>
            <w:tcW w:w="710" w:type="pct"/>
            <w:tcBorders>
              <w:top w:val="nil"/>
              <w:bottom w:val="single" w:sz="4" w:space="0" w:color="002060"/>
            </w:tcBorders>
            <w:shd w:val="clear" w:color="auto" w:fill="E7E6E6" w:themeFill="background2"/>
            <w:noWrap/>
            <w:vAlign w:val="center"/>
            <w:hideMark/>
          </w:tcPr>
          <w:p w14:paraId="0BA34C3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42.450,4</w:t>
            </w:r>
          </w:p>
        </w:tc>
      </w:tr>
    </w:tbl>
    <w:p w14:paraId="7E077D9D" w14:textId="77777777" w:rsidR="00AE5DED" w:rsidRPr="00671E8F" w:rsidRDefault="00AE5DED" w:rsidP="00AE5DED">
      <w:pPr>
        <w:spacing w:after="280"/>
        <w:rPr>
          <w:rFonts w:ascii="Calibri" w:eastAsia="Calibri" w:hAnsi="Calibri" w:cs="Calibri"/>
          <w:bCs/>
          <w:szCs w:val="72"/>
        </w:rPr>
        <w:sectPr w:rsidR="00AE5DED" w:rsidRPr="00671E8F" w:rsidSect="00AE5DED">
          <w:type w:val="continuous"/>
          <w:pgSz w:w="12240" w:h="15840"/>
          <w:pgMar w:top="1440" w:right="1440" w:bottom="1440" w:left="1440" w:header="720" w:footer="720" w:gutter="0"/>
          <w:cols w:space="720"/>
        </w:sectPr>
      </w:pPr>
    </w:p>
    <w:p w14:paraId="006AFD5B" w14:textId="77777777" w:rsidR="00AE5DED" w:rsidRPr="00671E8F" w:rsidRDefault="00AE5DED" w:rsidP="00AE5DED">
      <w:pPr>
        <w:spacing w:after="280"/>
        <w:rPr>
          <w:rFonts w:ascii="Calibri" w:eastAsia="Calibri" w:hAnsi="Calibri" w:cs="Calibri"/>
          <w:bCs/>
          <w:szCs w:val="72"/>
        </w:rPr>
      </w:pPr>
      <w:r w:rsidRPr="00671E8F">
        <w:rPr>
          <w:rFonts w:ascii="Calibri" w:eastAsia="Calibri" w:hAnsi="Calibri" w:cs="Calibri"/>
          <w:bCs/>
          <w:szCs w:val="72"/>
        </w:rPr>
        <w:t xml:space="preserve">У последње четири године приметан је интензиван раст јавног дуга централног нивоа власти у еврима. Услед повољнијих услова за задуживање на иностраном тржишту, емитоване су у више наврата еврообвезнице у еврима и америчким доларима које су одмах након трансакције конвертоване у евре. Поред тога део дуга у америчким доларима, кинеским јуанима и УАЕ дирхамима је конвертован у евре, услед далеко мање осцилације курса евра према динару, у односу на наведене валуте, како би се смањио валутни ризик. Током 2022. и 2023. године дошло је до раста дуга у специјалним правима </w:t>
      </w:r>
      <w:r w:rsidRPr="00671E8F">
        <w:rPr>
          <w:rFonts w:ascii="Calibri" w:eastAsia="Calibri" w:hAnsi="Calibri" w:cs="Calibri"/>
          <w:bCs/>
          <w:szCs w:val="72"/>
        </w:rPr>
        <w:t>вучења, услед задуживања код ММФ по повољним условима. То Током 2022. и 2023. године приметан је пад дуга у динарима, због редовне отплате доспелих државних обвезница, док у првих осам месеци 2024. године долази до његовог раста. Честе осцилације курса америчког долара према динару показују пуну оправданост одлуке да се максимално смањи доларски дуг и на тај начин минимизира валутни ризик, као и да је за закључивање своп трансакција изабран прави моменат. Услед закључених своп трансакција, а такође са циљем да се минимизира валутни ризик, значајно је смањен дуг у осталим валутама.</w:t>
      </w:r>
    </w:p>
    <w:p w14:paraId="23862F5A"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AE5DED">
          <w:type w:val="continuous"/>
          <w:pgSz w:w="12240" w:h="15840"/>
          <w:pgMar w:top="1440" w:right="1440" w:bottom="1440" w:left="1440" w:header="720" w:footer="720" w:gutter="0"/>
          <w:cols w:num="2" w:space="720"/>
        </w:sectPr>
      </w:pPr>
    </w:p>
    <w:p w14:paraId="6DD35860" w14:textId="3721D83A"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 xml:space="preserve">Табела </w:t>
      </w:r>
      <w:r w:rsidR="00B265DD" w:rsidRPr="00671E8F">
        <w:rPr>
          <w:rFonts w:ascii="Calibri" w:eastAsia="Calibri" w:hAnsi="Calibri" w:cs="Times New Roman"/>
          <w:b/>
          <w:color w:val="002060"/>
        </w:rPr>
        <w:t>28</w:t>
      </w:r>
      <w:r w:rsidRPr="00671E8F">
        <w:rPr>
          <w:rFonts w:ascii="Calibri" w:eastAsia="Calibri" w:hAnsi="Calibri" w:cs="Times New Roman"/>
          <w:b/>
          <w:color w:val="002060"/>
        </w:rPr>
        <w:t xml:space="preserve">. Стање јавног дуга централног нивоа државе по оригиналним валутама у периоду </w:t>
      </w:r>
      <w:r w:rsidRPr="00671E8F">
        <w:rPr>
          <w:rFonts w:ascii="Calibri" w:eastAsia="Calibri" w:hAnsi="Calibri" w:cs="Times New Roman"/>
          <w:b/>
          <w:color w:val="002060"/>
        </w:rPr>
        <w:br/>
        <w:t>крај 2021–31. август 2024. године, у милионима</w:t>
      </w:r>
    </w:p>
    <w:tbl>
      <w:tblPr>
        <w:tblStyle w:val="LightShading-Accent12121"/>
        <w:tblW w:w="5000" w:type="pct"/>
        <w:tblInd w:w="-48" w:type="dxa"/>
        <w:tblLook w:val="04A0" w:firstRow="1" w:lastRow="0" w:firstColumn="1" w:lastColumn="0" w:noHBand="0" w:noVBand="1"/>
      </w:tblPr>
      <w:tblGrid>
        <w:gridCol w:w="3230"/>
        <w:gridCol w:w="1532"/>
        <w:gridCol w:w="1534"/>
        <w:gridCol w:w="1531"/>
        <w:gridCol w:w="1533"/>
      </w:tblGrid>
      <w:tr w:rsidR="00AE5DED" w:rsidRPr="00671E8F" w14:paraId="05172473" w14:textId="77777777" w:rsidTr="00AE5DED">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002060"/>
              <w:bottom w:val="single" w:sz="4" w:space="0" w:color="FFFFFF" w:themeColor="background1"/>
            </w:tcBorders>
            <w:noWrap/>
            <w:hideMark/>
          </w:tcPr>
          <w:p w14:paraId="5FF2478F"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 </w:t>
            </w:r>
          </w:p>
        </w:tc>
        <w:tc>
          <w:tcPr>
            <w:tcW w:w="818" w:type="pct"/>
            <w:tcBorders>
              <w:top w:val="single" w:sz="4" w:space="0" w:color="002060"/>
              <w:bottom w:val="single" w:sz="4" w:space="0" w:color="002060"/>
            </w:tcBorders>
            <w:noWrap/>
            <w:hideMark/>
          </w:tcPr>
          <w:p w14:paraId="6CB011BD"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2021</w:t>
            </w:r>
          </w:p>
        </w:tc>
        <w:tc>
          <w:tcPr>
            <w:tcW w:w="819" w:type="pct"/>
            <w:tcBorders>
              <w:top w:val="single" w:sz="4" w:space="0" w:color="002060"/>
              <w:bottom w:val="single" w:sz="4" w:space="0" w:color="002060"/>
            </w:tcBorders>
            <w:noWrap/>
            <w:hideMark/>
          </w:tcPr>
          <w:p w14:paraId="39A562DE"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2022</w:t>
            </w:r>
          </w:p>
        </w:tc>
        <w:tc>
          <w:tcPr>
            <w:tcW w:w="818" w:type="pct"/>
            <w:tcBorders>
              <w:top w:val="single" w:sz="4" w:space="0" w:color="002060"/>
              <w:bottom w:val="single" w:sz="4" w:space="0" w:color="002060"/>
            </w:tcBorders>
            <w:noWrap/>
            <w:hideMark/>
          </w:tcPr>
          <w:p w14:paraId="18CEA502"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2023</w:t>
            </w:r>
          </w:p>
        </w:tc>
        <w:tc>
          <w:tcPr>
            <w:tcW w:w="819" w:type="pct"/>
            <w:tcBorders>
              <w:top w:val="single" w:sz="4" w:space="0" w:color="002060"/>
              <w:bottom w:val="single" w:sz="4" w:space="0" w:color="002060"/>
            </w:tcBorders>
            <w:noWrap/>
            <w:hideMark/>
          </w:tcPr>
          <w:p w14:paraId="4A9D06B5"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2024/VIII</w:t>
            </w:r>
          </w:p>
        </w:tc>
      </w:tr>
      <w:tr w:rsidR="00AE5DED" w:rsidRPr="00671E8F" w14:paraId="7BD1DF9A"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FFFFFF" w:themeColor="background1"/>
              <w:bottom w:val="nil"/>
            </w:tcBorders>
            <w:shd w:val="clear" w:color="auto" w:fill="E7E6E6" w:themeFill="background2"/>
            <w:noWrap/>
            <w:hideMark/>
          </w:tcPr>
          <w:p w14:paraId="63DE0952"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EUR</w:t>
            </w:r>
          </w:p>
        </w:tc>
        <w:tc>
          <w:tcPr>
            <w:tcW w:w="818" w:type="pct"/>
            <w:tcBorders>
              <w:top w:val="single" w:sz="4" w:space="0" w:color="002060"/>
              <w:bottom w:val="nil"/>
            </w:tcBorders>
            <w:shd w:val="clear" w:color="auto" w:fill="E7E6E6" w:themeFill="background2"/>
            <w:noWrap/>
            <w:hideMark/>
          </w:tcPr>
          <w:p w14:paraId="58187BCF"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17.386,4</w:t>
            </w:r>
          </w:p>
        </w:tc>
        <w:tc>
          <w:tcPr>
            <w:tcW w:w="819" w:type="pct"/>
            <w:tcBorders>
              <w:top w:val="single" w:sz="4" w:space="0" w:color="002060"/>
              <w:bottom w:val="nil"/>
            </w:tcBorders>
            <w:shd w:val="clear" w:color="auto" w:fill="E7E6E6" w:themeFill="background2"/>
            <w:noWrap/>
            <w:hideMark/>
          </w:tcPr>
          <w:p w14:paraId="3E52990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18.585,2</w:t>
            </w:r>
          </w:p>
        </w:tc>
        <w:tc>
          <w:tcPr>
            <w:tcW w:w="818" w:type="pct"/>
            <w:tcBorders>
              <w:top w:val="single" w:sz="4" w:space="0" w:color="002060"/>
              <w:bottom w:val="nil"/>
            </w:tcBorders>
            <w:shd w:val="clear" w:color="auto" w:fill="E7E6E6" w:themeFill="background2"/>
            <w:noWrap/>
            <w:hideMark/>
          </w:tcPr>
          <w:p w14:paraId="01C6744C"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20.857,5</w:t>
            </w:r>
          </w:p>
        </w:tc>
        <w:tc>
          <w:tcPr>
            <w:tcW w:w="819" w:type="pct"/>
            <w:tcBorders>
              <w:top w:val="single" w:sz="4" w:space="0" w:color="002060"/>
              <w:bottom w:val="nil"/>
            </w:tcBorders>
            <w:shd w:val="clear" w:color="auto" w:fill="E7E6E6" w:themeFill="background2"/>
            <w:noWrap/>
            <w:hideMark/>
          </w:tcPr>
          <w:p w14:paraId="356842A7"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22.268,7</w:t>
            </w:r>
          </w:p>
        </w:tc>
      </w:tr>
      <w:tr w:rsidR="00AE5DED" w:rsidRPr="00671E8F" w14:paraId="6D2B1D16"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3D7C0D1C"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USD</w:t>
            </w:r>
          </w:p>
        </w:tc>
        <w:tc>
          <w:tcPr>
            <w:tcW w:w="818" w:type="pct"/>
            <w:tcBorders>
              <w:top w:val="nil"/>
              <w:left w:val="nil"/>
              <w:bottom w:val="nil"/>
              <w:right w:val="nil"/>
            </w:tcBorders>
            <w:noWrap/>
            <w:hideMark/>
          </w:tcPr>
          <w:p w14:paraId="5B0FAFE1"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3.694,6</w:t>
            </w:r>
          </w:p>
        </w:tc>
        <w:tc>
          <w:tcPr>
            <w:tcW w:w="819" w:type="pct"/>
            <w:tcBorders>
              <w:top w:val="nil"/>
              <w:left w:val="nil"/>
              <w:bottom w:val="nil"/>
              <w:right w:val="nil"/>
            </w:tcBorders>
            <w:noWrap/>
            <w:hideMark/>
          </w:tcPr>
          <w:p w14:paraId="03DB3A3C"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5.076,7</w:t>
            </w:r>
          </w:p>
        </w:tc>
        <w:tc>
          <w:tcPr>
            <w:tcW w:w="818" w:type="pct"/>
            <w:tcBorders>
              <w:top w:val="nil"/>
              <w:left w:val="nil"/>
              <w:bottom w:val="nil"/>
              <w:right w:val="nil"/>
            </w:tcBorders>
            <w:noWrap/>
            <w:hideMark/>
          </w:tcPr>
          <w:p w14:paraId="0C55CE11"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5.364,6</w:t>
            </w:r>
          </w:p>
        </w:tc>
        <w:tc>
          <w:tcPr>
            <w:tcW w:w="819" w:type="pct"/>
            <w:tcBorders>
              <w:top w:val="nil"/>
              <w:left w:val="nil"/>
              <w:bottom w:val="nil"/>
              <w:right w:val="nil"/>
            </w:tcBorders>
            <w:noWrap/>
            <w:hideMark/>
          </w:tcPr>
          <w:p w14:paraId="52CF137A"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5.455,2</w:t>
            </w:r>
          </w:p>
        </w:tc>
      </w:tr>
      <w:tr w:rsidR="00AE5DED" w:rsidRPr="00671E8F" w14:paraId="1E57C635"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2A07D92B"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RSD</w:t>
            </w:r>
          </w:p>
        </w:tc>
        <w:tc>
          <w:tcPr>
            <w:tcW w:w="818" w:type="pct"/>
            <w:tcBorders>
              <w:top w:val="nil"/>
              <w:bottom w:val="nil"/>
            </w:tcBorders>
            <w:shd w:val="clear" w:color="auto" w:fill="E7E6E6" w:themeFill="background2"/>
            <w:noWrap/>
            <w:hideMark/>
          </w:tcPr>
          <w:p w14:paraId="0A2309FC"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1.010.176,5</w:t>
            </w:r>
          </w:p>
        </w:tc>
        <w:tc>
          <w:tcPr>
            <w:tcW w:w="819" w:type="pct"/>
            <w:tcBorders>
              <w:top w:val="nil"/>
              <w:bottom w:val="nil"/>
            </w:tcBorders>
            <w:shd w:val="clear" w:color="auto" w:fill="E7E6E6" w:themeFill="background2"/>
            <w:noWrap/>
            <w:hideMark/>
          </w:tcPr>
          <w:p w14:paraId="7D42C755"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983.500,7</w:t>
            </w:r>
          </w:p>
        </w:tc>
        <w:tc>
          <w:tcPr>
            <w:tcW w:w="818" w:type="pct"/>
            <w:tcBorders>
              <w:top w:val="nil"/>
              <w:bottom w:val="nil"/>
            </w:tcBorders>
            <w:shd w:val="clear" w:color="auto" w:fill="E7E6E6" w:themeFill="background2"/>
            <w:noWrap/>
            <w:hideMark/>
          </w:tcPr>
          <w:p w14:paraId="05E61054"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917.800,7</w:t>
            </w:r>
          </w:p>
        </w:tc>
        <w:tc>
          <w:tcPr>
            <w:tcW w:w="819" w:type="pct"/>
            <w:tcBorders>
              <w:top w:val="nil"/>
              <w:bottom w:val="nil"/>
            </w:tcBorders>
            <w:shd w:val="clear" w:color="auto" w:fill="E7E6E6" w:themeFill="background2"/>
            <w:noWrap/>
            <w:hideMark/>
          </w:tcPr>
          <w:p w14:paraId="660D1126"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972.064,4</w:t>
            </w:r>
          </w:p>
        </w:tc>
      </w:tr>
      <w:tr w:rsidR="00AE5DED" w:rsidRPr="00671E8F" w14:paraId="57CEFC51"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285BAC35"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CHF</w:t>
            </w:r>
          </w:p>
        </w:tc>
        <w:tc>
          <w:tcPr>
            <w:tcW w:w="818" w:type="pct"/>
            <w:tcBorders>
              <w:top w:val="nil"/>
              <w:left w:val="nil"/>
              <w:bottom w:val="nil"/>
              <w:right w:val="nil"/>
            </w:tcBorders>
            <w:noWrap/>
            <w:hideMark/>
          </w:tcPr>
          <w:p w14:paraId="5FEA35A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73,7</w:t>
            </w:r>
          </w:p>
        </w:tc>
        <w:tc>
          <w:tcPr>
            <w:tcW w:w="819" w:type="pct"/>
            <w:tcBorders>
              <w:top w:val="nil"/>
              <w:left w:val="nil"/>
              <w:bottom w:val="nil"/>
              <w:right w:val="nil"/>
            </w:tcBorders>
            <w:noWrap/>
            <w:hideMark/>
          </w:tcPr>
          <w:p w14:paraId="3718738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27,2</w:t>
            </w:r>
          </w:p>
        </w:tc>
        <w:tc>
          <w:tcPr>
            <w:tcW w:w="818" w:type="pct"/>
            <w:tcBorders>
              <w:top w:val="nil"/>
              <w:left w:val="nil"/>
              <w:bottom w:val="nil"/>
              <w:right w:val="nil"/>
            </w:tcBorders>
            <w:noWrap/>
            <w:hideMark/>
          </w:tcPr>
          <w:p w14:paraId="4014B63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9,7</w:t>
            </w:r>
          </w:p>
        </w:tc>
        <w:tc>
          <w:tcPr>
            <w:tcW w:w="819" w:type="pct"/>
            <w:tcBorders>
              <w:top w:val="nil"/>
              <w:left w:val="nil"/>
              <w:bottom w:val="nil"/>
              <w:right w:val="nil"/>
            </w:tcBorders>
            <w:noWrap/>
            <w:hideMark/>
          </w:tcPr>
          <w:p w14:paraId="759E5FD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0,0</w:t>
            </w:r>
          </w:p>
        </w:tc>
      </w:tr>
      <w:tr w:rsidR="00AE5DED" w:rsidRPr="00671E8F" w14:paraId="44D008D3"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3AB2812C"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Специјална права вучења</w:t>
            </w:r>
          </w:p>
        </w:tc>
        <w:tc>
          <w:tcPr>
            <w:tcW w:w="818" w:type="pct"/>
            <w:tcBorders>
              <w:top w:val="nil"/>
              <w:bottom w:val="nil"/>
            </w:tcBorders>
            <w:shd w:val="clear" w:color="auto" w:fill="E7E6E6" w:themeFill="background2"/>
            <w:noWrap/>
            <w:hideMark/>
          </w:tcPr>
          <w:p w14:paraId="6D125557"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475,0</w:t>
            </w:r>
          </w:p>
        </w:tc>
        <w:tc>
          <w:tcPr>
            <w:tcW w:w="819" w:type="pct"/>
            <w:tcBorders>
              <w:top w:val="nil"/>
              <w:bottom w:val="nil"/>
            </w:tcBorders>
            <w:shd w:val="clear" w:color="auto" w:fill="E7E6E6" w:themeFill="background2"/>
            <w:noWrap/>
            <w:hideMark/>
          </w:tcPr>
          <w:p w14:paraId="7360DB1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1.064,9</w:t>
            </w:r>
          </w:p>
        </w:tc>
        <w:tc>
          <w:tcPr>
            <w:tcW w:w="818" w:type="pct"/>
            <w:tcBorders>
              <w:top w:val="nil"/>
              <w:bottom w:val="nil"/>
            </w:tcBorders>
            <w:shd w:val="clear" w:color="auto" w:fill="E7E6E6" w:themeFill="background2"/>
            <w:noWrap/>
            <w:hideMark/>
          </w:tcPr>
          <w:p w14:paraId="65C1341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1.988,6</w:t>
            </w:r>
          </w:p>
        </w:tc>
        <w:tc>
          <w:tcPr>
            <w:tcW w:w="819" w:type="pct"/>
            <w:tcBorders>
              <w:top w:val="nil"/>
              <w:bottom w:val="nil"/>
            </w:tcBorders>
            <w:shd w:val="clear" w:color="auto" w:fill="E7E6E6" w:themeFill="background2"/>
            <w:noWrap/>
            <w:hideMark/>
          </w:tcPr>
          <w:p w14:paraId="3FF8BF4F"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1.974,5</w:t>
            </w:r>
          </w:p>
        </w:tc>
      </w:tr>
      <w:tr w:rsidR="00AE5DED" w:rsidRPr="00671E8F" w14:paraId="58BE1ADB"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single" w:sz="4" w:space="0" w:color="002060"/>
              <w:right w:val="nil"/>
            </w:tcBorders>
            <w:noWrap/>
            <w:hideMark/>
          </w:tcPr>
          <w:p w14:paraId="7BEF594B"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Друге валуте (у RSD)</w:t>
            </w:r>
          </w:p>
        </w:tc>
        <w:tc>
          <w:tcPr>
            <w:tcW w:w="818" w:type="pct"/>
            <w:tcBorders>
              <w:top w:val="nil"/>
              <w:left w:val="nil"/>
              <w:bottom w:val="single" w:sz="4" w:space="0" w:color="002060"/>
              <w:right w:val="nil"/>
            </w:tcBorders>
            <w:noWrap/>
            <w:hideMark/>
          </w:tcPr>
          <w:p w14:paraId="28419FDD"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27.304,8</w:t>
            </w:r>
          </w:p>
        </w:tc>
        <w:tc>
          <w:tcPr>
            <w:tcW w:w="819" w:type="pct"/>
            <w:tcBorders>
              <w:top w:val="nil"/>
              <w:left w:val="nil"/>
              <w:bottom w:val="single" w:sz="4" w:space="0" w:color="002060"/>
              <w:right w:val="nil"/>
            </w:tcBorders>
            <w:noWrap/>
            <w:hideMark/>
          </w:tcPr>
          <w:p w14:paraId="789EA07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27.375,6</w:t>
            </w:r>
          </w:p>
        </w:tc>
        <w:tc>
          <w:tcPr>
            <w:tcW w:w="818" w:type="pct"/>
            <w:tcBorders>
              <w:top w:val="nil"/>
              <w:left w:val="nil"/>
              <w:bottom w:val="single" w:sz="4" w:space="0" w:color="002060"/>
              <w:right w:val="nil"/>
            </w:tcBorders>
            <w:noWrap/>
            <w:hideMark/>
          </w:tcPr>
          <w:p w14:paraId="787E3A5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22.793,5</w:t>
            </w:r>
          </w:p>
        </w:tc>
        <w:tc>
          <w:tcPr>
            <w:tcW w:w="819" w:type="pct"/>
            <w:tcBorders>
              <w:top w:val="nil"/>
              <w:left w:val="nil"/>
              <w:bottom w:val="single" w:sz="4" w:space="0" w:color="002060"/>
              <w:right w:val="nil"/>
            </w:tcBorders>
            <w:noWrap/>
            <w:hideMark/>
          </w:tcPr>
          <w:p w14:paraId="1D90D813"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19.221,7</w:t>
            </w:r>
          </w:p>
        </w:tc>
      </w:tr>
    </w:tbl>
    <w:p w14:paraId="1019281E" w14:textId="77777777" w:rsidR="00AE5DED" w:rsidRPr="00671E8F" w:rsidRDefault="00AE5DED" w:rsidP="00AE5DED">
      <w:pPr>
        <w:spacing w:line="257" w:lineRule="auto"/>
        <w:rPr>
          <w:rFonts w:ascii="Calibri" w:eastAsia="Calibri" w:hAnsi="Calibri" w:cs="Calibri"/>
          <w:bCs/>
          <w:szCs w:val="72"/>
        </w:rPr>
        <w:sectPr w:rsidR="00AE5DED" w:rsidRPr="00671E8F" w:rsidSect="00AE5DED">
          <w:type w:val="continuous"/>
          <w:pgSz w:w="12240" w:h="15840"/>
          <w:pgMar w:top="1440" w:right="1440" w:bottom="1440" w:left="1440" w:header="720" w:footer="720" w:gutter="0"/>
          <w:cols w:space="720"/>
        </w:sectPr>
      </w:pPr>
    </w:p>
    <w:p w14:paraId="3024B13C" w14:textId="77777777" w:rsidR="00AE5DED" w:rsidRPr="00671E8F" w:rsidRDefault="00AE5DED" w:rsidP="00AE5DED">
      <w:pPr>
        <w:spacing w:line="257" w:lineRule="auto"/>
        <w:rPr>
          <w:rFonts w:ascii="Calibri" w:eastAsia="Calibri" w:hAnsi="Calibri" w:cs="Calibri"/>
          <w:bCs/>
          <w:szCs w:val="72"/>
        </w:rPr>
      </w:pPr>
      <w:r w:rsidRPr="00671E8F">
        <w:rPr>
          <w:rFonts w:ascii="Calibri" w:eastAsia="Calibri" w:hAnsi="Calibri" w:cs="Calibri"/>
          <w:bCs/>
          <w:szCs w:val="72"/>
        </w:rPr>
        <w:t xml:space="preserve">Према подацима од 31. августа 2024. године, највећи део јавног дуга сектора државе Републике Србије је деноминован у еврима и износи 58,7%. Затим су највише заступљени динар са 21,8% и </w:t>
      </w:r>
      <w:r w:rsidRPr="00671E8F">
        <w:rPr>
          <w:rFonts w:ascii="Calibri" w:eastAsia="Calibri" w:hAnsi="Calibri" w:cs="Calibri"/>
          <w:bCs/>
          <w:szCs w:val="72"/>
        </w:rPr>
        <w:t xml:space="preserve">амерички долар са 12,9%. Остатак дуга је деноминован у специјалним правима вучења 6,3% и осталим валутама 0,4%. Захваљујући континуираном развоју домаћег тржишта хартија </w:t>
      </w:r>
      <w:r w:rsidRPr="00671E8F">
        <w:rPr>
          <w:rFonts w:ascii="Calibri" w:eastAsia="Calibri" w:hAnsi="Calibri" w:cs="Calibri"/>
          <w:bCs/>
          <w:szCs w:val="72"/>
        </w:rPr>
        <w:lastRenderedPageBreak/>
        <w:t>од вредности и постепеном повећању обима емисија у домаћој валути, дошло је до раста учешћа дуга у домаћој валути у претходним годинама, са 16,4%, на крају 2011. године на 30,4% у 2020, али након тога долази до његовог пада услед нешто већих потреба за финансирањем и промењених тржишних околности.</w:t>
      </w:r>
    </w:p>
    <w:p w14:paraId="0AB01654" w14:textId="77777777" w:rsidR="00AE5DED" w:rsidRPr="00671E8F" w:rsidRDefault="00AE5DED" w:rsidP="00AE5DED">
      <w:pPr>
        <w:spacing w:line="257" w:lineRule="auto"/>
        <w:jc w:val="center"/>
        <w:rPr>
          <w:rFonts w:ascii="Calibri" w:eastAsia="Calibri" w:hAnsi="Calibri" w:cs="Times New Roman"/>
          <w:b/>
          <w:color w:val="002060"/>
        </w:rPr>
      </w:pPr>
      <w:r w:rsidRPr="00671E8F">
        <w:rPr>
          <w:rFonts w:ascii="Calibri" w:eastAsia="Calibri" w:hAnsi="Calibri" w:cs="Times New Roman"/>
          <w:b/>
          <w:color w:val="002060"/>
        </w:rPr>
        <w:t>Валутна структура дуга сектора државе у периоду од 2021. до 31. августа 2024. године</w:t>
      </w:r>
    </w:p>
    <w:p w14:paraId="20554B97" w14:textId="77777777" w:rsidR="00AE5DED" w:rsidRPr="00671E8F" w:rsidRDefault="00AE5DED" w:rsidP="00AE5DED">
      <w:pPr>
        <w:spacing w:line="256" w:lineRule="auto"/>
        <w:rPr>
          <w:rFonts w:ascii="Calibri" w:eastAsia="Calibri" w:hAnsi="Calibri" w:cs="Times New Roman"/>
          <w:b/>
        </w:rPr>
      </w:pPr>
      <w:r w:rsidRPr="00671E8F">
        <w:rPr>
          <w:rFonts w:ascii="Calibri" w:eastAsia="Calibri" w:hAnsi="Calibri" w:cs="Times New Roman"/>
          <w:noProof/>
          <w:lang w:val="en-US"/>
        </w:rPr>
        <w:drawing>
          <wp:inline distT="0" distB="0" distL="0" distR="0" wp14:anchorId="2A07EBF5" wp14:editId="0CF3E415">
            <wp:extent cx="2797810" cy="1323833"/>
            <wp:effectExtent l="0" t="0" r="2540" b="0"/>
            <wp:docPr id="71"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3"/>
              </a:graphicData>
            </a:graphic>
          </wp:inline>
        </w:drawing>
      </w:r>
    </w:p>
    <w:p w14:paraId="0341A6BE" w14:textId="601AE587" w:rsidR="00AE5DED" w:rsidRPr="00671E8F" w:rsidRDefault="0098737C" w:rsidP="00AE5DED">
      <w:pPr>
        <w:rPr>
          <w:rFonts w:ascii="Calibri" w:eastAsia="Calibri" w:hAnsi="Calibri" w:cs="Calibri"/>
          <w:bCs/>
          <w:szCs w:val="72"/>
        </w:rPr>
      </w:pPr>
      <w:r w:rsidRPr="00671E8F">
        <w:rPr>
          <w:rFonts w:ascii="Calibri" w:eastAsia="Calibri" w:hAnsi="Calibri" w:cs="Calibri"/>
          <w:bCs/>
          <w:szCs w:val="72"/>
        </w:rPr>
        <w:t xml:space="preserve">На дан 31. август </w:t>
      </w:r>
      <w:r w:rsidR="00AE5DED" w:rsidRPr="00671E8F">
        <w:rPr>
          <w:rFonts w:ascii="Calibri" w:eastAsia="Calibri" w:hAnsi="Calibri" w:cs="Calibri"/>
          <w:bCs/>
          <w:szCs w:val="72"/>
        </w:rPr>
        <w:t>2024. године, највећи део јавног дуга сектора државе Републике Србије је са фиксном каматном стопом – 72,5%, док се на јавни дуг са варијабилном каматном стопом односи 27,5% укупног јавног дуга. Међу варијабилним каматним стопама највише је заступљен EURIBOR са учешћем од 70,0%, затим варијабилна каматна стопа за специјална права вучења 22,7% и Belibor 7,1%, док је учешће обавеза са осталим каматним стопама 0,2%.</w:t>
      </w:r>
    </w:p>
    <w:p w14:paraId="08A6740F" w14:textId="77777777" w:rsidR="00AE5DED" w:rsidRPr="00671E8F" w:rsidRDefault="00AE5DED" w:rsidP="00AE5DED">
      <w:pPr>
        <w:spacing w:line="256" w:lineRule="auto"/>
        <w:jc w:val="center"/>
        <w:rPr>
          <w:rFonts w:ascii="Calibri" w:eastAsia="Calibri" w:hAnsi="Calibri" w:cs="Calibri"/>
          <w:bCs/>
          <w:color w:val="002060"/>
          <w:szCs w:val="72"/>
        </w:rPr>
      </w:pPr>
      <w:r w:rsidRPr="00671E8F">
        <w:rPr>
          <w:rFonts w:ascii="Calibri" w:eastAsia="Calibri" w:hAnsi="Calibri" w:cs="Times New Roman"/>
          <w:b/>
          <w:color w:val="002060"/>
        </w:rPr>
        <w:t>Структура каматних стопа дуга сектора државе у периоду од 2021. до 31. августа 2024. године, %</w:t>
      </w:r>
    </w:p>
    <w:p w14:paraId="74BF1D4B" w14:textId="77777777" w:rsidR="00AE5DED" w:rsidRPr="00671E8F" w:rsidRDefault="00AE5DED" w:rsidP="00AE5DED">
      <w:pPr>
        <w:spacing w:line="256" w:lineRule="auto"/>
        <w:rPr>
          <w:rFonts w:ascii="Calibri" w:eastAsia="Calibri" w:hAnsi="Calibri" w:cs="Calibri"/>
          <w:bCs/>
          <w:szCs w:val="72"/>
        </w:rPr>
      </w:pPr>
      <w:r w:rsidRPr="00671E8F">
        <w:rPr>
          <w:rFonts w:ascii="Calibri" w:eastAsia="Calibri" w:hAnsi="Calibri" w:cs="Times New Roman"/>
          <w:noProof/>
          <w:lang w:val="en-US"/>
        </w:rPr>
        <w:drawing>
          <wp:inline distT="0" distB="0" distL="0" distR="0" wp14:anchorId="0381B773" wp14:editId="226764A3">
            <wp:extent cx="2743200" cy="1562668"/>
            <wp:effectExtent l="0" t="0" r="0" b="0"/>
            <wp:docPr id="64"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4"/>
              </a:graphicData>
            </a:graphic>
          </wp:inline>
        </w:drawing>
      </w:r>
    </w:p>
    <w:p w14:paraId="62D3BFC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У периоду од 2014. до 2021. године дошло је до значајног пада трошкова задуживања, који је најизраженији код државних хартија од вредности емитованих на домаћем тржишту. До пада је дошло захваљујући развоју тржишта капитала државних обвезница, расту кредитног рејтинга земље, односно смањењу премије ризика, ниској </w:t>
      </w:r>
      <w:r w:rsidRPr="00671E8F">
        <w:rPr>
          <w:rFonts w:ascii="Calibri" w:eastAsia="Calibri" w:hAnsi="Calibri" w:cs="Calibri"/>
          <w:bCs/>
          <w:szCs w:val="72"/>
        </w:rPr>
        <w:t>стопи инфлације и смањењу референтне каматне стопе НБС. Просечно пондерисана каматна стопа на јавни дуг је пала са 5,70% колико је износила на крају 2014. године на 2,53% колико је износила на крају 2021. године. Приметан је још израженији пад код динарских државних хартија од вредности, код којих је просечна пондерисана купонска стопа смањена са 10,68% на крају 2014. године на 5,10 % на крају августа 2024. године. Током последње три године, услед високе инфлације, дошло је до најинтензивнијег раста каматних стопа на међународном финансијском тржишту у овом веку. Ово се у извесној мери одразило и на раст трошкова задуживања Републике Србије. Тако је на крају августа 2024. године просечна пондерисана стопа на укупни јавни дуг износила 3,81%.</w:t>
      </w:r>
    </w:p>
    <w:p w14:paraId="7070CB18" w14:textId="77777777" w:rsidR="00AE5DED" w:rsidRPr="00671E8F" w:rsidRDefault="00AE5DED" w:rsidP="00AE5DED">
      <w:pPr>
        <w:spacing w:line="256" w:lineRule="auto"/>
        <w:jc w:val="center"/>
        <w:rPr>
          <w:rFonts w:ascii="Calibri" w:eastAsia="Calibri" w:hAnsi="Calibri" w:cs="Times New Roman"/>
          <w:b/>
          <w:color w:val="002060"/>
          <w:spacing w:val="-2"/>
        </w:rPr>
      </w:pPr>
      <w:r w:rsidRPr="00671E8F">
        <w:rPr>
          <w:rFonts w:ascii="Calibri" w:eastAsia="Calibri" w:hAnsi="Calibri" w:cs="Times New Roman"/>
          <w:b/>
          <w:color w:val="002060"/>
          <w:spacing w:val="-2"/>
        </w:rPr>
        <w:t>Преглед кретања просечних извршних каматних стопа на динарске државне хартије од вредности у периоду 2011–31. август 2024. године</w:t>
      </w:r>
    </w:p>
    <w:p w14:paraId="322C5274" w14:textId="77777777" w:rsidR="00AE5DED" w:rsidRPr="00671E8F" w:rsidRDefault="00AE5DED" w:rsidP="00AE5DED">
      <w:pPr>
        <w:spacing w:line="256" w:lineRule="auto"/>
        <w:jc w:val="center"/>
      </w:pPr>
      <w:r w:rsidRPr="00671E8F">
        <w:rPr>
          <w:noProof/>
        </w:rPr>
        <w:fldChar w:fldCharType="begin"/>
      </w:r>
      <w:r w:rsidRPr="00671E8F">
        <w:rPr>
          <w:noProof/>
        </w:rPr>
        <w:instrText xml:space="preserve"> LINK Excel.Sheet.12 "C:\\Users\\Admin\\Desktop\\Razni dokumenti\\Za Fiskalnu Strategiju\\Chart in Microsoft Word.xlsx!prosecne stope RSD![Chart in Microsoft Word.xlsx]prosecne stope RSD Chart 1" "" \a \p \* MERGEFORMAT </w:instrText>
      </w:r>
      <w:r w:rsidRPr="00671E8F">
        <w:rPr>
          <w:noProof/>
        </w:rPr>
        <w:fldChar w:fldCharType="separate"/>
      </w:r>
      <w:r w:rsidR="00000000">
        <w:rPr>
          <w:noProof/>
        </w:rPr>
        <w:object w:dxaOrig="6465" w:dyaOrig="5505" w14:anchorId="62C4A6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6.75pt;height:141pt" o:ole="">
            <v:imagedata r:id="rId205" o:title=""/>
          </v:shape>
        </w:object>
      </w:r>
      <w:r w:rsidRPr="00671E8F">
        <w:rPr>
          <w:noProof/>
        </w:rPr>
        <w:fldChar w:fldCharType="end"/>
      </w:r>
    </w:p>
    <w:p w14:paraId="6963F3FF" w14:textId="77777777" w:rsidR="00AE5DED" w:rsidRPr="00671E8F" w:rsidRDefault="00AE5DED" w:rsidP="00AE5DED">
      <w:pPr>
        <w:spacing w:line="256" w:lineRule="auto"/>
        <w:jc w:val="center"/>
        <w:rPr>
          <w:rFonts w:ascii="Calibri" w:eastAsia="Calibri" w:hAnsi="Calibri" w:cs="Times New Roman"/>
          <w:b/>
          <w:color w:val="002060"/>
          <w:spacing w:val="-2"/>
        </w:rPr>
      </w:pPr>
      <w:r w:rsidRPr="00671E8F">
        <w:rPr>
          <w:rFonts w:ascii="Calibri" w:eastAsia="Calibri" w:hAnsi="Calibri" w:cs="Times New Roman"/>
          <w:b/>
          <w:color w:val="002060"/>
          <w:spacing w:val="-2"/>
        </w:rPr>
        <w:t>Преглед кретања просечних извршних каматних стопа на евро деноминоване државне хартије од вредности у периоду 2011–31. август 2024. године</w:t>
      </w:r>
    </w:p>
    <w:p w14:paraId="3A945EE5" w14:textId="77777777" w:rsidR="00AE5DED" w:rsidRPr="00671E8F" w:rsidRDefault="00AE5DED" w:rsidP="00AE5DED">
      <w:pPr>
        <w:sectPr w:rsidR="00AE5DED" w:rsidRPr="00671E8F" w:rsidSect="00AE5DED">
          <w:type w:val="continuous"/>
          <w:pgSz w:w="12240" w:h="15840"/>
          <w:pgMar w:top="1440" w:right="1440" w:bottom="1440" w:left="1440" w:header="720" w:footer="720" w:gutter="0"/>
          <w:cols w:num="2" w:space="720"/>
        </w:sectPr>
      </w:pPr>
      <w:r w:rsidRPr="00671E8F">
        <w:fldChar w:fldCharType="begin"/>
      </w:r>
      <w:r w:rsidRPr="00671E8F">
        <w:instrText xml:space="preserve"> LINK Excel.Sheet.12 "C:\\Users\\Admin\\Desktop\\Razni dokumenti\\Za Fiskalnu Strategiju\\Chart in Microsoft Word.xlsx!prosecne stope EUR![Chart in Microsoft Word.xlsx]prosecne stope EUR Chart 2" "" \a \p \* MERGEFORMAT </w:instrText>
      </w:r>
      <w:r w:rsidRPr="00671E8F">
        <w:fldChar w:fldCharType="separate"/>
      </w:r>
      <w:r w:rsidR="00000000">
        <w:object w:dxaOrig="6210" w:dyaOrig="5490" w14:anchorId="2D3B2E63">
          <v:shape id="_x0000_i1026" type="#_x0000_t75" style="width:219pt;height:153.75pt" o:ole="" o:preferrelative="f">
            <v:imagedata r:id="rId206" o:title=""/>
          </v:shape>
        </w:object>
      </w:r>
      <w:r w:rsidRPr="00671E8F">
        <w:fldChar w:fldCharType="end"/>
      </w:r>
    </w:p>
    <w:p w14:paraId="69094830" w14:textId="77777777" w:rsidR="00AE5DED" w:rsidRPr="00671E8F" w:rsidRDefault="00AE5DED" w:rsidP="00AE5DED">
      <w:pPr>
        <w:jc w:val="center"/>
      </w:pPr>
      <w:r w:rsidRPr="00671E8F">
        <w:rPr>
          <w:rFonts w:ascii="Calibri" w:eastAsia="Calibri" w:hAnsi="Calibri" w:cs="Times New Roman"/>
          <w:b/>
          <w:bCs/>
          <w:color w:val="002060"/>
          <w:spacing w:val="-4"/>
          <w:sz w:val="18"/>
          <w:szCs w:val="18"/>
        </w:rPr>
        <w:lastRenderedPageBreak/>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2027 / 3,125%)</w:t>
      </w:r>
    </w:p>
    <w:p w14:paraId="242340D7" w14:textId="77777777" w:rsidR="00AE5DED" w:rsidRPr="00671E8F" w:rsidRDefault="00AE5DED" w:rsidP="00AE5DED">
      <w:pPr>
        <w:spacing w:line="256" w:lineRule="auto"/>
        <w:jc w:val="center"/>
        <w:rPr>
          <w:noProof/>
        </w:rPr>
      </w:pPr>
      <w:r w:rsidRPr="00671E8F">
        <w:rPr>
          <w:noProof/>
        </w:rPr>
        <w:fldChar w:fldCharType="begin"/>
      </w:r>
      <w:r w:rsidRPr="00671E8F">
        <w:rPr>
          <w:noProof/>
        </w:rPr>
        <w:instrText xml:space="preserve"> LINK Excel.Sheet.12 "C:\\Users\\Admin\\Desktop\\Razni dokumenti\\Za Fiskalnu Strategiju\\Eurobondovi kriva prinosa.xlsx!EUROBOND 2027 offline![Eurobondovi kriva prinosa.xlsx]EUROBOND 2027 offline Chart 2" "" \a \p \* MERGEFORMAT </w:instrText>
      </w:r>
      <w:r w:rsidRPr="00671E8F">
        <w:rPr>
          <w:noProof/>
        </w:rPr>
        <w:fldChar w:fldCharType="separate"/>
      </w:r>
      <w:r w:rsidR="00000000">
        <w:rPr>
          <w:noProof/>
        </w:rPr>
        <w:object w:dxaOrig="6240" w:dyaOrig="5670" w14:anchorId="526F6940">
          <v:shape id="_x0000_i1027" type="#_x0000_t75" style="width:201.75pt;height:171pt" o:ole="" o:preferrelative="f">
            <v:imagedata r:id="rId207" o:title=""/>
            <o:lock v:ext="edit" aspectratio="f"/>
          </v:shape>
        </w:object>
      </w:r>
      <w:r w:rsidRPr="00671E8F">
        <w:rPr>
          <w:noProof/>
        </w:rPr>
        <w:fldChar w:fldCharType="end"/>
      </w:r>
    </w:p>
    <w:p w14:paraId="777B450E"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2029 / 1,500%)</w:t>
      </w:r>
    </w:p>
    <w:p w14:paraId="4F1518D4" w14:textId="77777777" w:rsidR="00AE5DED" w:rsidRPr="00671E8F" w:rsidRDefault="00AE5DED" w:rsidP="00AE5DED">
      <w:pPr>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2029 offline![Eurobondovi kriva prinosa.xlsx]EUROBOND 2029 offline Chart 5"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17259B90">
          <v:shape id="_x0000_i1028" type="#_x0000_t75" style="width:198pt;height:174pt" o:ole="" o:preferrelative="f">
            <v:imagedata r:id="rId208" o:title=""/>
            <o:lock v:ext="edit" aspectratio="f"/>
          </v:shape>
        </w:object>
      </w:r>
      <w:r w:rsidRPr="00671E8F">
        <w:rPr>
          <w:rFonts w:ascii="Calibri" w:eastAsia="Calibri" w:hAnsi="Calibri" w:cs="Times New Roman"/>
          <w:b/>
          <w:bCs/>
          <w:color w:val="002060"/>
          <w:spacing w:val="-4"/>
        </w:rPr>
        <w:fldChar w:fldCharType="end"/>
      </w:r>
    </w:p>
    <w:p w14:paraId="776668D6"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2036 / 2,050%)</w:t>
      </w:r>
    </w:p>
    <w:p w14:paraId="2ED0C232" w14:textId="77777777" w:rsidR="00AE5DED" w:rsidRPr="00671E8F" w:rsidRDefault="00AE5DED" w:rsidP="00AE5DED">
      <w:pPr>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2036 offline![Eurobondovi kriva prinosa.xlsx]EUROBOND 2036 offline Chart 2"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25" w:dyaOrig="5791" w14:anchorId="18CD9897">
          <v:shape id="_x0000_i1029" type="#_x0000_t75" style="width:204pt;height:174pt" o:ole="" o:preferrelative="f">
            <v:imagedata r:id="rId209" o:title=""/>
            <o:lock v:ext="edit" aspectratio="f"/>
          </v:shape>
        </w:object>
      </w:r>
      <w:r w:rsidRPr="00671E8F">
        <w:rPr>
          <w:rFonts w:ascii="Calibri" w:eastAsia="Calibri" w:hAnsi="Calibri" w:cs="Times New Roman"/>
          <w:b/>
          <w:bCs/>
          <w:color w:val="002060"/>
          <w:spacing w:val="-4"/>
        </w:rPr>
        <w:fldChar w:fldCharType="end"/>
      </w:r>
    </w:p>
    <w:p w14:paraId="19B6B3BC"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1119F649"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2028 / 1,000%)</w:t>
      </w:r>
    </w:p>
    <w:p w14:paraId="2C0A10D5"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2028 offline![Eurobondovi kriva prinosa.xlsx]EUROBOND 2028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226391F4">
          <v:shape id="_x0000_i1030" type="#_x0000_t75" style="width:201.75pt;height:181.5pt" o:ole="" o:preferrelative="f">
            <v:imagedata r:id="rId210" o:title=""/>
            <o:lock v:ext="edit" aspectratio="f"/>
          </v:shape>
        </w:object>
      </w:r>
      <w:r w:rsidRPr="00671E8F">
        <w:rPr>
          <w:rFonts w:ascii="Calibri" w:eastAsia="Calibri" w:hAnsi="Calibri" w:cs="Times New Roman"/>
          <w:b/>
          <w:bCs/>
          <w:color w:val="002060"/>
          <w:spacing w:val="-4"/>
        </w:rPr>
        <w:fldChar w:fldCharType="end"/>
      </w:r>
    </w:p>
    <w:p w14:paraId="19348BB4"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2033 / 1,650%)</w:t>
      </w:r>
    </w:p>
    <w:p w14:paraId="0FE04771"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2033 offline![Eurobondovi kriva prinosa.xlsx]EUROBOND 2033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60E300DA">
          <v:shape id="_x0000_i1031" type="#_x0000_t75" style="width:198pt;height:171pt" o:ole="" o:preferrelative="f">
            <v:imagedata r:id="rId211" o:title=""/>
            <o:lock v:ext="edit" aspectratio="f"/>
          </v:shape>
        </w:object>
      </w:r>
      <w:r w:rsidRPr="00671E8F">
        <w:rPr>
          <w:rFonts w:ascii="Calibri" w:eastAsia="Calibri" w:hAnsi="Calibri" w:cs="Times New Roman"/>
          <w:b/>
          <w:bCs/>
          <w:color w:val="002060"/>
          <w:spacing w:val="-4"/>
        </w:rPr>
        <w:fldChar w:fldCharType="end"/>
      </w:r>
    </w:p>
    <w:p w14:paraId="2A2185BB"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2028 / 6,250%)</w:t>
      </w:r>
    </w:p>
    <w:p w14:paraId="63141BF1"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2028-2 offline![Eurobondovi kriva prinosa.xlsx]EUROBOND 2028-2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7FA48269">
          <v:shape id="_x0000_i1032" type="#_x0000_t75" style="width:198pt;height:171pt" o:ole="" o:preferrelative="f">
            <v:imagedata r:id="rId212" o:title=""/>
            <o:lock v:ext="edit" aspectratio="f"/>
          </v:shape>
        </w:object>
      </w:r>
      <w:r w:rsidRPr="00671E8F">
        <w:rPr>
          <w:rFonts w:ascii="Calibri" w:eastAsia="Calibri" w:hAnsi="Calibri" w:cs="Times New Roman"/>
          <w:b/>
          <w:bCs/>
          <w:color w:val="002060"/>
          <w:spacing w:val="-4"/>
        </w:rPr>
        <w:fldChar w:fldCharType="end"/>
      </w:r>
      <w:r w:rsidRPr="00671E8F">
        <w:rPr>
          <w:rFonts w:ascii="Calibri" w:eastAsia="Calibri" w:hAnsi="Calibri" w:cs="Times New Roman"/>
          <w:b/>
          <w:bCs/>
          <w:color w:val="002060"/>
          <w:spacing w:val="-4"/>
          <w:sz w:val="18"/>
          <w:szCs w:val="18"/>
        </w:rPr>
        <w:t xml:space="preserve"> </w:t>
      </w:r>
    </w:p>
    <w:p w14:paraId="1580D18F"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p>
    <w:p w14:paraId="09F408BC"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p>
    <w:p w14:paraId="71FFC718"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p>
    <w:p w14:paraId="7C85E9C3" w14:textId="77777777" w:rsidR="00AE5DED" w:rsidRPr="00671E8F" w:rsidRDefault="00AE5DED" w:rsidP="00AE5DED">
      <w:pPr>
        <w:spacing w:after="0" w:line="240" w:lineRule="auto"/>
        <w:jc w:val="center"/>
        <w:rPr>
          <w:rFonts w:ascii="Calibri" w:eastAsia="Calibri" w:hAnsi="Calibri" w:cs="Times New Roman"/>
          <w:b/>
          <w:bCs/>
          <w:color w:val="002060"/>
          <w:spacing w:val="-4"/>
          <w:sz w:val="18"/>
          <w:szCs w:val="18"/>
        </w:rPr>
      </w:pPr>
      <w:r w:rsidRPr="00671E8F">
        <w:rPr>
          <w:rFonts w:ascii="Calibri" w:eastAsia="Calibri" w:hAnsi="Calibri" w:cs="Times New Roman"/>
          <w:b/>
          <w:bCs/>
          <w:color w:val="002060"/>
          <w:spacing w:val="-4"/>
          <w:sz w:val="18"/>
          <w:szCs w:val="18"/>
        </w:rPr>
        <w:lastRenderedPageBreak/>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2030 / 2,125%)</w:t>
      </w:r>
    </w:p>
    <w:p w14:paraId="3865DC65"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2030 offline![Eurobondovi kriva prinosa.xlsx]EUROBOND 2030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652BE077">
          <v:shape id="_x0000_i1033" type="#_x0000_t75" style="width:195pt;height:166.5pt" o:ole="" o:preferrelative="f">
            <v:imagedata r:id="rId213" o:title=""/>
          </v:shape>
        </w:object>
      </w:r>
      <w:r w:rsidRPr="00671E8F">
        <w:rPr>
          <w:rFonts w:ascii="Calibri" w:eastAsia="Calibri" w:hAnsi="Calibri" w:cs="Times New Roman"/>
          <w:b/>
          <w:bCs/>
          <w:color w:val="002060"/>
          <w:spacing w:val="-4"/>
        </w:rPr>
        <w:fldChar w:fldCharType="end"/>
      </w:r>
    </w:p>
    <w:p w14:paraId="36C4E097"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2033 / 6,500%)</w:t>
      </w: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2033-2 offline![Eurobondovi kriva prinosa.xlsx]EUROBOND 2033-2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240" w:dyaOrig="5670" w14:anchorId="5F4F2BD7">
          <v:shape id="_x0000_i1034" type="#_x0000_t75" style="width:198pt;height:168.75pt" o:ole="" o:preferrelative="f">
            <v:imagedata r:id="rId214" o:title=""/>
            <o:lock v:ext="edit" aspectratio="f"/>
          </v:shape>
        </w:object>
      </w:r>
      <w:r w:rsidRPr="00671E8F">
        <w:rPr>
          <w:rFonts w:ascii="Calibri" w:eastAsia="Calibri" w:hAnsi="Calibri" w:cs="Times New Roman"/>
          <w:b/>
          <w:bCs/>
          <w:color w:val="002060"/>
          <w:spacing w:val="-4"/>
        </w:rPr>
        <w:fldChar w:fldCharType="end"/>
      </w:r>
    </w:p>
    <w:p w14:paraId="39E8C8CA" w14:textId="77777777" w:rsidR="00AE5DED" w:rsidRPr="00671E8F" w:rsidRDefault="00AE5DED" w:rsidP="00AE5DED">
      <w:pPr>
        <w:spacing w:after="0" w:line="240"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sz w:val="18"/>
          <w:szCs w:val="18"/>
        </w:rPr>
        <w:t xml:space="preserve">Преглед кретања цене и приноса на </w:t>
      </w:r>
      <w:r w:rsidRPr="00671E8F">
        <w:rPr>
          <w:rFonts w:ascii="Calibri" w:eastAsia="Calibri" w:hAnsi="Calibri" w:cs="Times New Roman"/>
          <w:b/>
          <w:bCs/>
          <w:color w:val="002060"/>
          <w:spacing w:val="-4"/>
          <w:sz w:val="18"/>
          <w:szCs w:val="18"/>
        </w:rPr>
        <w:br w:type="textWrapping" w:clear="all"/>
        <w:t>еврообвезницу Србија (EB 2034 / 6,000%)</w:t>
      </w:r>
    </w:p>
    <w:p w14:paraId="326BAF3F" w14:textId="77777777" w:rsidR="00AE5DED" w:rsidRPr="00671E8F" w:rsidRDefault="00AE5DED" w:rsidP="00AE5DED">
      <w:pPr>
        <w:spacing w:line="256" w:lineRule="auto"/>
        <w:jc w:val="center"/>
        <w:rPr>
          <w:rFonts w:ascii="Calibri" w:eastAsia="Calibri" w:hAnsi="Calibri" w:cs="Times New Roman"/>
          <w:b/>
          <w:bCs/>
          <w:color w:val="002060"/>
          <w:spacing w:val="-4"/>
        </w:rPr>
      </w:pPr>
      <w:r w:rsidRPr="00671E8F">
        <w:rPr>
          <w:rFonts w:ascii="Calibri" w:eastAsia="Calibri" w:hAnsi="Calibri" w:cs="Times New Roman"/>
          <w:b/>
          <w:bCs/>
          <w:color w:val="002060"/>
          <w:spacing w:val="-4"/>
        </w:rPr>
        <w:fldChar w:fldCharType="begin"/>
      </w:r>
      <w:r w:rsidRPr="00671E8F">
        <w:rPr>
          <w:rFonts w:ascii="Calibri" w:eastAsia="Calibri" w:hAnsi="Calibri" w:cs="Times New Roman"/>
          <w:b/>
          <w:bCs/>
          <w:color w:val="002060"/>
          <w:spacing w:val="-4"/>
        </w:rPr>
        <w:instrText xml:space="preserve"> LINK Excel.Sheet.12 "C:\\Users\\Admin\\Desktop\\Razni dokumenti\\Za Fiskalnu Strategiju\\Eurobondovi kriva prinosa.xlsx!EUROBOND 2034 offline![Eurobondovi kriva prinosa.xlsx]EUROBOND 2034 offline Chart 1" "" \a \p \* MERGEFORMAT </w:instrText>
      </w:r>
      <w:r w:rsidRPr="00671E8F">
        <w:rPr>
          <w:rFonts w:ascii="Calibri" w:eastAsia="Calibri" w:hAnsi="Calibri" w:cs="Times New Roman"/>
          <w:b/>
          <w:bCs/>
          <w:color w:val="002060"/>
          <w:spacing w:val="-4"/>
        </w:rPr>
        <w:fldChar w:fldCharType="separate"/>
      </w:r>
      <w:r w:rsidR="00000000">
        <w:rPr>
          <w:rFonts w:ascii="Calibri" w:eastAsia="Calibri" w:hAnsi="Calibri" w:cs="Times New Roman"/>
          <w:b/>
          <w:bCs/>
          <w:color w:val="002060"/>
          <w:spacing w:val="-4"/>
        </w:rPr>
        <w:object w:dxaOrig="6360" w:dyaOrig="4891" w14:anchorId="7B51C58C">
          <v:shape id="_x0000_i1035" type="#_x0000_t75" style="width:193.5pt;height:166.5pt" o:ole="">
            <v:imagedata r:id="rId215" o:title=""/>
          </v:shape>
        </w:object>
      </w:r>
      <w:r w:rsidRPr="00671E8F">
        <w:rPr>
          <w:rFonts w:ascii="Calibri" w:eastAsia="Calibri" w:hAnsi="Calibri" w:cs="Times New Roman"/>
          <w:b/>
          <w:bCs/>
          <w:color w:val="002060"/>
          <w:spacing w:val="-4"/>
        </w:rPr>
        <w:fldChar w:fldCharType="end"/>
      </w:r>
    </w:p>
    <w:p w14:paraId="682ED0C3"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670BB09D"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468366D4"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3A0CAD28" w14:textId="77777777" w:rsidR="00AE5DED" w:rsidRPr="00671E8F" w:rsidRDefault="00AE5DED" w:rsidP="00AE5DED">
      <w:pPr>
        <w:spacing w:line="256" w:lineRule="auto"/>
        <w:jc w:val="center"/>
        <w:rPr>
          <w:rFonts w:ascii="Calibri" w:eastAsia="Calibri" w:hAnsi="Calibri" w:cs="Times New Roman"/>
          <w:b/>
          <w:bCs/>
          <w:color w:val="002060"/>
          <w:spacing w:val="-4"/>
        </w:rPr>
      </w:pPr>
    </w:p>
    <w:p w14:paraId="135B9EB7" w14:textId="77777777" w:rsidR="00AE5DED" w:rsidRPr="00671E8F" w:rsidRDefault="00AE5DED" w:rsidP="00AE5DED">
      <w:pPr>
        <w:spacing w:line="256" w:lineRule="auto"/>
        <w:jc w:val="center"/>
        <w:rPr>
          <w:rFonts w:ascii="Calibri" w:eastAsia="Calibri" w:hAnsi="Calibri" w:cs="Times New Roman"/>
          <w:b/>
          <w:bCs/>
          <w:color w:val="002060"/>
          <w:spacing w:val="-4"/>
        </w:rPr>
        <w:sectPr w:rsidR="00AE5DED" w:rsidRPr="00671E8F" w:rsidSect="00AE5DED">
          <w:type w:val="continuous"/>
          <w:pgSz w:w="12240" w:h="15840"/>
          <w:pgMar w:top="1440" w:right="1440" w:bottom="1440" w:left="1440" w:header="720" w:footer="720" w:gutter="0"/>
          <w:cols w:num="2" w:space="720"/>
        </w:sectPr>
      </w:pPr>
    </w:p>
    <w:p w14:paraId="3CE49B63" w14:textId="16D68260"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 xml:space="preserve">Табела </w:t>
      </w:r>
      <w:r w:rsidR="00B265DD" w:rsidRPr="00671E8F">
        <w:rPr>
          <w:rFonts w:ascii="Calibri" w:eastAsia="Calibri" w:hAnsi="Calibri" w:cs="Times New Roman"/>
          <w:b/>
          <w:color w:val="002060"/>
        </w:rPr>
        <w:t>29</w:t>
      </w:r>
      <w:r w:rsidRPr="00671E8F">
        <w:rPr>
          <w:rFonts w:ascii="Calibri" w:eastAsia="Calibri" w:hAnsi="Calibri" w:cs="Times New Roman"/>
          <w:b/>
          <w:color w:val="002060"/>
        </w:rPr>
        <w:t>. Пројекције отплате камата и главница до 2027. године</w:t>
      </w:r>
      <w:r w:rsidRPr="00671E8F">
        <w:rPr>
          <w:rFonts w:ascii="Calibri" w:eastAsia="Calibri" w:hAnsi="Calibri" w:cs="Times New Roman"/>
          <w:color w:val="002060"/>
        </w:rPr>
        <w:t xml:space="preserve"> </w:t>
      </w:r>
      <w:r w:rsidRPr="00671E8F">
        <w:rPr>
          <w:rFonts w:ascii="Calibri" w:eastAsia="Calibri" w:hAnsi="Calibri" w:cs="Times New Roman"/>
          <w:b/>
          <w:color w:val="002060"/>
        </w:rPr>
        <w:t>(млрд динара)</w:t>
      </w:r>
    </w:p>
    <w:tbl>
      <w:tblPr>
        <w:tblStyle w:val="LightShading-Accent1222"/>
        <w:tblW w:w="5000" w:type="pct"/>
        <w:tblInd w:w="0" w:type="dxa"/>
        <w:tblLook w:val="0420" w:firstRow="1" w:lastRow="0" w:firstColumn="0" w:lastColumn="0" w:noHBand="0" w:noVBand="1"/>
      </w:tblPr>
      <w:tblGrid>
        <w:gridCol w:w="4937"/>
        <w:gridCol w:w="1105"/>
        <w:gridCol w:w="1106"/>
        <w:gridCol w:w="1106"/>
        <w:gridCol w:w="1106"/>
      </w:tblGrid>
      <w:tr w:rsidR="00AE5DED" w:rsidRPr="00671E8F" w14:paraId="2072D959" w14:textId="77777777" w:rsidTr="00AE5DED">
        <w:trPr>
          <w:cnfStyle w:val="100000000000" w:firstRow="1" w:lastRow="0" w:firstColumn="0" w:lastColumn="0" w:oddVBand="0" w:evenVBand="0" w:oddHBand="0" w:evenHBand="0" w:firstRowFirstColumn="0" w:firstRowLastColumn="0" w:lastRowFirstColumn="0" w:lastRowLastColumn="0"/>
          <w:trHeight w:val="226"/>
        </w:trPr>
        <w:tc>
          <w:tcPr>
            <w:tcW w:w="2637" w:type="pct"/>
            <w:tcBorders>
              <w:top w:val="single" w:sz="4" w:space="0" w:color="002060"/>
              <w:bottom w:val="single" w:sz="4" w:space="0" w:color="FFFFFF" w:themeColor="background1"/>
            </w:tcBorders>
            <w:noWrap/>
            <w:hideMark/>
          </w:tcPr>
          <w:p w14:paraId="2929F4B1" w14:textId="77777777" w:rsidR="00AE5DED" w:rsidRPr="00671E8F" w:rsidRDefault="00AE5DED" w:rsidP="00AE5DED">
            <w:pPr>
              <w:rPr>
                <w:rFonts w:ascii="Calibri" w:eastAsia="Times New Roman" w:hAnsi="Calibri" w:cs="Calibri"/>
                <w:color w:val="002060"/>
                <w:sz w:val="18"/>
                <w:szCs w:val="18"/>
                <w:lang w:eastAsia="ja-JP"/>
              </w:rPr>
            </w:pPr>
            <w:r w:rsidRPr="00671E8F">
              <w:rPr>
                <w:rFonts w:ascii="Calibri" w:eastAsia="Times New Roman" w:hAnsi="Calibri" w:cs="Calibri"/>
                <w:color w:val="002060"/>
                <w:sz w:val="18"/>
                <w:szCs w:val="18"/>
                <w:lang w:eastAsia="ja-JP"/>
              </w:rPr>
              <w:t> </w:t>
            </w:r>
          </w:p>
        </w:tc>
        <w:tc>
          <w:tcPr>
            <w:tcW w:w="590" w:type="pct"/>
            <w:tcBorders>
              <w:top w:val="single" w:sz="4" w:space="0" w:color="002060"/>
              <w:bottom w:val="single" w:sz="4" w:space="0" w:color="002060"/>
            </w:tcBorders>
            <w:noWrap/>
            <w:hideMark/>
          </w:tcPr>
          <w:p w14:paraId="499CE7F7"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2024 п</w:t>
            </w:r>
          </w:p>
        </w:tc>
        <w:tc>
          <w:tcPr>
            <w:tcW w:w="591" w:type="pct"/>
            <w:tcBorders>
              <w:top w:val="single" w:sz="4" w:space="0" w:color="002060"/>
              <w:bottom w:val="single" w:sz="4" w:space="0" w:color="002060"/>
            </w:tcBorders>
            <w:noWrap/>
            <w:hideMark/>
          </w:tcPr>
          <w:p w14:paraId="237BDB61"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2025 п</w:t>
            </w:r>
          </w:p>
        </w:tc>
        <w:tc>
          <w:tcPr>
            <w:tcW w:w="591" w:type="pct"/>
            <w:tcBorders>
              <w:top w:val="single" w:sz="4" w:space="0" w:color="002060"/>
              <w:bottom w:val="single" w:sz="4" w:space="0" w:color="002060"/>
            </w:tcBorders>
            <w:noWrap/>
            <w:hideMark/>
          </w:tcPr>
          <w:p w14:paraId="619BDA40"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2026 п</w:t>
            </w:r>
          </w:p>
        </w:tc>
        <w:tc>
          <w:tcPr>
            <w:tcW w:w="591" w:type="pct"/>
            <w:tcBorders>
              <w:top w:val="single" w:sz="4" w:space="0" w:color="002060"/>
              <w:bottom w:val="single" w:sz="4" w:space="0" w:color="002060"/>
            </w:tcBorders>
            <w:noWrap/>
            <w:hideMark/>
          </w:tcPr>
          <w:p w14:paraId="3310A410"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2027 п</w:t>
            </w:r>
          </w:p>
        </w:tc>
      </w:tr>
      <w:tr w:rsidR="00AE5DED" w:rsidRPr="00671E8F" w14:paraId="28830942" w14:textId="77777777" w:rsidTr="00AE5DED">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single" w:sz="4" w:space="0" w:color="FFFFFF" w:themeColor="background1"/>
              <w:bottom w:val="nil"/>
            </w:tcBorders>
            <w:shd w:val="clear" w:color="auto" w:fill="E7E6E6" w:themeFill="background2"/>
            <w:noWrap/>
            <w:hideMark/>
          </w:tcPr>
          <w:p w14:paraId="7108F582"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bCs/>
                <w:color w:val="002060"/>
                <w:sz w:val="18"/>
                <w:szCs w:val="18"/>
              </w:rPr>
              <w:t>Главница*</w:t>
            </w:r>
          </w:p>
        </w:tc>
        <w:tc>
          <w:tcPr>
            <w:tcW w:w="590" w:type="pct"/>
            <w:tcBorders>
              <w:top w:val="single" w:sz="4" w:space="0" w:color="002060"/>
              <w:bottom w:val="nil"/>
            </w:tcBorders>
            <w:shd w:val="clear" w:color="auto" w:fill="E7E6E6" w:themeFill="background2"/>
            <w:noWrap/>
            <w:hideMark/>
          </w:tcPr>
          <w:p w14:paraId="7FBF75AF"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717,5</w:t>
            </w:r>
          </w:p>
        </w:tc>
        <w:tc>
          <w:tcPr>
            <w:tcW w:w="591" w:type="pct"/>
            <w:tcBorders>
              <w:top w:val="single" w:sz="4" w:space="0" w:color="002060"/>
              <w:bottom w:val="nil"/>
            </w:tcBorders>
            <w:shd w:val="clear" w:color="auto" w:fill="E7E6E6" w:themeFill="background2"/>
            <w:noWrap/>
            <w:hideMark/>
          </w:tcPr>
          <w:p w14:paraId="6F12A558"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480,1</w:t>
            </w:r>
          </w:p>
        </w:tc>
        <w:tc>
          <w:tcPr>
            <w:tcW w:w="591" w:type="pct"/>
            <w:tcBorders>
              <w:top w:val="single" w:sz="4" w:space="0" w:color="002060"/>
              <w:bottom w:val="nil"/>
            </w:tcBorders>
            <w:shd w:val="clear" w:color="auto" w:fill="E7E6E6" w:themeFill="background2"/>
            <w:noWrap/>
            <w:hideMark/>
          </w:tcPr>
          <w:p w14:paraId="395E1B07"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785,2</w:t>
            </w:r>
          </w:p>
        </w:tc>
        <w:tc>
          <w:tcPr>
            <w:tcW w:w="591" w:type="pct"/>
            <w:tcBorders>
              <w:top w:val="single" w:sz="4" w:space="0" w:color="002060"/>
              <w:bottom w:val="nil"/>
            </w:tcBorders>
            <w:shd w:val="clear" w:color="auto" w:fill="E7E6E6" w:themeFill="background2"/>
            <w:noWrap/>
            <w:hideMark/>
          </w:tcPr>
          <w:p w14:paraId="6A3FB15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725,3</w:t>
            </w:r>
          </w:p>
        </w:tc>
      </w:tr>
      <w:tr w:rsidR="00AE5DED" w:rsidRPr="00671E8F" w14:paraId="47D4D299" w14:textId="77777777" w:rsidTr="00AE5DED">
        <w:trPr>
          <w:trHeight w:val="226"/>
        </w:trPr>
        <w:tc>
          <w:tcPr>
            <w:tcW w:w="2637" w:type="pct"/>
            <w:tcBorders>
              <w:top w:val="nil"/>
              <w:left w:val="nil"/>
              <w:bottom w:val="nil"/>
              <w:right w:val="nil"/>
            </w:tcBorders>
            <w:noWrap/>
            <w:hideMark/>
          </w:tcPr>
          <w:p w14:paraId="4606FAB9"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Камата</w:t>
            </w:r>
          </w:p>
        </w:tc>
        <w:tc>
          <w:tcPr>
            <w:tcW w:w="590" w:type="pct"/>
            <w:tcBorders>
              <w:top w:val="nil"/>
              <w:left w:val="nil"/>
              <w:bottom w:val="nil"/>
              <w:right w:val="nil"/>
            </w:tcBorders>
            <w:noWrap/>
            <w:hideMark/>
          </w:tcPr>
          <w:p w14:paraId="14CD6B91"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185,1</w:t>
            </w:r>
          </w:p>
        </w:tc>
        <w:tc>
          <w:tcPr>
            <w:tcW w:w="591" w:type="pct"/>
            <w:tcBorders>
              <w:top w:val="nil"/>
              <w:left w:val="nil"/>
              <w:bottom w:val="nil"/>
              <w:right w:val="nil"/>
            </w:tcBorders>
            <w:noWrap/>
            <w:hideMark/>
          </w:tcPr>
          <w:p w14:paraId="27A463C8"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220,2</w:t>
            </w:r>
          </w:p>
        </w:tc>
        <w:tc>
          <w:tcPr>
            <w:tcW w:w="591" w:type="pct"/>
            <w:tcBorders>
              <w:top w:val="nil"/>
              <w:left w:val="nil"/>
              <w:bottom w:val="nil"/>
              <w:right w:val="nil"/>
            </w:tcBorders>
            <w:noWrap/>
            <w:hideMark/>
          </w:tcPr>
          <w:p w14:paraId="6894BBC8"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233,2</w:t>
            </w:r>
          </w:p>
        </w:tc>
        <w:tc>
          <w:tcPr>
            <w:tcW w:w="591" w:type="pct"/>
            <w:tcBorders>
              <w:top w:val="nil"/>
              <w:left w:val="nil"/>
              <w:bottom w:val="nil"/>
              <w:right w:val="nil"/>
            </w:tcBorders>
            <w:noWrap/>
            <w:hideMark/>
          </w:tcPr>
          <w:p w14:paraId="2CF4D67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234,1</w:t>
            </w:r>
          </w:p>
        </w:tc>
      </w:tr>
      <w:tr w:rsidR="00AE5DED" w:rsidRPr="00671E8F" w14:paraId="2FA5CA2F" w14:textId="77777777" w:rsidTr="00AE5DED">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nil"/>
              <w:bottom w:val="nil"/>
            </w:tcBorders>
            <w:shd w:val="clear" w:color="auto" w:fill="E7E6E6" w:themeFill="background2"/>
            <w:noWrap/>
            <w:hideMark/>
          </w:tcPr>
          <w:p w14:paraId="4AA00DF9"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bCs/>
                <w:color w:val="002060"/>
                <w:sz w:val="18"/>
                <w:szCs w:val="18"/>
              </w:rPr>
              <w:t>Укупно</w:t>
            </w:r>
          </w:p>
        </w:tc>
        <w:tc>
          <w:tcPr>
            <w:tcW w:w="590" w:type="pct"/>
            <w:tcBorders>
              <w:top w:val="nil"/>
              <w:bottom w:val="nil"/>
            </w:tcBorders>
            <w:shd w:val="clear" w:color="auto" w:fill="E7E6E6" w:themeFill="background2"/>
            <w:noWrap/>
            <w:hideMark/>
          </w:tcPr>
          <w:p w14:paraId="7944F3D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902,6</w:t>
            </w:r>
          </w:p>
        </w:tc>
        <w:tc>
          <w:tcPr>
            <w:tcW w:w="591" w:type="pct"/>
            <w:tcBorders>
              <w:top w:val="nil"/>
              <w:bottom w:val="nil"/>
            </w:tcBorders>
            <w:shd w:val="clear" w:color="auto" w:fill="E7E6E6" w:themeFill="background2"/>
            <w:noWrap/>
            <w:hideMark/>
          </w:tcPr>
          <w:p w14:paraId="654BEFB3"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700,3</w:t>
            </w:r>
          </w:p>
        </w:tc>
        <w:tc>
          <w:tcPr>
            <w:tcW w:w="591" w:type="pct"/>
            <w:tcBorders>
              <w:top w:val="nil"/>
              <w:bottom w:val="nil"/>
            </w:tcBorders>
            <w:shd w:val="clear" w:color="auto" w:fill="E7E6E6" w:themeFill="background2"/>
            <w:noWrap/>
            <w:hideMark/>
          </w:tcPr>
          <w:p w14:paraId="2D37897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1.018,4</w:t>
            </w:r>
          </w:p>
        </w:tc>
        <w:tc>
          <w:tcPr>
            <w:tcW w:w="591" w:type="pct"/>
            <w:tcBorders>
              <w:top w:val="nil"/>
              <w:bottom w:val="nil"/>
            </w:tcBorders>
            <w:shd w:val="clear" w:color="auto" w:fill="E7E6E6" w:themeFill="background2"/>
            <w:noWrap/>
            <w:hideMark/>
          </w:tcPr>
          <w:p w14:paraId="46A128C4"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959,4</w:t>
            </w:r>
          </w:p>
        </w:tc>
      </w:tr>
      <w:tr w:rsidR="00AE5DED" w:rsidRPr="00671E8F" w14:paraId="36794509" w14:textId="77777777" w:rsidTr="00AE5DED">
        <w:trPr>
          <w:trHeight w:val="226"/>
        </w:trPr>
        <w:tc>
          <w:tcPr>
            <w:tcW w:w="2637" w:type="pct"/>
            <w:tcBorders>
              <w:top w:val="nil"/>
              <w:left w:val="nil"/>
              <w:bottom w:val="single" w:sz="4" w:space="0" w:color="002060"/>
              <w:right w:val="nil"/>
            </w:tcBorders>
            <w:noWrap/>
            <w:hideMark/>
          </w:tcPr>
          <w:p w14:paraId="064A44E5"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 xml:space="preserve"> У односу на јавни дуг на дан 31.8.2024. године</w:t>
            </w:r>
          </w:p>
        </w:tc>
        <w:tc>
          <w:tcPr>
            <w:tcW w:w="590" w:type="pct"/>
            <w:tcBorders>
              <w:top w:val="nil"/>
              <w:left w:val="nil"/>
              <w:bottom w:val="single" w:sz="4" w:space="0" w:color="002060"/>
              <w:right w:val="nil"/>
            </w:tcBorders>
            <w:noWrap/>
            <w:hideMark/>
          </w:tcPr>
          <w:p w14:paraId="6A41B42B"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20,3%</w:t>
            </w:r>
          </w:p>
        </w:tc>
        <w:tc>
          <w:tcPr>
            <w:tcW w:w="591" w:type="pct"/>
            <w:tcBorders>
              <w:top w:val="nil"/>
              <w:left w:val="nil"/>
              <w:bottom w:val="single" w:sz="4" w:space="0" w:color="002060"/>
              <w:right w:val="nil"/>
            </w:tcBorders>
            <w:noWrap/>
            <w:hideMark/>
          </w:tcPr>
          <w:p w14:paraId="75A9D18D"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15,7%</w:t>
            </w:r>
          </w:p>
        </w:tc>
        <w:tc>
          <w:tcPr>
            <w:tcW w:w="591" w:type="pct"/>
            <w:tcBorders>
              <w:top w:val="nil"/>
              <w:left w:val="nil"/>
              <w:bottom w:val="single" w:sz="4" w:space="0" w:color="002060"/>
              <w:right w:val="nil"/>
            </w:tcBorders>
            <w:noWrap/>
            <w:hideMark/>
          </w:tcPr>
          <w:p w14:paraId="0ED8F8B3"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22,9%</w:t>
            </w:r>
          </w:p>
        </w:tc>
        <w:tc>
          <w:tcPr>
            <w:tcW w:w="591" w:type="pct"/>
            <w:tcBorders>
              <w:top w:val="nil"/>
              <w:left w:val="nil"/>
              <w:bottom w:val="single" w:sz="4" w:space="0" w:color="002060"/>
              <w:right w:val="nil"/>
            </w:tcBorders>
            <w:noWrap/>
            <w:hideMark/>
          </w:tcPr>
          <w:p w14:paraId="34C9A2D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21,5%</w:t>
            </w:r>
          </w:p>
        </w:tc>
      </w:tr>
    </w:tbl>
    <w:p w14:paraId="655A3AD1" w14:textId="77777777" w:rsidR="00AE5DED" w:rsidRPr="00671E8F" w:rsidRDefault="00AE5DED" w:rsidP="00AE5DED">
      <w:pPr>
        <w:spacing w:line="240" w:lineRule="auto"/>
        <w:rPr>
          <w:rFonts w:ascii="Calibri" w:eastAsia="Calibri" w:hAnsi="Calibri" w:cs="Calibri"/>
          <w:bCs/>
          <w:sz w:val="18"/>
          <w:szCs w:val="18"/>
        </w:rPr>
      </w:pPr>
      <w:r w:rsidRPr="00671E8F">
        <w:rPr>
          <w:rFonts w:ascii="Calibri" w:eastAsia="Calibri" w:hAnsi="Calibri" w:cs="Calibri"/>
          <w:bCs/>
          <w:sz w:val="18"/>
          <w:szCs w:val="18"/>
        </w:rPr>
        <w:t>*</w:t>
      </w:r>
      <w:r w:rsidRPr="00671E8F">
        <w:t xml:space="preserve"> </w:t>
      </w:r>
      <w:r w:rsidRPr="00671E8F">
        <w:rPr>
          <w:rFonts w:ascii="Calibri" w:eastAsia="Calibri" w:hAnsi="Calibri" w:cs="Calibri"/>
          <w:bCs/>
          <w:sz w:val="18"/>
          <w:szCs w:val="18"/>
        </w:rPr>
        <w:t xml:space="preserve">укључена и средства за </w:t>
      </w:r>
      <w:r w:rsidRPr="00671E8F">
        <w:rPr>
          <w:rFonts w:ascii="Calibri" w:eastAsia="Calibri" w:hAnsi="Calibri" w:cs="Calibri"/>
          <w:bCs/>
          <w:i/>
          <w:sz w:val="18"/>
          <w:szCs w:val="18"/>
        </w:rPr>
        <w:t>buy-back</w:t>
      </w:r>
      <w:r w:rsidRPr="00671E8F">
        <w:rPr>
          <w:rFonts w:ascii="Calibri" w:eastAsia="Calibri" w:hAnsi="Calibri" w:cs="Calibri"/>
          <w:bCs/>
          <w:sz w:val="18"/>
          <w:szCs w:val="18"/>
        </w:rPr>
        <w:t xml:space="preserve"> операције</w:t>
      </w:r>
    </w:p>
    <w:p w14:paraId="518F47E1" w14:textId="35CB79D4"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0</w:t>
      </w:r>
      <w:r w:rsidRPr="00671E8F">
        <w:rPr>
          <w:rFonts w:ascii="Calibri" w:eastAsia="Calibri" w:hAnsi="Calibri" w:cs="Times New Roman"/>
          <w:b/>
          <w:color w:val="002060"/>
        </w:rPr>
        <w:t>. Пројекције отплате камата и главница до 2027. године (% БДП)</w:t>
      </w:r>
    </w:p>
    <w:tbl>
      <w:tblPr>
        <w:tblStyle w:val="LightShading-Accent1222"/>
        <w:tblW w:w="5000" w:type="pct"/>
        <w:tblInd w:w="0" w:type="dxa"/>
        <w:tblLook w:val="0420" w:firstRow="1" w:lastRow="0" w:firstColumn="0" w:lastColumn="0" w:noHBand="0" w:noVBand="1"/>
      </w:tblPr>
      <w:tblGrid>
        <w:gridCol w:w="4949"/>
        <w:gridCol w:w="1102"/>
        <w:gridCol w:w="1103"/>
        <w:gridCol w:w="1103"/>
        <w:gridCol w:w="1103"/>
      </w:tblGrid>
      <w:tr w:rsidR="00AE5DED" w:rsidRPr="00671E8F" w14:paraId="52FD237E" w14:textId="77777777" w:rsidTr="00AE5DED">
        <w:trPr>
          <w:cnfStyle w:val="100000000000" w:firstRow="1" w:lastRow="0" w:firstColumn="0" w:lastColumn="0" w:oddVBand="0" w:evenVBand="0" w:oddHBand="0" w:evenHBand="0" w:firstRowFirstColumn="0" w:firstRowLastColumn="0" w:lastRowFirstColumn="0" w:lastRowLastColumn="0"/>
          <w:trHeight w:val="220"/>
        </w:trPr>
        <w:tc>
          <w:tcPr>
            <w:tcW w:w="2644" w:type="pct"/>
            <w:tcBorders>
              <w:top w:val="single" w:sz="4" w:space="0" w:color="002060"/>
              <w:bottom w:val="single" w:sz="4" w:space="0" w:color="FFFFFF" w:themeColor="background1"/>
            </w:tcBorders>
            <w:noWrap/>
            <w:hideMark/>
          </w:tcPr>
          <w:p w14:paraId="00C5686C"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 </w:t>
            </w:r>
          </w:p>
        </w:tc>
        <w:tc>
          <w:tcPr>
            <w:tcW w:w="589" w:type="pct"/>
            <w:tcBorders>
              <w:top w:val="single" w:sz="4" w:space="0" w:color="002060"/>
              <w:bottom w:val="single" w:sz="4" w:space="0" w:color="002060"/>
            </w:tcBorders>
            <w:noWrap/>
            <w:hideMark/>
          </w:tcPr>
          <w:p w14:paraId="30439701"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2024 п</w:t>
            </w:r>
          </w:p>
        </w:tc>
        <w:tc>
          <w:tcPr>
            <w:tcW w:w="589" w:type="pct"/>
            <w:tcBorders>
              <w:top w:val="single" w:sz="4" w:space="0" w:color="002060"/>
              <w:bottom w:val="single" w:sz="4" w:space="0" w:color="002060"/>
            </w:tcBorders>
            <w:noWrap/>
            <w:hideMark/>
          </w:tcPr>
          <w:p w14:paraId="2C04DBCE"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2025 п</w:t>
            </w:r>
          </w:p>
        </w:tc>
        <w:tc>
          <w:tcPr>
            <w:tcW w:w="589" w:type="pct"/>
            <w:tcBorders>
              <w:top w:val="single" w:sz="4" w:space="0" w:color="002060"/>
              <w:bottom w:val="single" w:sz="4" w:space="0" w:color="002060"/>
            </w:tcBorders>
            <w:noWrap/>
            <w:hideMark/>
          </w:tcPr>
          <w:p w14:paraId="51713607"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2026 п</w:t>
            </w:r>
          </w:p>
        </w:tc>
        <w:tc>
          <w:tcPr>
            <w:tcW w:w="589" w:type="pct"/>
            <w:tcBorders>
              <w:top w:val="single" w:sz="4" w:space="0" w:color="002060"/>
              <w:bottom w:val="single" w:sz="4" w:space="0" w:color="002060"/>
            </w:tcBorders>
            <w:noWrap/>
            <w:hideMark/>
          </w:tcPr>
          <w:p w14:paraId="7F3297F9"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2027 п</w:t>
            </w:r>
          </w:p>
        </w:tc>
      </w:tr>
      <w:tr w:rsidR="00AE5DED" w:rsidRPr="00671E8F" w14:paraId="7DC950B9" w14:textId="77777777" w:rsidTr="00AE5DED">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nil"/>
            </w:tcBorders>
            <w:shd w:val="clear" w:color="auto" w:fill="E7E6E6" w:themeFill="background2"/>
            <w:noWrap/>
            <w:hideMark/>
          </w:tcPr>
          <w:p w14:paraId="54477250"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Главница</w:t>
            </w:r>
          </w:p>
        </w:tc>
        <w:tc>
          <w:tcPr>
            <w:tcW w:w="589" w:type="pct"/>
            <w:tcBorders>
              <w:top w:val="nil"/>
              <w:bottom w:val="nil"/>
            </w:tcBorders>
            <w:shd w:val="clear" w:color="auto" w:fill="E7E6E6" w:themeFill="background2"/>
            <w:noWrap/>
            <w:hideMark/>
          </w:tcPr>
          <w:p w14:paraId="53F94339"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7,5%</w:t>
            </w:r>
          </w:p>
        </w:tc>
        <w:tc>
          <w:tcPr>
            <w:tcW w:w="589" w:type="pct"/>
            <w:tcBorders>
              <w:top w:val="nil"/>
              <w:bottom w:val="nil"/>
            </w:tcBorders>
            <w:shd w:val="clear" w:color="auto" w:fill="E7E6E6" w:themeFill="background2"/>
            <w:noWrap/>
            <w:hideMark/>
          </w:tcPr>
          <w:p w14:paraId="1C94CB9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4,6%</w:t>
            </w:r>
          </w:p>
        </w:tc>
        <w:tc>
          <w:tcPr>
            <w:tcW w:w="589" w:type="pct"/>
            <w:tcBorders>
              <w:top w:val="nil"/>
              <w:bottom w:val="nil"/>
            </w:tcBorders>
            <w:shd w:val="clear" w:color="auto" w:fill="E7E6E6" w:themeFill="background2"/>
            <w:noWrap/>
            <w:hideMark/>
          </w:tcPr>
          <w:p w14:paraId="1352DFDC"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7,1%</w:t>
            </w:r>
          </w:p>
        </w:tc>
        <w:tc>
          <w:tcPr>
            <w:tcW w:w="589" w:type="pct"/>
            <w:tcBorders>
              <w:top w:val="nil"/>
              <w:bottom w:val="nil"/>
            </w:tcBorders>
            <w:shd w:val="clear" w:color="auto" w:fill="E7E6E6" w:themeFill="background2"/>
            <w:noWrap/>
            <w:hideMark/>
          </w:tcPr>
          <w:p w14:paraId="6D62AE6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6,0%</w:t>
            </w:r>
          </w:p>
        </w:tc>
      </w:tr>
      <w:tr w:rsidR="00AE5DED" w:rsidRPr="00671E8F" w14:paraId="674752F4" w14:textId="77777777" w:rsidTr="00AE5DED">
        <w:trPr>
          <w:trHeight w:val="220"/>
        </w:trPr>
        <w:tc>
          <w:tcPr>
            <w:tcW w:w="2644" w:type="pct"/>
            <w:tcBorders>
              <w:top w:val="nil"/>
              <w:left w:val="nil"/>
              <w:bottom w:val="nil"/>
              <w:right w:val="nil"/>
            </w:tcBorders>
            <w:noWrap/>
            <w:hideMark/>
          </w:tcPr>
          <w:p w14:paraId="2F2AC91C"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bCs/>
                <w:color w:val="002060"/>
                <w:sz w:val="18"/>
                <w:szCs w:val="18"/>
              </w:rPr>
              <w:t>Камата</w:t>
            </w:r>
          </w:p>
        </w:tc>
        <w:tc>
          <w:tcPr>
            <w:tcW w:w="589" w:type="pct"/>
            <w:tcBorders>
              <w:top w:val="nil"/>
              <w:left w:val="nil"/>
              <w:bottom w:val="nil"/>
              <w:right w:val="nil"/>
            </w:tcBorders>
            <w:noWrap/>
            <w:hideMark/>
          </w:tcPr>
          <w:p w14:paraId="17721369"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1,9%</w:t>
            </w:r>
          </w:p>
        </w:tc>
        <w:tc>
          <w:tcPr>
            <w:tcW w:w="589" w:type="pct"/>
            <w:tcBorders>
              <w:top w:val="nil"/>
              <w:left w:val="nil"/>
              <w:bottom w:val="nil"/>
              <w:right w:val="nil"/>
            </w:tcBorders>
            <w:noWrap/>
            <w:hideMark/>
          </w:tcPr>
          <w:p w14:paraId="0E5F6DA0"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2,1%</w:t>
            </w:r>
          </w:p>
        </w:tc>
        <w:tc>
          <w:tcPr>
            <w:tcW w:w="589" w:type="pct"/>
            <w:tcBorders>
              <w:top w:val="nil"/>
              <w:left w:val="nil"/>
              <w:bottom w:val="nil"/>
              <w:right w:val="nil"/>
            </w:tcBorders>
            <w:noWrap/>
            <w:hideMark/>
          </w:tcPr>
          <w:p w14:paraId="7DFD5BB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2,1%</w:t>
            </w:r>
          </w:p>
        </w:tc>
        <w:tc>
          <w:tcPr>
            <w:tcW w:w="589" w:type="pct"/>
            <w:tcBorders>
              <w:top w:val="nil"/>
              <w:left w:val="nil"/>
              <w:bottom w:val="nil"/>
              <w:right w:val="nil"/>
            </w:tcBorders>
            <w:noWrap/>
            <w:hideMark/>
          </w:tcPr>
          <w:p w14:paraId="7BB4EF2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2,0%</w:t>
            </w:r>
          </w:p>
        </w:tc>
      </w:tr>
      <w:tr w:rsidR="00AE5DED" w:rsidRPr="00671E8F" w14:paraId="2E2B812C" w14:textId="77777777" w:rsidTr="00AE5DED">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single" w:sz="4" w:space="0" w:color="002060"/>
            </w:tcBorders>
            <w:shd w:val="clear" w:color="auto" w:fill="E7E6E6" w:themeFill="background2"/>
            <w:noWrap/>
            <w:hideMark/>
          </w:tcPr>
          <w:p w14:paraId="364645DD"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Укупно</w:t>
            </w:r>
          </w:p>
        </w:tc>
        <w:tc>
          <w:tcPr>
            <w:tcW w:w="589" w:type="pct"/>
            <w:tcBorders>
              <w:top w:val="nil"/>
              <w:bottom w:val="single" w:sz="4" w:space="0" w:color="002060"/>
            </w:tcBorders>
            <w:shd w:val="clear" w:color="auto" w:fill="E7E6E6" w:themeFill="background2"/>
            <w:noWrap/>
            <w:hideMark/>
          </w:tcPr>
          <w:p w14:paraId="40F3065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9,4%</w:t>
            </w:r>
          </w:p>
        </w:tc>
        <w:tc>
          <w:tcPr>
            <w:tcW w:w="589" w:type="pct"/>
            <w:tcBorders>
              <w:top w:val="nil"/>
              <w:bottom w:val="single" w:sz="4" w:space="0" w:color="002060"/>
            </w:tcBorders>
            <w:shd w:val="clear" w:color="auto" w:fill="E7E6E6" w:themeFill="background2"/>
            <w:noWrap/>
            <w:hideMark/>
          </w:tcPr>
          <w:p w14:paraId="4647871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6,8%</w:t>
            </w:r>
          </w:p>
        </w:tc>
        <w:tc>
          <w:tcPr>
            <w:tcW w:w="589" w:type="pct"/>
            <w:tcBorders>
              <w:top w:val="nil"/>
              <w:bottom w:val="single" w:sz="4" w:space="0" w:color="002060"/>
            </w:tcBorders>
            <w:shd w:val="clear" w:color="auto" w:fill="E7E6E6" w:themeFill="background2"/>
            <w:noWrap/>
            <w:hideMark/>
          </w:tcPr>
          <w:p w14:paraId="4116090B"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9,2%</w:t>
            </w:r>
          </w:p>
        </w:tc>
        <w:tc>
          <w:tcPr>
            <w:tcW w:w="589" w:type="pct"/>
            <w:tcBorders>
              <w:top w:val="nil"/>
              <w:bottom w:val="single" w:sz="4" w:space="0" w:color="002060"/>
            </w:tcBorders>
            <w:shd w:val="clear" w:color="auto" w:fill="E7E6E6" w:themeFill="background2"/>
            <w:noWrap/>
            <w:hideMark/>
          </w:tcPr>
          <w:p w14:paraId="0565D1BA"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8,0%</w:t>
            </w:r>
          </w:p>
        </w:tc>
      </w:tr>
    </w:tbl>
    <w:p w14:paraId="56073C17" w14:textId="77777777" w:rsidR="00AE5DED" w:rsidRPr="00671E8F" w:rsidRDefault="00AE5DED" w:rsidP="00AE5DED">
      <w:pPr>
        <w:rPr>
          <w:rFonts w:ascii="Calibri" w:eastAsia="Calibri" w:hAnsi="Calibri" w:cs="Calibri"/>
          <w:bCs/>
          <w:szCs w:val="72"/>
        </w:rPr>
        <w:sectPr w:rsidR="00AE5DED" w:rsidRPr="00671E8F" w:rsidSect="00F45C01">
          <w:headerReference w:type="even" r:id="rId216"/>
          <w:footerReference w:type="even" r:id="rId217"/>
          <w:footerReference w:type="default" r:id="rId218"/>
          <w:footerReference w:type="first" r:id="rId219"/>
          <w:type w:val="continuous"/>
          <w:pgSz w:w="12240" w:h="15840" w:code="1"/>
          <w:pgMar w:top="1440" w:right="1440" w:bottom="1440" w:left="1440" w:header="720" w:footer="720" w:gutter="0"/>
          <w:cols w:space="720"/>
          <w:titlePg/>
          <w:docGrid w:linePitch="360"/>
        </w:sectPr>
      </w:pPr>
    </w:p>
    <w:p w14:paraId="6E9926A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Планирани износи за отплату камата и главница, на централном нивоу државе, укључују и средства за </w:t>
      </w:r>
      <w:r w:rsidRPr="00671E8F">
        <w:rPr>
          <w:rFonts w:ascii="Calibri" w:eastAsia="Calibri" w:hAnsi="Calibri" w:cs="Calibri"/>
          <w:bCs/>
          <w:i/>
          <w:szCs w:val="72"/>
        </w:rPr>
        <w:t>buy-back</w:t>
      </w:r>
      <w:r w:rsidRPr="00671E8F">
        <w:rPr>
          <w:rFonts w:ascii="Calibri" w:eastAsia="Calibri" w:hAnsi="Calibri" w:cs="Calibri"/>
          <w:bCs/>
          <w:szCs w:val="72"/>
        </w:rPr>
        <w:t xml:space="preserve"> операције, тј. превремену отплату </w:t>
      </w:r>
      <w:r w:rsidRPr="00671E8F">
        <w:rPr>
          <w:rFonts w:ascii="Calibri" w:eastAsia="Calibri" w:hAnsi="Calibri" w:cs="Calibri"/>
          <w:bCs/>
          <w:szCs w:val="72"/>
        </w:rPr>
        <w:t>дуга, како би се скупљи дуг заменио јефтинијим, као и премије осигурања на експортне кредите.</w:t>
      </w:r>
    </w:p>
    <w:p w14:paraId="046CCEE1"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Пројекција стања јавног дуга сектора државе у периоду 2024–2027. године</w:t>
      </w:r>
    </w:p>
    <w:p w14:paraId="5D494B1A" w14:textId="77777777" w:rsidR="00AE5DED" w:rsidRPr="00671E8F" w:rsidRDefault="00AE5DED" w:rsidP="00AE5DED">
      <w:pPr>
        <w:spacing w:after="240"/>
        <w:rPr>
          <w:rFonts w:ascii="Calibri" w:eastAsia="Calibri" w:hAnsi="Calibri" w:cs="Calibri"/>
          <w:bCs/>
          <w:szCs w:val="72"/>
        </w:rPr>
      </w:pPr>
      <w:r w:rsidRPr="00671E8F">
        <w:rPr>
          <w:rFonts w:ascii="Calibri" w:eastAsia="Calibri" w:hAnsi="Calibri" w:cs="Calibri"/>
          <w:bCs/>
          <w:szCs w:val="72"/>
        </w:rPr>
        <w:lastRenderedPageBreak/>
        <w:t xml:space="preserve">Имајући у виду пројектовани примарни резултат буџета Републике Србије за период 2024–2027. 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w:t>
      </w:r>
      <w:r w:rsidRPr="00671E8F">
        <w:rPr>
          <w:rFonts w:ascii="Calibri" w:eastAsia="Calibri" w:hAnsi="Calibri" w:cs="Calibri"/>
          <w:bCs/>
          <w:szCs w:val="72"/>
        </w:rPr>
        <w:t>основном макроекономском сценарију, стање дуга централног нивоа државе требало би да буде на нивоу од 46,0% БДП на крају 2027. године.</w:t>
      </w:r>
    </w:p>
    <w:p w14:paraId="5FD31B94" w14:textId="77777777" w:rsidR="00AE5DED" w:rsidRPr="00671E8F" w:rsidRDefault="00AE5DED" w:rsidP="00AE5DED">
      <w:pPr>
        <w:spacing w:after="600"/>
        <w:rPr>
          <w:rFonts w:ascii="Calibri" w:eastAsia="Calibri" w:hAnsi="Calibri" w:cs="Calibri"/>
          <w:bCs/>
          <w:szCs w:val="72"/>
        </w:rPr>
      </w:pPr>
    </w:p>
    <w:p w14:paraId="40D5F5A0"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F45C01">
          <w:type w:val="continuous"/>
          <w:pgSz w:w="12240" w:h="15840" w:code="1"/>
          <w:pgMar w:top="1440" w:right="1440" w:bottom="1440" w:left="1440" w:header="720" w:footer="720" w:gutter="0"/>
          <w:cols w:num="2" w:space="720"/>
          <w:titlePg/>
          <w:docGrid w:linePitch="360"/>
        </w:sectPr>
      </w:pPr>
    </w:p>
    <w:p w14:paraId="6B3CD470" w14:textId="67CFB2F1"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1</w:t>
      </w:r>
      <w:r w:rsidRPr="00671E8F">
        <w:rPr>
          <w:rFonts w:ascii="Calibri" w:eastAsia="Calibri" w:hAnsi="Calibri" w:cs="Times New Roman"/>
          <w:b/>
          <w:color w:val="002060"/>
        </w:rPr>
        <w:t>. Основна пројекција стања јавног дуга сектора државе до 2027. године</w:t>
      </w:r>
    </w:p>
    <w:tbl>
      <w:tblPr>
        <w:tblStyle w:val="LightShading-Accent1222"/>
        <w:tblW w:w="5000" w:type="pct"/>
        <w:tblInd w:w="0" w:type="dxa"/>
        <w:tblLook w:val="0420" w:firstRow="1" w:lastRow="0" w:firstColumn="0" w:lastColumn="0" w:noHBand="0" w:noVBand="1"/>
      </w:tblPr>
      <w:tblGrid>
        <w:gridCol w:w="5100"/>
        <w:gridCol w:w="1065"/>
        <w:gridCol w:w="1065"/>
        <w:gridCol w:w="1065"/>
        <w:gridCol w:w="1065"/>
      </w:tblGrid>
      <w:tr w:rsidR="00AE5DED" w:rsidRPr="00671E8F" w14:paraId="3331FA87" w14:textId="77777777" w:rsidTr="00AE5DED">
        <w:trPr>
          <w:cnfStyle w:val="100000000000" w:firstRow="1" w:lastRow="0" w:firstColumn="0" w:lastColumn="0" w:oddVBand="0" w:evenVBand="0" w:oddHBand="0" w:evenHBand="0" w:firstRowFirstColumn="0" w:firstRowLastColumn="0" w:lastRowFirstColumn="0" w:lastRowLastColumn="0"/>
          <w:trHeight w:val="20"/>
        </w:trPr>
        <w:tc>
          <w:tcPr>
            <w:tcW w:w="2724" w:type="pct"/>
            <w:tcBorders>
              <w:top w:val="single" w:sz="4" w:space="0" w:color="002060"/>
              <w:bottom w:val="single" w:sz="8" w:space="0" w:color="FFFFFF" w:themeColor="background1"/>
            </w:tcBorders>
            <w:noWrap/>
            <w:hideMark/>
          </w:tcPr>
          <w:p w14:paraId="17AEBA4F" w14:textId="77777777" w:rsidR="00AE5DED" w:rsidRPr="00671E8F" w:rsidRDefault="00AE5DED" w:rsidP="00AE5DED">
            <w:pPr>
              <w:spacing w:line="256" w:lineRule="auto"/>
              <w:rPr>
                <w:rFonts w:ascii="Calibri" w:hAnsi="Calibri"/>
                <w:color w:val="002060"/>
              </w:rPr>
            </w:pPr>
          </w:p>
        </w:tc>
        <w:tc>
          <w:tcPr>
            <w:tcW w:w="569" w:type="pct"/>
            <w:tcBorders>
              <w:top w:val="single" w:sz="4" w:space="0" w:color="002060"/>
              <w:bottom w:val="single" w:sz="4" w:space="0" w:color="002060"/>
            </w:tcBorders>
            <w:noWrap/>
            <w:hideMark/>
          </w:tcPr>
          <w:p w14:paraId="252E38A6"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2024 п</w:t>
            </w:r>
          </w:p>
        </w:tc>
        <w:tc>
          <w:tcPr>
            <w:tcW w:w="569" w:type="pct"/>
            <w:tcBorders>
              <w:top w:val="single" w:sz="4" w:space="0" w:color="002060"/>
              <w:bottom w:val="single" w:sz="4" w:space="0" w:color="002060"/>
            </w:tcBorders>
            <w:noWrap/>
            <w:hideMark/>
          </w:tcPr>
          <w:p w14:paraId="79400ADF"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2025 п</w:t>
            </w:r>
          </w:p>
        </w:tc>
        <w:tc>
          <w:tcPr>
            <w:tcW w:w="569" w:type="pct"/>
            <w:tcBorders>
              <w:top w:val="single" w:sz="4" w:space="0" w:color="002060"/>
              <w:bottom w:val="single" w:sz="4" w:space="0" w:color="002060"/>
            </w:tcBorders>
            <w:noWrap/>
            <w:hideMark/>
          </w:tcPr>
          <w:p w14:paraId="28EE13A9"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2026 п</w:t>
            </w:r>
          </w:p>
        </w:tc>
        <w:tc>
          <w:tcPr>
            <w:tcW w:w="569" w:type="pct"/>
            <w:tcBorders>
              <w:top w:val="single" w:sz="4" w:space="0" w:color="002060"/>
              <w:bottom w:val="single" w:sz="4" w:space="0" w:color="002060"/>
            </w:tcBorders>
            <w:noWrap/>
            <w:hideMark/>
          </w:tcPr>
          <w:p w14:paraId="5074FD9B" w14:textId="77777777" w:rsidR="00AE5DED" w:rsidRPr="00671E8F" w:rsidRDefault="00AE5DED" w:rsidP="00AE5DED">
            <w:pPr>
              <w:jc w:val="right"/>
              <w:rPr>
                <w:rFonts w:ascii="Calibri" w:hAnsi="Calibri" w:cs="Calibri"/>
                <w:color w:val="002060"/>
                <w:sz w:val="18"/>
                <w:szCs w:val="18"/>
              </w:rPr>
            </w:pPr>
            <w:r w:rsidRPr="00671E8F">
              <w:rPr>
                <w:rFonts w:ascii="Calibri" w:hAnsi="Calibri" w:cs="Calibri"/>
                <w:color w:val="002060"/>
                <w:sz w:val="18"/>
                <w:szCs w:val="18"/>
              </w:rPr>
              <w:t>2027 п</w:t>
            </w:r>
          </w:p>
        </w:tc>
      </w:tr>
      <w:tr w:rsidR="00AE5DED" w:rsidRPr="00671E8F" w14:paraId="3091C571" w14:textId="77777777" w:rsidTr="00AE5DED">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noWrap/>
            <w:hideMark/>
          </w:tcPr>
          <w:p w14:paraId="1F64D101" w14:textId="77777777" w:rsidR="00AE5DED" w:rsidRPr="00671E8F" w:rsidRDefault="00AE5DED" w:rsidP="00AE5DED">
            <w:pPr>
              <w:spacing w:line="240" w:lineRule="auto"/>
              <w:rPr>
                <w:rFonts w:ascii="Calibri" w:hAnsi="Calibri" w:cs="Calibri"/>
                <w:bCs/>
                <w:color w:val="44546A"/>
                <w:sz w:val="18"/>
                <w:szCs w:val="18"/>
              </w:rPr>
            </w:pPr>
            <w:r w:rsidRPr="00671E8F">
              <w:rPr>
                <w:rFonts w:ascii="Calibri" w:hAnsi="Calibri" w:cs="Calibri"/>
                <w:bCs/>
                <w:color w:val="002060"/>
                <w:sz w:val="18"/>
                <w:szCs w:val="18"/>
              </w:rPr>
              <w:t>Јавни дуг (централни ниво власти), млрд РСД</w:t>
            </w:r>
          </w:p>
        </w:tc>
        <w:tc>
          <w:tcPr>
            <w:tcW w:w="569" w:type="pct"/>
            <w:tcBorders>
              <w:top w:val="single" w:sz="4" w:space="0" w:color="002060"/>
              <w:bottom w:val="nil"/>
            </w:tcBorders>
            <w:shd w:val="clear" w:color="auto" w:fill="E7E6E6" w:themeFill="background2"/>
            <w:noWrap/>
            <w:hideMark/>
          </w:tcPr>
          <w:p w14:paraId="79B2E389"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4.558,3</w:t>
            </w:r>
          </w:p>
        </w:tc>
        <w:tc>
          <w:tcPr>
            <w:tcW w:w="569" w:type="pct"/>
            <w:tcBorders>
              <w:top w:val="single" w:sz="4" w:space="0" w:color="002060"/>
              <w:bottom w:val="nil"/>
            </w:tcBorders>
            <w:shd w:val="clear" w:color="auto" w:fill="E7E6E6" w:themeFill="background2"/>
            <w:noWrap/>
            <w:hideMark/>
          </w:tcPr>
          <w:p w14:paraId="5ECFE63E"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4.854,3</w:t>
            </w:r>
          </w:p>
        </w:tc>
        <w:tc>
          <w:tcPr>
            <w:tcW w:w="569" w:type="pct"/>
            <w:tcBorders>
              <w:top w:val="single" w:sz="4" w:space="0" w:color="002060"/>
              <w:bottom w:val="nil"/>
            </w:tcBorders>
            <w:shd w:val="clear" w:color="auto" w:fill="E7E6E6" w:themeFill="background2"/>
            <w:noWrap/>
            <w:hideMark/>
          </w:tcPr>
          <w:p w14:paraId="68C0D2E1"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5.151,3</w:t>
            </w:r>
          </w:p>
        </w:tc>
        <w:tc>
          <w:tcPr>
            <w:tcW w:w="569" w:type="pct"/>
            <w:tcBorders>
              <w:top w:val="single" w:sz="4" w:space="0" w:color="002060"/>
              <w:bottom w:val="nil"/>
            </w:tcBorders>
            <w:shd w:val="clear" w:color="auto" w:fill="E7E6E6" w:themeFill="background2"/>
            <w:noWrap/>
            <w:hideMark/>
          </w:tcPr>
          <w:p w14:paraId="4866F354"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5.521,5</w:t>
            </w:r>
          </w:p>
        </w:tc>
      </w:tr>
      <w:tr w:rsidR="00AE5DED" w:rsidRPr="00671E8F" w14:paraId="788EDD0A" w14:textId="77777777" w:rsidTr="00AE5DED">
        <w:trPr>
          <w:trHeight w:val="20"/>
        </w:trPr>
        <w:tc>
          <w:tcPr>
            <w:tcW w:w="2724" w:type="pct"/>
            <w:tcBorders>
              <w:top w:val="nil"/>
              <w:left w:val="nil"/>
              <w:bottom w:val="nil"/>
              <w:right w:val="nil"/>
            </w:tcBorders>
            <w:hideMark/>
          </w:tcPr>
          <w:p w14:paraId="6350576A"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Дуг централне државе, у % БДП</w:t>
            </w:r>
          </w:p>
        </w:tc>
        <w:tc>
          <w:tcPr>
            <w:tcW w:w="569" w:type="pct"/>
            <w:tcBorders>
              <w:top w:val="nil"/>
              <w:left w:val="nil"/>
              <w:bottom w:val="nil"/>
              <w:right w:val="nil"/>
            </w:tcBorders>
            <w:noWrap/>
            <w:hideMark/>
          </w:tcPr>
          <w:p w14:paraId="1C3675C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47,5%</w:t>
            </w:r>
          </w:p>
        </w:tc>
        <w:tc>
          <w:tcPr>
            <w:tcW w:w="569" w:type="pct"/>
            <w:tcBorders>
              <w:top w:val="nil"/>
              <w:left w:val="nil"/>
              <w:bottom w:val="nil"/>
              <w:right w:val="nil"/>
            </w:tcBorders>
            <w:noWrap/>
            <w:hideMark/>
          </w:tcPr>
          <w:p w14:paraId="7050CE7F"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47,0%</w:t>
            </w:r>
          </w:p>
        </w:tc>
        <w:tc>
          <w:tcPr>
            <w:tcW w:w="569" w:type="pct"/>
            <w:tcBorders>
              <w:top w:val="nil"/>
              <w:left w:val="nil"/>
              <w:bottom w:val="nil"/>
              <w:right w:val="nil"/>
            </w:tcBorders>
            <w:noWrap/>
            <w:hideMark/>
          </w:tcPr>
          <w:p w14:paraId="670EC65C"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46,5%</w:t>
            </w:r>
          </w:p>
        </w:tc>
        <w:tc>
          <w:tcPr>
            <w:tcW w:w="569" w:type="pct"/>
            <w:tcBorders>
              <w:top w:val="nil"/>
              <w:left w:val="nil"/>
              <w:bottom w:val="nil"/>
              <w:right w:val="nil"/>
            </w:tcBorders>
            <w:noWrap/>
            <w:hideMark/>
          </w:tcPr>
          <w:p w14:paraId="3CDCAABD"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46,0%</w:t>
            </w:r>
          </w:p>
        </w:tc>
      </w:tr>
      <w:tr w:rsidR="00AE5DED" w:rsidRPr="00671E8F" w14:paraId="7CD125FE" w14:textId="77777777" w:rsidTr="00AE5DED">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hideMark/>
          </w:tcPr>
          <w:p w14:paraId="1BC2B44F"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Негарантовани дуг јединица локалне самоуправе*, у % БДП</w:t>
            </w:r>
          </w:p>
        </w:tc>
        <w:tc>
          <w:tcPr>
            <w:tcW w:w="569" w:type="pct"/>
            <w:tcBorders>
              <w:top w:val="nil"/>
              <w:bottom w:val="nil"/>
            </w:tcBorders>
            <w:shd w:val="clear" w:color="auto" w:fill="E7E6E6" w:themeFill="background2"/>
            <w:noWrap/>
            <w:hideMark/>
          </w:tcPr>
          <w:p w14:paraId="178BEEED"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0,4%</w:t>
            </w:r>
          </w:p>
        </w:tc>
        <w:tc>
          <w:tcPr>
            <w:tcW w:w="569" w:type="pct"/>
            <w:tcBorders>
              <w:top w:val="nil"/>
              <w:bottom w:val="nil"/>
            </w:tcBorders>
            <w:shd w:val="clear" w:color="auto" w:fill="E7E6E6" w:themeFill="background2"/>
            <w:noWrap/>
            <w:hideMark/>
          </w:tcPr>
          <w:p w14:paraId="6E59C4B9"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0,5%</w:t>
            </w:r>
          </w:p>
        </w:tc>
        <w:tc>
          <w:tcPr>
            <w:tcW w:w="569" w:type="pct"/>
            <w:tcBorders>
              <w:top w:val="nil"/>
              <w:bottom w:val="nil"/>
            </w:tcBorders>
            <w:shd w:val="clear" w:color="auto" w:fill="E7E6E6" w:themeFill="background2"/>
            <w:noWrap/>
            <w:hideMark/>
          </w:tcPr>
          <w:p w14:paraId="04DCEA1E"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0,5%</w:t>
            </w:r>
          </w:p>
        </w:tc>
        <w:tc>
          <w:tcPr>
            <w:tcW w:w="569" w:type="pct"/>
            <w:tcBorders>
              <w:top w:val="nil"/>
              <w:bottom w:val="nil"/>
            </w:tcBorders>
            <w:shd w:val="clear" w:color="auto" w:fill="E7E6E6" w:themeFill="background2"/>
            <w:noWrap/>
            <w:hideMark/>
          </w:tcPr>
          <w:p w14:paraId="2A0E2C9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0,5%</w:t>
            </w:r>
          </w:p>
        </w:tc>
      </w:tr>
      <w:tr w:rsidR="00AE5DED" w:rsidRPr="00671E8F" w14:paraId="4AD300D9" w14:textId="77777777" w:rsidTr="00AE5DED">
        <w:trPr>
          <w:trHeight w:val="20"/>
        </w:trPr>
        <w:tc>
          <w:tcPr>
            <w:tcW w:w="2724" w:type="pct"/>
            <w:tcBorders>
              <w:top w:val="nil"/>
              <w:left w:val="nil"/>
              <w:bottom w:val="single" w:sz="4" w:space="0" w:color="002060"/>
              <w:right w:val="nil"/>
            </w:tcBorders>
            <w:hideMark/>
          </w:tcPr>
          <w:p w14:paraId="7EAB879E"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Дуг сектора државе, у % БДП</w:t>
            </w:r>
          </w:p>
        </w:tc>
        <w:tc>
          <w:tcPr>
            <w:tcW w:w="569" w:type="pct"/>
            <w:tcBorders>
              <w:top w:val="nil"/>
              <w:left w:val="nil"/>
              <w:bottom w:val="single" w:sz="4" w:space="0" w:color="002060"/>
              <w:right w:val="nil"/>
            </w:tcBorders>
            <w:noWrap/>
            <w:hideMark/>
          </w:tcPr>
          <w:p w14:paraId="157EAC77"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47,9%</w:t>
            </w:r>
          </w:p>
        </w:tc>
        <w:tc>
          <w:tcPr>
            <w:tcW w:w="569" w:type="pct"/>
            <w:tcBorders>
              <w:top w:val="nil"/>
              <w:left w:val="nil"/>
              <w:bottom w:val="single" w:sz="4" w:space="0" w:color="002060"/>
              <w:right w:val="nil"/>
            </w:tcBorders>
            <w:noWrap/>
            <w:hideMark/>
          </w:tcPr>
          <w:p w14:paraId="37AB12A5"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47,5%</w:t>
            </w:r>
          </w:p>
        </w:tc>
        <w:tc>
          <w:tcPr>
            <w:tcW w:w="569" w:type="pct"/>
            <w:tcBorders>
              <w:top w:val="nil"/>
              <w:left w:val="nil"/>
              <w:bottom w:val="single" w:sz="4" w:space="0" w:color="002060"/>
              <w:right w:val="nil"/>
            </w:tcBorders>
            <w:noWrap/>
            <w:hideMark/>
          </w:tcPr>
          <w:p w14:paraId="38F70D5F"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47,0%</w:t>
            </w:r>
          </w:p>
        </w:tc>
        <w:tc>
          <w:tcPr>
            <w:tcW w:w="569" w:type="pct"/>
            <w:tcBorders>
              <w:top w:val="nil"/>
              <w:left w:val="nil"/>
              <w:bottom w:val="single" w:sz="4" w:space="0" w:color="002060"/>
              <w:right w:val="nil"/>
            </w:tcBorders>
            <w:noWrap/>
            <w:hideMark/>
          </w:tcPr>
          <w:p w14:paraId="78C8CFA6" w14:textId="77777777" w:rsidR="00AE5DED" w:rsidRPr="00671E8F" w:rsidRDefault="00AE5DED" w:rsidP="00AE5DED">
            <w:pPr>
              <w:spacing w:line="240" w:lineRule="auto"/>
              <w:jc w:val="right"/>
              <w:rPr>
                <w:rFonts w:ascii="Calibri" w:hAnsi="Calibri" w:cs="Calibri"/>
                <w:bCs/>
                <w:color w:val="002060"/>
                <w:sz w:val="18"/>
                <w:szCs w:val="18"/>
              </w:rPr>
            </w:pPr>
            <w:r w:rsidRPr="00671E8F">
              <w:rPr>
                <w:rFonts w:ascii="Calibri" w:hAnsi="Calibri" w:cs="Calibri"/>
                <w:bCs/>
                <w:color w:val="002060"/>
                <w:sz w:val="18"/>
                <w:szCs w:val="18"/>
              </w:rPr>
              <w:t>46,5%</w:t>
            </w:r>
          </w:p>
        </w:tc>
      </w:tr>
    </w:tbl>
    <w:p w14:paraId="1BD47441" w14:textId="77777777" w:rsidR="00AE5DED" w:rsidRPr="00671E8F" w:rsidRDefault="00AE5DED" w:rsidP="00AE5DED">
      <w:pPr>
        <w:spacing w:after="240" w:line="240" w:lineRule="auto"/>
        <w:rPr>
          <w:rFonts w:ascii="Calibri" w:eastAsia="Calibri" w:hAnsi="Calibri" w:cs="Calibri"/>
          <w:bCs/>
          <w:sz w:val="18"/>
          <w:szCs w:val="18"/>
        </w:rPr>
      </w:pPr>
      <w:r w:rsidRPr="00671E8F">
        <w:rPr>
          <w:rFonts w:ascii="Calibri" w:eastAsia="Calibri" w:hAnsi="Calibri" w:cs="Calibri"/>
          <w:bCs/>
          <w:sz w:val="18"/>
          <w:szCs w:val="18"/>
        </w:rPr>
        <w:t>*</w:t>
      </w:r>
      <w:r w:rsidRPr="00671E8F">
        <w:t xml:space="preserve"> </w:t>
      </w:r>
      <w:r w:rsidRPr="00671E8F">
        <w:rPr>
          <w:rFonts w:ascii="Calibri" w:eastAsia="Calibri" w:hAnsi="Calibri" w:cs="Calibri"/>
          <w:bCs/>
          <w:sz w:val="18"/>
          <w:szCs w:val="18"/>
        </w:rPr>
        <w:t>и осталог сектора државе</w:t>
      </w:r>
    </w:p>
    <w:p w14:paraId="407C98E9" w14:textId="77777777" w:rsidR="00AE5DED" w:rsidRPr="00671E8F" w:rsidRDefault="00AE5DED" w:rsidP="00AE5DED">
      <w:pPr>
        <w:rPr>
          <w:rFonts w:ascii="Calibri" w:eastAsia="Calibri" w:hAnsi="Calibri" w:cs="Calibri"/>
          <w:bCs/>
          <w:spacing w:val="-2"/>
          <w:szCs w:val="72"/>
        </w:rPr>
        <w:sectPr w:rsidR="00AE5DED" w:rsidRPr="00671E8F" w:rsidSect="00F45C01">
          <w:type w:val="continuous"/>
          <w:pgSz w:w="12240" w:h="15840" w:code="1"/>
          <w:pgMar w:top="1440" w:right="1440" w:bottom="1440" w:left="1440" w:header="720" w:footer="720" w:gutter="0"/>
          <w:cols w:space="720"/>
          <w:titlePg/>
          <w:docGrid w:linePitch="360"/>
        </w:sectPr>
      </w:pPr>
    </w:p>
    <w:p w14:paraId="0702FE6F" w14:textId="77777777" w:rsidR="00AE5DED" w:rsidRPr="00671E8F" w:rsidRDefault="00AE5DED" w:rsidP="00AE5DED">
      <w:pPr>
        <w:rPr>
          <w:rFonts w:ascii="Calibri" w:eastAsia="Calibri" w:hAnsi="Calibri" w:cs="Calibri"/>
          <w:bCs/>
          <w:spacing w:val="-2"/>
          <w:szCs w:val="72"/>
        </w:rPr>
      </w:pPr>
      <w:r w:rsidRPr="00671E8F">
        <w:rPr>
          <w:rFonts w:ascii="Calibri" w:eastAsia="Calibri" w:hAnsi="Calibri" w:cs="Calibri"/>
          <w:bCs/>
          <w:spacing w:val="-2"/>
          <w:szCs w:val="72"/>
        </w:rPr>
        <w:t>На крају 2024. године очекује се да учешће јавног дуга сектора државе у БДП износи 47,9%. У наредним годинама се очекује пад рација, који би у основном сценарију требало на крају 2025. године да износи 47,5%, на крају 2026. године 47,0%, а на крају 2027. године 46,5%. У датом периоду се очекује реализација великих инфраструктурних пројеката који ће бити финансирани углавном из пројектних зајмова, те њихова интензивнија реализација у односу на претходни период. Ово је управо једна од тачака где се може видети јасна координација фискалних и развојних циљева. Води се рачуна о одрживости јавног дуга и постепеном паду његовог учешћа у БДП, уз истовремено коришћење новог задуживања за побољшање инфраструктурних услова који доводе до раста БДП, животног стандарда и нових инвестиција. Предвиђа се да ће негарантовани дуг јединица локалне самоуправе и осталог сектора државе у наредном периоду бити на релативно стабилном нивоу од 0,4% до 0,5% БДП.</w:t>
      </w:r>
    </w:p>
    <w:p w14:paraId="18E7AF5C"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Принципи управљања јавним дугом</w:t>
      </w:r>
    </w:p>
    <w:p w14:paraId="0B3F176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Према Закону о јавном дугу, примарни циљ задуживања Републике Србије и управљања јавним дугом је обезбеђивање средстава за редовно сервисирање буџетских потреба по најповољнијим условима и трошковима финансирања уз прихватљив ниво ризика. На основу тога, Стратегија управљања јавним дугом Републике Србије дефинише следеће опште циљеве и принципе:</w:t>
      </w:r>
    </w:p>
    <w:p w14:paraId="0E712F4C"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1) Осигурати финансирање фискалног дефицита и редовно сервисирање обавеза по основу јавног дуга Републике Србије;</w:t>
      </w:r>
    </w:p>
    <w:p w14:paraId="2730338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2)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p>
    <w:p w14:paraId="7F358F5E"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3) Наставити развој тржишта државних хартија од вредности које се емитују на домаћем и међународном тржишту, што би помогло у смањењу трошкова задуживања у средњем и дугом року;</w:t>
      </w:r>
    </w:p>
    <w:p w14:paraId="44C9F45F"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4) Омогућити транспарентност и предвидивост процеса задуживања.</w:t>
      </w:r>
    </w:p>
    <w:p w14:paraId="12B0B7A8"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Стратегија управљања јавним дугом конзистентна је са општим средњорочним макроекономским и фискалним оквиром.</w:t>
      </w:r>
    </w:p>
    <w:p w14:paraId="20826506" w14:textId="77777777" w:rsidR="00AE5DED" w:rsidRPr="00671E8F" w:rsidRDefault="00AE5DED" w:rsidP="00AE5DED">
      <w:pPr>
        <w:rPr>
          <w:rFonts w:ascii="Calibri" w:eastAsia="Calibri" w:hAnsi="Calibri" w:cs="Calibri"/>
          <w:bCs/>
          <w:spacing w:val="-2"/>
          <w:szCs w:val="72"/>
        </w:rPr>
      </w:pPr>
      <w:r w:rsidRPr="00671E8F">
        <w:rPr>
          <w:rFonts w:ascii="Calibri" w:eastAsia="Calibri" w:hAnsi="Calibri" w:cs="Calibri"/>
          <w:bCs/>
          <w:spacing w:val="-2"/>
          <w:szCs w:val="72"/>
        </w:rPr>
        <w:t xml:space="preserve">Стратегија управљања јавним дугом у наредном средњорочном периоду базира се на финансирању дефицита и главнице дуга буџета Републике Србије путем емисија државних хартија од вредности на домаћем и међународном тржишту капитала како би било испуњено редовно сервисирање обавеза. Флексибилност ће се огледати у домену избора тржишта на коме ће се вршити задуживање, валуте задуживања и инструмената финансирања. Избор структуре финансирања узимаће у обзир тренутно стање и тренд развоја домаћег и међународног финансијског тржишта (ниво каматних стопа, премије ризика, криву приноса, девизне курсеве </w:t>
      </w:r>
      <w:r w:rsidRPr="00671E8F">
        <w:rPr>
          <w:rFonts w:ascii="Calibri" w:eastAsia="Calibri" w:hAnsi="Calibri" w:cs="Calibri"/>
          <w:bCs/>
          <w:spacing w:val="-2"/>
          <w:szCs w:val="72"/>
        </w:rPr>
        <w:lastRenderedPageBreak/>
        <w:t>референтних валута) и прихватљив ниво изложености финансијским ризицима.</w:t>
      </w:r>
    </w:p>
    <w:p w14:paraId="456A6B79"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Циљ је да се у наредном дугорочном периоду финансирање обавља пре свега емитовањем динарских хартија од вредности на домаћем тржишту. Део финансирања може бити обезбеђен и на међународном финансијском тржишту у средњорочном периоду. Успостављање </w:t>
      </w:r>
      <w:r w:rsidRPr="00671E8F">
        <w:rPr>
          <w:rFonts w:ascii="Calibri" w:eastAsia="Calibri" w:hAnsi="Calibri" w:cs="Calibri"/>
          <w:bCs/>
          <w:i/>
          <w:szCs w:val="72"/>
        </w:rPr>
        <w:t>GMTN</w:t>
      </w:r>
      <w:r w:rsidRPr="00671E8F">
        <w:rPr>
          <w:rFonts w:ascii="Calibri" w:eastAsia="Calibri" w:hAnsi="Calibri" w:cs="Calibri"/>
          <w:bCs/>
          <w:szCs w:val="72"/>
        </w:rPr>
        <w:t xml:space="preserve"> програма у 2020. години омогућило је флексибилност у избору финансирања и бржи приступ финансирању на међународном тржишту.</w:t>
      </w:r>
    </w:p>
    <w:p w14:paraId="1EA9E810"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Позајмљивање у страној валути, као нпр. у америчким доларима, за собом повлачи и девизни ризик услед промене курса евро – амерички долар, те ће се из тог разлога користити могућност хеџинга.</w:t>
      </w:r>
    </w:p>
    <w:p w14:paraId="77385EE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489D29B1" w14:textId="77777777" w:rsidR="00AE5DED" w:rsidRPr="00671E8F" w:rsidRDefault="00AE5DED" w:rsidP="00AE5DED">
      <w:r w:rsidRPr="00671E8F">
        <w:rPr>
          <w:rFonts w:ascii="Calibri" w:eastAsia="Calibri" w:hAnsi="Calibri" w:cs="Times New Roman"/>
          <w:b/>
          <w:color w:val="2F5496" w:themeColor="accent1" w:themeShade="BF"/>
          <w:sz w:val="22"/>
        </w:rPr>
        <w:t>Финансијски ризици и мере за управљање финансијским ризицима</w:t>
      </w:r>
    </w:p>
    <w:p w14:paraId="505555A0"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Утицај финансијских и фискалних ризика може довести до већег раста јавног дуга него што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(структура дуга, концентрација обавеза).</w:t>
      </w:r>
    </w:p>
    <w:p w14:paraId="74C2AB4C" w14:textId="77777777" w:rsidR="00AE5DED" w:rsidRPr="00671E8F" w:rsidRDefault="00AE5DED" w:rsidP="00AE5DED">
      <w:pPr>
        <w:spacing w:after="120"/>
        <w:rPr>
          <w:rFonts w:ascii="Calibri" w:eastAsia="Calibri" w:hAnsi="Calibri" w:cs="Calibri"/>
          <w:bCs/>
          <w:szCs w:val="72"/>
        </w:rPr>
      </w:pPr>
      <w:r w:rsidRPr="00671E8F">
        <w:rPr>
          <w:rFonts w:ascii="Calibri" w:eastAsia="Calibri" w:hAnsi="Calibri" w:cs="Calibri"/>
          <w:bCs/>
          <w:szCs w:val="72"/>
        </w:rPr>
        <w:t>У циљу смањења изложености финансијским ризицима потребно је спроводити следеће мере:</w:t>
      </w:r>
    </w:p>
    <w:p w14:paraId="6B326A15" w14:textId="77777777" w:rsidR="00AE5DED" w:rsidRPr="00671E8F" w:rsidRDefault="00AE5DED" w:rsidP="00AE5DED">
      <w:pPr>
        <w:spacing w:after="60"/>
        <w:rPr>
          <w:rFonts w:ascii="Calibri" w:eastAsia="Calibri" w:hAnsi="Calibri" w:cs="Calibri"/>
          <w:bCs/>
          <w:szCs w:val="72"/>
        </w:rPr>
      </w:pPr>
      <w:r w:rsidRPr="00671E8F">
        <w:rPr>
          <w:rFonts w:ascii="Calibri" w:eastAsia="Calibri" w:hAnsi="Calibri" w:cs="Calibri"/>
          <w:bCs/>
          <w:szCs w:val="72"/>
        </w:rPr>
        <w:t>1. ризик рефинансирања</w:t>
      </w:r>
    </w:p>
    <w:p w14:paraId="081CA1FE" w14:textId="77777777" w:rsidR="00AE5DED" w:rsidRPr="00671E8F" w:rsidRDefault="00AE5DED" w:rsidP="00AE5DED">
      <w:pPr>
        <w:numPr>
          <w:ilvl w:val="0"/>
          <w:numId w:val="8"/>
        </w:numPr>
        <w:ind w:left="180" w:hanging="180"/>
        <w:contextualSpacing/>
        <w:rPr>
          <w:rFonts w:ascii="Calibri" w:eastAsia="Calibri" w:hAnsi="Calibri" w:cs="Calibri"/>
          <w:bCs/>
          <w:szCs w:val="72"/>
        </w:rPr>
      </w:pPr>
      <w:r w:rsidRPr="00671E8F">
        <w:rPr>
          <w:rFonts w:ascii="Calibri" w:eastAsia="Calibri" w:hAnsi="Calibri" w:cs="Calibri"/>
          <w:bCs/>
          <w:szCs w:val="72"/>
        </w:rPr>
        <w:t>повећање учешћа средњорочних и дугорочних финансијских инструмената деноминованих у динарима на домаћем финансијском тржишту;</w:t>
      </w:r>
    </w:p>
    <w:p w14:paraId="4D7F3236" w14:textId="77777777" w:rsidR="00AE5DED" w:rsidRPr="00671E8F" w:rsidRDefault="00AE5DED" w:rsidP="00AE5DED">
      <w:pPr>
        <w:numPr>
          <w:ilvl w:val="0"/>
          <w:numId w:val="8"/>
        </w:numPr>
        <w:ind w:left="180" w:hanging="180"/>
        <w:contextualSpacing/>
        <w:rPr>
          <w:rFonts w:ascii="Calibri" w:eastAsia="Calibri" w:hAnsi="Calibri" w:cs="Calibri"/>
          <w:bCs/>
          <w:szCs w:val="72"/>
        </w:rPr>
      </w:pPr>
      <w:r w:rsidRPr="00671E8F">
        <w:rPr>
          <w:rFonts w:ascii="Calibri" w:eastAsia="Calibri" w:hAnsi="Calibri" w:cs="Calibri"/>
          <w:bCs/>
          <w:szCs w:val="72"/>
        </w:rPr>
        <w:t>равномерна расподела обавеза по основу јавног дуга на годишњем нивоу у наредном дугорочном периоду;</w:t>
      </w:r>
    </w:p>
    <w:p w14:paraId="23B63083" w14:textId="77777777" w:rsidR="00AE5DED" w:rsidRPr="00671E8F" w:rsidRDefault="00AE5DED" w:rsidP="00AE5DED">
      <w:pPr>
        <w:numPr>
          <w:ilvl w:val="0"/>
          <w:numId w:val="8"/>
        </w:numPr>
        <w:spacing w:after="120"/>
        <w:ind w:left="181" w:hanging="181"/>
        <w:rPr>
          <w:rFonts w:ascii="Calibri" w:eastAsia="Calibri" w:hAnsi="Calibri" w:cs="Calibri"/>
          <w:bCs/>
          <w:szCs w:val="72"/>
        </w:rPr>
      </w:pPr>
      <w:r w:rsidRPr="00671E8F">
        <w:rPr>
          <w:rFonts w:ascii="Calibri" w:eastAsia="Calibri" w:hAnsi="Calibri" w:cs="Calibri"/>
          <w:bCs/>
          <w:szCs w:val="72"/>
        </w:rPr>
        <w:t>продужавање просечне рочности дуга који се емитује у хартијама од вредности;</w:t>
      </w:r>
    </w:p>
    <w:p w14:paraId="1F6FE4D6" w14:textId="77777777" w:rsidR="00AE5DED" w:rsidRPr="00671E8F" w:rsidRDefault="00AE5DED" w:rsidP="00AE5DED">
      <w:pPr>
        <w:spacing w:after="60"/>
        <w:rPr>
          <w:rFonts w:ascii="Calibri" w:eastAsia="Calibri" w:hAnsi="Calibri" w:cs="Calibri"/>
          <w:bCs/>
          <w:szCs w:val="72"/>
        </w:rPr>
      </w:pPr>
      <w:r w:rsidRPr="00671E8F">
        <w:rPr>
          <w:rFonts w:ascii="Calibri" w:eastAsia="Calibri" w:hAnsi="Calibri" w:cs="Calibri"/>
          <w:bCs/>
          <w:szCs w:val="72"/>
        </w:rPr>
        <w:t>2. девизни ризик</w:t>
      </w:r>
    </w:p>
    <w:p w14:paraId="22AAB804" w14:textId="77777777" w:rsidR="00AE5DED" w:rsidRPr="00671E8F" w:rsidRDefault="00AE5DED" w:rsidP="00AE5DED">
      <w:pPr>
        <w:numPr>
          <w:ilvl w:val="1"/>
          <w:numId w:val="9"/>
        </w:numPr>
        <w:ind w:left="180" w:hanging="180"/>
        <w:contextualSpacing/>
        <w:rPr>
          <w:rFonts w:ascii="Calibri" w:eastAsia="Calibri" w:hAnsi="Calibri" w:cs="Calibri"/>
          <w:bCs/>
          <w:szCs w:val="72"/>
        </w:rPr>
      </w:pPr>
      <w:r w:rsidRPr="00671E8F">
        <w:rPr>
          <w:rFonts w:ascii="Calibri" w:eastAsia="Calibri" w:hAnsi="Calibri" w:cs="Calibri"/>
          <w:bCs/>
          <w:szCs w:val="72"/>
        </w:rPr>
        <w:t>настојање да се смањи учешће дуга деноминованог у ино-валути уз уважавање трошкова новог дуга (трошкови динаризације дуга);</w:t>
      </w:r>
    </w:p>
    <w:p w14:paraId="0A6235DE" w14:textId="77777777" w:rsidR="00AE5DED" w:rsidRPr="00671E8F" w:rsidRDefault="00AE5DED" w:rsidP="00AE5DED">
      <w:pPr>
        <w:numPr>
          <w:ilvl w:val="1"/>
          <w:numId w:val="9"/>
        </w:numPr>
        <w:ind w:left="180" w:hanging="180"/>
        <w:contextualSpacing/>
        <w:rPr>
          <w:rFonts w:ascii="Calibri" w:eastAsia="Calibri" w:hAnsi="Calibri" w:cs="Calibri"/>
          <w:bCs/>
          <w:szCs w:val="72"/>
        </w:rPr>
      </w:pPr>
      <w:r w:rsidRPr="00671E8F">
        <w:rPr>
          <w:rFonts w:ascii="Calibri" w:eastAsia="Calibri" w:hAnsi="Calibri" w:cs="Calibri"/>
          <w:bCs/>
          <w:szCs w:val="72"/>
        </w:rPr>
        <w:t>коришћење финансијских деривата у циљу лимитирања ефеката промене курсева референтних валута;</w:t>
      </w:r>
    </w:p>
    <w:p w14:paraId="74B932E7" w14:textId="77777777" w:rsidR="00AE5DED" w:rsidRPr="00671E8F" w:rsidRDefault="00AE5DED" w:rsidP="00AE5DED">
      <w:pPr>
        <w:numPr>
          <w:ilvl w:val="1"/>
          <w:numId w:val="9"/>
        </w:numPr>
        <w:spacing w:after="120"/>
        <w:ind w:left="181" w:hanging="181"/>
        <w:rPr>
          <w:rFonts w:ascii="Calibri" w:eastAsia="Calibri" w:hAnsi="Calibri" w:cs="Calibri"/>
          <w:bCs/>
          <w:szCs w:val="72"/>
        </w:rPr>
      </w:pPr>
      <w:r w:rsidRPr="00671E8F">
        <w:rPr>
          <w:rFonts w:ascii="Calibri" w:eastAsia="Calibri" w:hAnsi="Calibri" w:cs="Calibri"/>
          <w:bCs/>
          <w:szCs w:val="72"/>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финансијских деривата за лимитирање ризика;</w:t>
      </w:r>
    </w:p>
    <w:p w14:paraId="7FE2BD07" w14:textId="77777777" w:rsidR="00AE5DED" w:rsidRPr="00671E8F" w:rsidRDefault="00AE5DED" w:rsidP="00AE5DED">
      <w:pPr>
        <w:spacing w:after="60"/>
        <w:ind w:left="181" w:hanging="181"/>
        <w:rPr>
          <w:rFonts w:ascii="Calibri" w:eastAsia="Calibri" w:hAnsi="Calibri" w:cs="Calibri"/>
          <w:bCs/>
          <w:szCs w:val="72"/>
        </w:rPr>
      </w:pPr>
      <w:r w:rsidRPr="00671E8F">
        <w:rPr>
          <w:rFonts w:ascii="Calibri" w:eastAsia="Calibri" w:hAnsi="Calibri" w:cs="Calibri"/>
          <w:bCs/>
          <w:szCs w:val="72"/>
        </w:rPr>
        <w:t>3. тржишни ризик (ризик каматних стопа, ризик инфлације)</w:t>
      </w:r>
    </w:p>
    <w:p w14:paraId="387AB226" w14:textId="77777777" w:rsidR="00AE5DED" w:rsidRPr="00671E8F" w:rsidRDefault="00AE5DED" w:rsidP="00AE5DED">
      <w:pPr>
        <w:numPr>
          <w:ilvl w:val="1"/>
          <w:numId w:val="10"/>
        </w:numPr>
        <w:ind w:left="180" w:hanging="180"/>
        <w:contextualSpacing/>
        <w:rPr>
          <w:rFonts w:ascii="Calibri" w:eastAsia="Calibri" w:hAnsi="Calibri" w:cs="Calibri"/>
          <w:bCs/>
          <w:szCs w:val="72"/>
        </w:rPr>
      </w:pPr>
      <w:r w:rsidRPr="00671E8F">
        <w:rPr>
          <w:rFonts w:ascii="Calibri" w:eastAsia="Calibri" w:hAnsi="Calibri" w:cs="Calibri"/>
          <w:bCs/>
          <w:szCs w:val="72"/>
        </w:rPr>
        <w:t>настојање да се продужи просечна рочност домаћег дуга у динарима;</w:t>
      </w:r>
    </w:p>
    <w:p w14:paraId="56113857" w14:textId="77777777" w:rsidR="00AE5DED" w:rsidRPr="00671E8F" w:rsidRDefault="00AE5DED" w:rsidP="00AE5DED">
      <w:pPr>
        <w:numPr>
          <w:ilvl w:val="1"/>
          <w:numId w:val="10"/>
        </w:numPr>
        <w:spacing w:after="120"/>
        <w:ind w:left="181" w:hanging="181"/>
        <w:rPr>
          <w:rFonts w:ascii="Calibri" w:eastAsia="Calibri" w:hAnsi="Calibri" w:cs="Calibri"/>
          <w:bCs/>
          <w:szCs w:val="72"/>
        </w:rPr>
      </w:pPr>
      <w:r w:rsidRPr="00671E8F">
        <w:rPr>
          <w:rFonts w:ascii="Calibri" w:eastAsia="Calibri" w:hAnsi="Calibri" w:cs="Calibri"/>
          <w:bCs/>
          <w:szCs w:val="72"/>
        </w:rPr>
        <w:t>настојање да ризик по основу каматних стопа на спољни дуг не угрожава дугорочни циљ минимизације трошкова јавног дуга;</w:t>
      </w:r>
    </w:p>
    <w:p w14:paraId="6DAB47F4" w14:textId="77777777" w:rsidR="00AE5DED" w:rsidRPr="00671E8F" w:rsidRDefault="00AE5DED" w:rsidP="00AE5DED">
      <w:pPr>
        <w:spacing w:after="60"/>
        <w:rPr>
          <w:rFonts w:ascii="Calibri" w:eastAsia="Calibri" w:hAnsi="Calibri" w:cs="Calibri"/>
          <w:bCs/>
          <w:szCs w:val="72"/>
        </w:rPr>
      </w:pPr>
      <w:r w:rsidRPr="00671E8F">
        <w:rPr>
          <w:rFonts w:ascii="Calibri" w:eastAsia="Calibri" w:hAnsi="Calibri" w:cs="Calibri"/>
          <w:bCs/>
          <w:szCs w:val="72"/>
        </w:rPr>
        <w:t>4. ризик ликвидности</w:t>
      </w:r>
    </w:p>
    <w:p w14:paraId="5EF4607D" w14:textId="77777777" w:rsidR="00AE5DED" w:rsidRPr="00671E8F" w:rsidRDefault="00AE5DED" w:rsidP="00AE5DED">
      <w:pPr>
        <w:numPr>
          <w:ilvl w:val="1"/>
          <w:numId w:val="11"/>
        </w:numPr>
        <w:ind w:left="180" w:hanging="180"/>
        <w:contextualSpacing/>
        <w:rPr>
          <w:rFonts w:ascii="Calibri" w:eastAsia="Calibri" w:hAnsi="Calibri" w:cs="Calibri"/>
          <w:bCs/>
          <w:szCs w:val="72"/>
        </w:rPr>
      </w:pPr>
      <w:r w:rsidRPr="00671E8F">
        <w:rPr>
          <w:rFonts w:ascii="Calibri" w:eastAsia="Calibri" w:hAnsi="Calibri" w:cs="Calibri"/>
          <w:bCs/>
          <w:szCs w:val="72"/>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апсорпцију евентуалних мањих прилива по основу задуживања у односу на план;</w:t>
      </w:r>
    </w:p>
    <w:p w14:paraId="60267732" w14:textId="77777777" w:rsidR="00AE5DED" w:rsidRPr="00671E8F" w:rsidRDefault="00AE5DED" w:rsidP="00AE5DED">
      <w:pPr>
        <w:numPr>
          <w:ilvl w:val="1"/>
          <w:numId w:val="11"/>
        </w:numPr>
        <w:spacing w:after="120"/>
        <w:ind w:left="181" w:hanging="181"/>
        <w:rPr>
          <w:rFonts w:ascii="Calibri" w:eastAsia="Calibri" w:hAnsi="Calibri" w:cs="Calibri"/>
          <w:bCs/>
          <w:szCs w:val="72"/>
        </w:rPr>
      </w:pPr>
      <w:r w:rsidRPr="00671E8F">
        <w:rPr>
          <w:rFonts w:ascii="Calibri" w:eastAsia="Calibri" w:hAnsi="Calibri" w:cs="Calibri"/>
          <w:bCs/>
          <w:szCs w:val="72"/>
        </w:rPr>
        <w:t>адекватно управљање слободним готовинским средствима на рачунима Републике Србије у складу са принципима asset-liability management и у складу са могућностима;</w:t>
      </w:r>
    </w:p>
    <w:p w14:paraId="3EB7A68F" w14:textId="77777777" w:rsidR="00AE5DED" w:rsidRPr="00671E8F" w:rsidRDefault="00AE5DED" w:rsidP="00AE5DED">
      <w:pPr>
        <w:spacing w:after="60"/>
        <w:rPr>
          <w:rFonts w:ascii="Calibri" w:eastAsia="Calibri" w:hAnsi="Calibri" w:cs="Calibri"/>
          <w:bCs/>
          <w:szCs w:val="72"/>
        </w:rPr>
      </w:pPr>
      <w:r w:rsidRPr="00671E8F">
        <w:rPr>
          <w:rFonts w:ascii="Calibri" w:eastAsia="Calibri" w:hAnsi="Calibri" w:cs="Calibri"/>
          <w:bCs/>
          <w:szCs w:val="72"/>
        </w:rPr>
        <w:t>5. кредитни и оперативни ризици</w:t>
      </w:r>
    </w:p>
    <w:p w14:paraId="267D9D48" w14:textId="77777777" w:rsidR="00AE5DED" w:rsidRPr="00671E8F" w:rsidRDefault="00AE5DED" w:rsidP="00AE5DED">
      <w:pPr>
        <w:numPr>
          <w:ilvl w:val="1"/>
          <w:numId w:val="12"/>
        </w:numPr>
        <w:ind w:left="180" w:hanging="180"/>
        <w:contextualSpacing/>
        <w:rPr>
          <w:rFonts w:ascii="Calibri" w:eastAsia="Calibri" w:hAnsi="Calibri" w:cs="Calibri"/>
          <w:bCs/>
          <w:szCs w:val="72"/>
        </w:rPr>
      </w:pPr>
      <w:r w:rsidRPr="00671E8F">
        <w:rPr>
          <w:rFonts w:ascii="Calibri" w:eastAsia="Calibri" w:hAnsi="Calibri" w:cs="Calibri"/>
          <w:bCs/>
          <w:szCs w:val="72"/>
        </w:rPr>
        <w:t>спровођење трансакција са финансијским дериватима само са финансијским институцијама које имају висок кредитни рејтинг;</w:t>
      </w:r>
    </w:p>
    <w:p w14:paraId="3C07AB1F" w14:textId="77777777" w:rsidR="00AE5DED" w:rsidRPr="00671E8F" w:rsidRDefault="00AE5DED" w:rsidP="00AE5DED">
      <w:pPr>
        <w:numPr>
          <w:ilvl w:val="1"/>
          <w:numId w:val="12"/>
        </w:numPr>
        <w:ind w:left="180" w:hanging="180"/>
        <w:contextualSpacing/>
        <w:rPr>
          <w:rFonts w:ascii="Calibri" w:eastAsia="Calibri" w:hAnsi="Calibri" w:cs="Calibri"/>
          <w:bCs/>
          <w:szCs w:val="72"/>
        </w:rPr>
      </w:pPr>
      <w:r w:rsidRPr="00671E8F">
        <w:rPr>
          <w:rFonts w:ascii="Calibri" w:eastAsia="Calibri" w:hAnsi="Calibri" w:cs="Calibri"/>
          <w:bCs/>
          <w:szCs w:val="72"/>
        </w:rPr>
        <w:t>коришћење финансијских инструмената који лимитирају кредитни ризик;</w:t>
      </w:r>
    </w:p>
    <w:p w14:paraId="0D3CA78C" w14:textId="77777777" w:rsidR="00AE5DED" w:rsidRPr="00671E8F" w:rsidRDefault="00AE5DED" w:rsidP="00AE5DED">
      <w:pPr>
        <w:numPr>
          <w:ilvl w:val="1"/>
          <w:numId w:val="12"/>
        </w:numPr>
        <w:ind w:left="180" w:hanging="180"/>
        <w:contextualSpacing/>
        <w:rPr>
          <w:rFonts w:ascii="Calibri" w:eastAsia="Calibri" w:hAnsi="Calibri" w:cs="Calibri"/>
          <w:bCs/>
          <w:szCs w:val="72"/>
        </w:rPr>
      </w:pPr>
      <w:r w:rsidRPr="00671E8F">
        <w:rPr>
          <w:rFonts w:ascii="Calibri" w:eastAsia="Calibri" w:hAnsi="Calibri" w:cs="Calibri"/>
          <w:bCs/>
          <w:szCs w:val="72"/>
        </w:rPr>
        <w:t xml:space="preserve">давање гаранција и одобравање новог дуга јединицама локалне самоуправе само ако </w:t>
      </w:r>
      <w:r w:rsidRPr="00671E8F">
        <w:rPr>
          <w:rFonts w:ascii="Calibri" w:eastAsia="Calibri" w:hAnsi="Calibri" w:cs="Calibri"/>
          <w:bCs/>
          <w:szCs w:val="72"/>
        </w:rPr>
        <w:lastRenderedPageBreak/>
        <w:t>постоји адекватна анализа о релативно ниском степену вероватноће да се реализује гаранција или да јединица локалне самоуправе постане несолвентна у средњорочном периоду;</w:t>
      </w:r>
    </w:p>
    <w:p w14:paraId="6AF44CD2" w14:textId="77777777" w:rsidR="00AE5DED" w:rsidRPr="00671E8F" w:rsidRDefault="00AE5DED" w:rsidP="00AE5DED">
      <w:pPr>
        <w:numPr>
          <w:ilvl w:val="0"/>
          <w:numId w:val="5"/>
        </w:numPr>
        <w:tabs>
          <w:tab w:val="left" w:pos="90"/>
        </w:tabs>
        <w:spacing w:after="120"/>
        <w:ind w:left="181" w:hanging="181"/>
        <w:rPr>
          <w:rFonts w:ascii="Calibri" w:eastAsia="Calibri" w:hAnsi="Calibri" w:cs="Calibri"/>
          <w:bCs/>
          <w:szCs w:val="72"/>
        </w:rPr>
      </w:pPr>
      <w:r w:rsidRPr="00671E8F">
        <w:rPr>
          <w:rFonts w:ascii="Calibri" w:eastAsia="Calibri" w:hAnsi="Calibri" w:cs="Calibri"/>
          <w:bCs/>
          <w:szCs w:val="72"/>
        </w:rPr>
        <w:t>увођење адекватне контроле у свим пословним активностима у Управи за јавни дуг и унапређење знања запослених;</w:t>
      </w:r>
    </w:p>
    <w:p w14:paraId="3933FF83" w14:textId="77777777" w:rsidR="00AE5DED" w:rsidRPr="00671E8F" w:rsidRDefault="00AE5DED" w:rsidP="00AE5DED">
      <w:pPr>
        <w:tabs>
          <w:tab w:val="left" w:pos="90"/>
        </w:tabs>
        <w:spacing w:after="60"/>
        <w:ind w:left="181" w:hanging="181"/>
        <w:rPr>
          <w:rFonts w:ascii="Calibri" w:eastAsia="Calibri" w:hAnsi="Calibri" w:cs="Calibri"/>
          <w:bCs/>
          <w:szCs w:val="72"/>
        </w:rPr>
      </w:pPr>
      <w:r w:rsidRPr="00671E8F">
        <w:rPr>
          <w:rFonts w:ascii="Calibri" w:eastAsia="Calibri" w:hAnsi="Calibri" w:cs="Calibri"/>
          <w:bCs/>
          <w:szCs w:val="72"/>
        </w:rPr>
        <w:t>6. ризици везани за дистрибуцију трошкова сервисирања</w:t>
      </w:r>
    </w:p>
    <w:p w14:paraId="1ADE1BBC" w14:textId="77777777" w:rsidR="00AE5DED" w:rsidRPr="00671E8F" w:rsidRDefault="00AE5DED" w:rsidP="00AE5DED">
      <w:pPr>
        <w:numPr>
          <w:ilvl w:val="0"/>
          <w:numId w:val="5"/>
        </w:numPr>
        <w:tabs>
          <w:tab w:val="left" w:pos="90"/>
        </w:tabs>
        <w:ind w:left="181" w:hanging="181"/>
        <w:contextualSpacing/>
        <w:rPr>
          <w:rFonts w:ascii="Calibri" w:eastAsia="Calibri" w:hAnsi="Calibri" w:cs="Calibri"/>
          <w:bCs/>
          <w:szCs w:val="72"/>
        </w:rPr>
      </w:pPr>
      <w:r w:rsidRPr="00671E8F">
        <w:rPr>
          <w:rFonts w:ascii="Calibri" w:eastAsia="Calibri" w:hAnsi="Calibri" w:cs="Calibri"/>
          <w:bCs/>
          <w:szCs w:val="72"/>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p>
    <w:p w14:paraId="55DAB84A" w14:textId="77777777" w:rsidR="00AE5DED" w:rsidRPr="00671E8F" w:rsidRDefault="00AE5DED" w:rsidP="00AE5DED">
      <w:pPr>
        <w:numPr>
          <w:ilvl w:val="0"/>
          <w:numId w:val="5"/>
        </w:numPr>
        <w:tabs>
          <w:tab w:val="left" w:pos="90"/>
        </w:tabs>
        <w:ind w:left="181" w:hanging="181"/>
        <w:rPr>
          <w:rFonts w:ascii="Calibri" w:eastAsia="Calibri" w:hAnsi="Calibri" w:cs="Calibri"/>
          <w:bCs/>
          <w:szCs w:val="72"/>
        </w:rPr>
      </w:pPr>
      <w:r w:rsidRPr="00671E8F">
        <w:rPr>
          <w:rFonts w:ascii="Calibri" w:eastAsia="Calibri" w:hAnsi="Calibri" w:cs="Calibri"/>
          <w:bCs/>
          <w:szCs w:val="72"/>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14:paraId="42DCC32D"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Анализе коришћене приликом израде Стратегије за управљање јавним дугом</w:t>
      </w:r>
    </w:p>
    <w:p w14:paraId="2A387C7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За формулисање Стратегије за управљање јавним дугом коришћен је квантитативни приступ у анализи трошкова и ризика који утичу на управљање јавним дугом.</w:t>
      </w:r>
    </w:p>
    <w:p w14:paraId="540B1F38"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Имајући у виду макроекономско окружење и тржишне услове, упоредно се разматрају алтернативни извори финансирања.</w:t>
      </w:r>
    </w:p>
    <w:p w14:paraId="49B9803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 сврху анализе коришћени су инструменти доступни на домаћем и међународном финансијском тржишту.</w:t>
      </w:r>
    </w:p>
    <w:p w14:paraId="6C785B6D" w14:textId="77777777" w:rsidR="00AE5DED" w:rsidRPr="00671E8F" w:rsidRDefault="00AE5DED" w:rsidP="00AE5DED">
      <w:pPr>
        <w:spacing w:after="120"/>
        <w:rPr>
          <w:rFonts w:ascii="Calibri" w:eastAsia="Calibri" w:hAnsi="Calibri" w:cs="Calibri"/>
          <w:bCs/>
          <w:szCs w:val="72"/>
        </w:rPr>
      </w:pPr>
      <w:r w:rsidRPr="00671E8F">
        <w:rPr>
          <w:rFonts w:ascii="Calibri" w:eastAsia="Calibri" w:hAnsi="Calibri" w:cs="Calibri"/>
          <w:bCs/>
          <w:szCs w:val="72"/>
        </w:rPr>
        <w:t>Извори финансирања деноминовани у страној валути:</w:t>
      </w:r>
    </w:p>
    <w:p w14:paraId="60584D32" w14:textId="77777777" w:rsidR="00AE5DED" w:rsidRPr="00671E8F" w:rsidRDefault="00AE5DED" w:rsidP="00AE5DED">
      <w:pPr>
        <w:numPr>
          <w:ilvl w:val="0"/>
          <w:numId w:val="6"/>
        </w:numPr>
        <w:ind w:left="180" w:hanging="180"/>
        <w:contextualSpacing/>
        <w:rPr>
          <w:rFonts w:ascii="Calibri" w:eastAsia="Calibri" w:hAnsi="Calibri" w:cs="Calibri"/>
          <w:bCs/>
          <w:szCs w:val="72"/>
        </w:rPr>
      </w:pPr>
      <w:r w:rsidRPr="00671E8F">
        <w:rPr>
          <w:rFonts w:ascii="Calibri" w:eastAsia="Calibri" w:hAnsi="Calibri" w:cs="Calibri"/>
          <w:bCs/>
          <w:szCs w:val="72"/>
        </w:rPr>
        <w:t>Зајмови страних влада, међународних финансијских институција, пословних банака и других поверилаца – приказани као концесионални инструменти деноминовани у еврима или америчким доларима, са фиксном или варијабилном каматном стопом;</w:t>
      </w:r>
    </w:p>
    <w:p w14:paraId="369666E2" w14:textId="77777777" w:rsidR="00AE5DED" w:rsidRPr="00671E8F" w:rsidRDefault="00AE5DED" w:rsidP="00AE5DED">
      <w:pPr>
        <w:numPr>
          <w:ilvl w:val="0"/>
          <w:numId w:val="6"/>
        </w:numPr>
        <w:ind w:left="180" w:hanging="180"/>
        <w:contextualSpacing/>
        <w:rPr>
          <w:rFonts w:ascii="Calibri" w:eastAsia="Calibri" w:hAnsi="Calibri" w:cs="Calibri"/>
          <w:bCs/>
          <w:szCs w:val="72"/>
        </w:rPr>
      </w:pPr>
      <w:r w:rsidRPr="00671E8F">
        <w:rPr>
          <w:rFonts w:ascii="Calibri" w:eastAsia="Calibri" w:hAnsi="Calibri" w:cs="Calibri"/>
          <w:bCs/>
          <w:szCs w:val="72"/>
        </w:rPr>
        <w:t>Државни записи и државне обвезнице емитоване на домаћем или иностраном финансијском тржишту, деноминовани у еврима;</w:t>
      </w:r>
    </w:p>
    <w:p w14:paraId="42F5BF46" w14:textId="77777777" w:rsidR="00AE5DED" w:rsidRPr="00671E8F" w:rsidRDefault="00AE5DED" w:rsidP="00AE5DED">
      <w:pPr>
        <w:numPr>
          <w:ilvl w:val="0"/>
          <w:numId w:val="6"/>
        </w:numPr>
        <w:ind w:left="180" w:hanging="180"/>
        <w:contextualSpacing/>
        <w:rPr>
          <w:rFonts w:ascii="Calibri" w:eastAsia="Calibri" w:hAnsi="Calibri" w:cs="Calibri"/>
          <w:bCs/>
          <w:szCs w:val="72"/>
        </w:rPr>
      </w:pPr>
      <w:r w:rsidRPr="00671E8F">
        <w:rPr>
          <w:rFonts w:ascii="Calibri" w:eastAsia="Calibri" w:hAnsi="Calibri" w:cs="Calibri"/>
          <w:bCs/>
          <w:szCs w:val="72"/>
        </w:rPr>
        <w:t>Еврообвезницe – емитованe у еврима или америчким доларима на међународном финансијском тржишту.</w:t>
      </w:r>
    </w:p>
    <w:p w14:paraId="68B7ABBB" w14:textId="77777777" w:rsidR="00AE5DED" w:rsidRPr="00671E8F" w:rsidRDefault="00AE5DED" w:rsidP="00AE5DED">
      <w:pPr>
        <w:ind w:left="180"/>
        <w:contextualSpacing/>
        <w:rPr>
          <w:rFonts w:ascii="Calibri" w:eastAsia="Calibri" w:hAnsi="Calibri" w:cs="Calibri"/>
          <w:bCs/>
          <w:szCs w:val="72"/>
        </w:rPr>
      </w:pPr>
    </w:p>
    <w:p w14:paraId="694413D3" w14:textId="77777777" w:rsidR="00AE5DED" w:rsidRPr="00671E8F" w:rsidRDefault="00AE5DED" w:rsidP="00AE5DED">
      <w:pPr>
        <w:spacing w:after="120"/>
        <w:rPr>
          <w:rFonts w:ascii="Calibri" w:eastAsia="Calibri" w:hAnsi="Calibri" w:cs="Calibri"/>
          <w:bCs/>
          <w:szCs w:val="72"/>
        </w:rPr>
      </w:pPr>
      <w:r w:rsidRPr="00671E8F">
        <w:rPr>
          <w:rFonts w:ascii="Calibri" w:eastAsia="Calibri" w:hAnsi="Calibri" w:cs="Calibri"/>
          <w:bCs/>
          <w:szCs w:val="72"/>
        </w:rPr>
        <w:t>Извори финансирања у домаћој валути:</w:t>
      </w:r>
    </w:p>
    <w:p w14:paraId="73B97F42" w14:textId="77777777" w:rsidR="00AE5DED" w:rsidRPr="00671E8F" w:rsidRDefault="00AE5DED" w:rsidP="00AE5DED">
      <w:pPr>
        <w:numPr>
          <w:ilvl w:val="1"/>
          <w:numId w:val="7"/>
        </w:numPr>
        <w:spacing w:line="256" w:lineRule="auto"/>
        <w:ind w:left="181" w:hanging="181"/>
      </w:pPr>
      <w:r w:rsidRPr="00671E8F">
        <w:rPr>
          <w:rFonts w:ascii="Calibri" w:eastAsia="Calibri" w:hAnsi="Calibri" w:cs="Calibri"/>
          <w:bCs/>
          <w:szCs w:val="72"/>
        </w:rPr>
        <w:t>Државни записи и државне обвезнице емитоване на домаћем финансијском тржишту, деноминовани у динарима;</w:t>
      </w:r>
    </w:p>
    <w:p w14:paraId="2E53FF9D" w14:textId="53C8683C" w:rsidR="00AE5DED" w:rsidRPr="00671E8F" w:rsidRDefault="00AE5DED" w:rsidP="00AE5DED">
      <w:pPr>
        <w:numPr>
          <w:ilvl w:val="1"/>
          <w:numId w:val="7"/>
        </w:numPr>
        <w:spacing w:line="256" w:lineRule="auto"/>
        <w:ind w:left="181" w:hanging="181"/>
      </w:pPr>
      <w:r w:rsidRPr="00671E8F">
        <w:rPr>
          <w:rFonts w:ascii="Calibri" w:eastAsia="Calibri" w:hAnsi="Calibri" w:cs="Calibri"/>
          <w:bCs/>
          <w:szCs w:val="72"/>
        </w:rPr>
        <w:t>Кредитни аранжмани деноминовани у динарима, од до</w:t>
      </w:r>
      <w:r w:rsidR="0098737C" w:rsidRPr="00671E8F">
        <w:rPr>
          <w:rFonts w:ascii="Calibri" w:eastAsia="Calibri" w:hAnsi="Calibri" w:cs="Calibri"/>
          <w:bCs/>
          <w:szCs w:val="72"/>
        </w:rPr>
        <w:t xml:space="preserve">маћих поверилаца за </w:t>
      </w:r>
      <w:r w:rsidRPr="00671E8F">
        <w:rPr>
          <w:rFonts w:ascii="Calibri" w:eastAsia="Calibri" w:hAnsi="Calibri" w:cs="Calibri"/>
          <w:bCs/>
          <w:szCs w:val="72"/>
        </w:rPr>
        <w:t>финансирање значајних пројеката у земљи.</w:t>
      </w:r>
    </w:p>
    <w:p w14:paraId="6781EE98"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Будуће тржишне каматне стопе и сценарио анализа</w:t>
      </w:r>
    </w:p>
    <w:p w14:paraId="7EAB1EC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Након избора одговарајуће композиције извора финансирања (изабраних и компаративних стратегија финансирања), приступа се анализи трошкова и ризика полазећи од основног (највероватнијег) сценарија, након чега се врши стрес тестирање за додатне врсте сценарија –шокова, како би се добио преглед ефеката коштања разматраних стратегија.</w:t>
      </w:r>
    </w:p>
    <w:p w14:paraId="05C87ECE"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Основни сценарио се базира на највише вероватним тржишним условима за три групе тржишних варијабли: девизни курс, каматне стопе на међународном тржишту и каматне стопе на домаћем тржишту. Приступ за динарске и евро каматне стопе заснива се на стопама оствареним током претходне и текуће године.</w:t>
      </w:r>
    </w:p>
    <w:p w14:paraId="77B5557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Након дефинисања основног сценарија, у циљу стрес тестирања одабране су додатне врсте сценарија – шокова:</w:t>
      </w:r>
    </w:p>
    <w:p w14:paraId="029C8BA7" w14:textId="77777777" w:rsidR="00AE5DED" w:rsidRPr="00671E8F" w:rsidRDefault="00AE5DED" w:rsidP="00AE5DED">
      <w:pPr>
        <w:pStyle w:val="ListParagraph"/>
        <w:numPr>
          <w:ilvl w:val="2"/>
          <w:numId w:val="6"/>
        </w:numPr>
        <w:spacing w:after="60"/>
        <w:ind w:left="227" w:hanging="227"/>
        <w:contextualSpacing w:val="0"/>
        <w:rPr>
          <w:rFonts w:ascii="Calibri" w:eastAsia="Calibri" w:hAnsi="Calibri" w:cs="Calibri"/>
          <w:bCs/>
          <w:szCs w:val="72"/>
        </w:rPr>
      </w:pPr>
      <w:r w:rsidRPr="00671E8F">
        <w:rPr>
          <w:rFonts w:ascii="Calibri" w:eastAsia="Calibri" w:hAnsi="Calibri" w:cs="Calibri"/>
          <w:bCs/>
          <w:szCs w:val="72"/>
        </w:rPr>
        <w:t>Депрецијација динара у односу на све валуте од 15% у 2026.</w:t>
      </w:r>
      <w:r w:rsidRPr="00671E8F">
        <w:rPr>
          <w:rFonts w:ascii="Calibri" w:eastAsia="Calibri" w:hAnsi="Calibri" w:cs="Calibri"/>
          <w:bCs/>
          <w:color w:val="FF0000"/>
          <w:szCs w:val="72"/>
        </w:rPr>
        <w:t xml:space="preserve"> </w:t>
      </w:r>
      <w:r w:rsidRPr="00671E8F">
        <w:rPr>
          <w:rFonts w:ascii="Calibri" w:eastAsia="Calibri" w:hAnsi="Calibri" w:cs="Calibri"/>
          <w:bCs/>
          <w:szCs w:val="72"/>
        </w:rPr>
        <w:t>години. У овом сценарију однос евра и америчког долара би остао стабилан, док би само динар депрецирао у односу на обе валуте;</w:t>
      </w:r>
    </w:p>
    <w:p w14:paraId="4AA63BD7" w14:textId="77777777" w:rsidR="00AE5DED" w:rsidRPr="00671E8F" w:rsidRDefault="00AE5DED" w:rsidP="00AE5DED">
      <w:pPr>
        <w:pStyle w:val="ListParagraph"/>
        <w:numPr>
          <w:ilvl w:val="2"/>
          <w:numId w:val="6"/>
        </w:numPr>
        <w:spacing w:after="60"/>
        <w:ind w:left="227" w:hanging="227"/>
        <w:contextualSpacing w:val="0"/>
        <w:rPr>
          <w:rFonts w:ascii="Calibri" w:eastAsia="Calibri" w:hAnsi="Calibri" w:cs="Calibri"/>
          <w:bCs/>
          <w:szCs w:val="72"/>
        </w:rPr>
      </w:pPr>
      <w:r w:rsidRPr="00671E8F">
        <w:rPr>
          <w:rFonts w:ascii="Calibri" w:eastAsia="Calibri" w:hAnsi="Calibri" w:cs="Calibri"/>
          <w:bCs/>
          <w:szCs w:val="72"/>
        </w:rPr>
        <w:t>Повећање каматних стопа на домаћем и међународном тржишту за 2 п.п.;</w:t>
      </w:r>
    </w:p>
    <w:p w14:paraId="66528D75" w14:textId="77777777" w:rsidR="00AE5DED" w:rsidRPr="00671E8F" w:rsidRDefault="00AE5DED" w:rsidP="00AE5DED">
      <w:pPr>
        <w:pStyle w:val="ListParagraph"/>
        <w:numPr>
          <w:ilvl w:val="2"/>
          <w:numId w:val="6"/>
        </w:numPr>
        <w:spacing w:after="60"/>
        <w:ind w:left="227" w:hanging="227"/>
        <w:contextualSpacing w:val="0"/>
        <w:rPr>
          <w:rFonts w:ascii="Calibri" w:eastAsia="Calibri" w:hAnsi="Calibri" w:cs="Calibri"/>
          <w:bCs/>
          <w:spacing w:val="-4"/>
          <w:szCs w:val="72"/>
        </w:rPr>
      </w:pPr>
      <w:r w:rsidRPr="00671E8F">
        <w:rPr>
          <w:rFonts w:ascii="Calibri" w:eastAsia="Calibri" w:hAnsi="Calibri" w:cs="Calibri"/>
          <w:bCs/>
          <w:spacing w:val="-4"/>
          <w:szCs w:val="72"/>
        </w:rPr>
        <w:t>Повећање каматних стопа на међународном тржишту до 3 п.п., а на домаћем тржишту до 4 п.п.;</w:t>
      </w:r>
    </w:p>
    <w:p w14:paraId="0809B6FF" w14:textId="77777777" w:rsidR="00AE5DED" w:rsidRPr="00671E8F" w:rsidRDefault="00AE5DED" w:rsidP="00AE5DED">
      <w:pPr>
        <w:pStyle w:val="ListParagraph"/>
        <w:numPr>
          <w:ilvl w:val="2"/>
          <w:numId w:val="6"/>
        </w:numPr>
        <w:ind w:left="227" w:hanging="227"/>
        <w:rPr>
          <w:rFonts w:ascii="Calibri" w:eastAsia="Calibri" w:hAnsi="Calibri" w:cs="Calibri"/>
          <w:bCs/>
          <w:szCs w:val="72"/>
        </w:rPr>
      </w:pPr>
      <w:r w:rsidRPr="00671E8F">
        <w:rPr>
          <w:rFonts w:ascii="Calibri" w:eastAsia="Calibri" w:hAnsi="Calibri" w:cs="Calibri"/>
          <w:bCs/>
          <w:szCs w:val="72"/>
        </w:rPr>
        <w:t>Комбиновани шок који се односи на депрецијацију динара у односу на долар 15% у 2026. години и раст каматних стопа за 2 п.п.</w:t>
      </w:r>
    </w:p>
    <w:p w14:paraId="77BE00EB"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lastRenderedPageBreak/>
        <w:t>Алтернативне стратегије задуживања за период 2025–2027. године</w:t>
      </w:r>
    </w:p>
    <w:p w14:paraId="4F361E9F"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На бази модела Светске банке </w:t>
      </w:r>
      <w:r w:rsidRPr="00671E8F">
        <w:rPr>
          <w:rFonts w:ascii="Calibri" w:eastAsia="Calibri" w:hAnsi="Calibri" w:cs="Calibri"/>
          <w:bCs/>
          <w:i/>
          <w:szCs w:val="72"/>
        </w:rPr>
        <w:t>Medium Term Debt Strategy Model</w:t>
      </w:r>
      <w:r w:rsidRPr="00671E8F">
        <w:rPr>
          <w:rFonts w:ascii="Calibri" w:eastAsia="Calibri" w:hAnsi="Calibri" w:cs="Calibri"/>
          <w:bCs/>
          <w:szCs w:val="72"/>
        </w:rPr>
        <w:t xml:space="preserve"> – MTDS, анализиране алтернативне стратегије задуживања су:</w:t>
      </w:r>
    </w:p>
    <w:p w14:paraId="6A419F4A" w14:textId="5819D54C"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Основна стратегија (С1): представља стратегију која укупне потребе за буџетским финансирањем покрива комбинацијом извора финансирања у страној и домаћој валути. Изворе буџетског финансирања у страној валути сачињавају највећим делом примања од продаје еврообвезница на иностраном финансијском тржишту (доминантно учешће рочности од петнаест година, али се планирају и рочности од </w:t>
      </w:r>
      <w:r w:rsidR="0098737C" w:rsidRPr="00671E8F">
        <w:rPr>
          <w:rFonts w:ascii="Calibri" w:eastAsia="Calibri" w:hAnsi="Calibri" w:cs="Calibri"/>
          <w:bCs/>
          <w:szCs w:val="72"/>
        </w:rPr>
        <w:t xml:space="preserve">седам, </w:t>
      </w:r>
      <w:r w:rsidRPr="00671E8F">
        <w:rPr>
          <w:rFonts w:ascii="Calibri" w:eastAsia="Calibri" w:hAnsi="Calibri" w:cs="Calibri"/>
          <w:bCs/>
          <w:szCs w:val="72"/>
        </w:rPr>
        <w:t>десет и двадесет година), као и узети програмски зајмови од различитих поверилаца. Изворе буџетског финансирања у домаћој валути сачињавају примања од емисије државних обвезница на домаћем финансијском тржишту (доминантно учешће рочности од дванаест година, затим седам година и минимални удео рочности од три и пет година). Пројектно финансирање, као и у претходним годинама, обезбеђује се највећим делом из кредитних аранжмана деноминованих у страној валути од иностраних поверилаца, али постаје видљив и раст удела кредитних аранжмана у домаћој валути, од домаћих поверилаца.</w:t>
      </w:r>
    </w:p>
    <w:p w14:paraId="7288B871"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Стратегија (С2): у односу на стратегију С1, целокупне потребе за финансирањем задовољавају се емисијом еврообвезница у доларима, рочности десет и петнаест година.</w:t>
      </w:r>
    </w:p>
    <w:p w14:paraId="0218A9BC"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Стратегија (С3): у односу на стратегију С1, представља стратегију која целокупно финансирање заснива на емисијама еврообвезница у еврима, у највећој мери рочности петнаест и седам година, као и једним мањим делом на рочности од двадесет година.</w:t>
      </w:r>
    </w:p>
    <w:p w14:paraId="07344D51"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Стратегија додатне динаризације (С4): представља стратегију која целокупно финансирање заснива на емисијама динарских хартија од вредности, највећим делом рочности дванаест година, али и нижих рочности од седам и пет година.</w:t>
      </w:r>
    </w:p>
    <w:p w14:paraId="7C86E2DB" w14:textId="77777777" w:rsidR="00AE5DED" w:rsidRPr="00671E8F" w:rsidRDefault="00AE5DED" w:rsidP="00AE5DED">
      <w:pPr>
        <w:spacing w:line="256" w:lineRule="auto"/>
        <w:rPr>
          <w:rFonts w:ascii="Calibri" w:eastAsia="Calibri" w:hAnsi="Calibri" w:cs="Times New Roman"/>
          <w:b/>
          <w:color w:val="2F5496" w:themeColor="accent1" w:themeShade="BF"/>
          <w:sz w:val="22"/>
        </w:rPr>
      </w:pPr>
    </w:p>
    <w:p w14:paraId="5DB9F8DD" w14:textId="77777777" w:rsidR="00AE5DED" w:rsidRPr="00671E8F" w:rsidRDefault="00AE5DED" w:rsidP="00AE5DED">
      <w:pPr>
        <w:spacing w:line="256" w:lineRule="auto"/>
        <w:rPr>
          <w:rFonts w:ascii="Calibri" w:eastAsia="Calibri" w:hAnsi="Calibri" w:cs="Calibri"/>
          <w:bCs/>
          <w:szCs w:val="72"/>
        </w:rPr>
      </w:pPr>
      <w:r w:rsidRPr="00671E8F">
        <w:rPr>
          <w:rFonts w:ascii="Calibri" w:eastAsia="Calibri" w:hAnsi="Calibri" w:cs="Times New Roman"/>
          <w:b/>
          <w:color w:val="2F5496" w:themeColor="accent1" w:themeShade="BF"/>
          <w:sz w:val="22"/>
        </w:rPr>
        <w:t>Поређење алтернативних стратегија</w:t>
      </w:r>
    </w:p>
    <w:p w14:paraId="428D170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За поређење алтернативних стратегија задуживања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2027. године.</w:t>
      </w:r>
    </w:p>
    <w:p w14:paraId="39B8E16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pacing w:val="-2"/>
          <w:szCs w:val="72"/>
        </w:rPr>
        <w:t xml:space="preserve">На основу графикона јасно се уочавају трошкови које свака од разматраних стратегија носи са собом. </w:t>
      </w:r>
      <w:r w:rsidRPr="00671E8F">
        <w:rPr>
          <w:rFonts w:ascii="Calibri" w:eastAsia="Calibri" w:hAnsi="Calibri" w:cs="Calibri"/>
          <w:bCs/>
          <w:szCs w:val="72"/>
        </w:rPr>
        <w:t>Трошак алтернативних стратегија при основном макроекономском сценарију приказан је на вертикалној оси графикона трошкова, док се на хоризонталној оси налази потенцијални трошак одређене стратегије задуживања (резултат стрес теста).</w:t>
      </w:r>
    </w:p>
    <w:p w14:paraId="04ABE3F2"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При основном макроекономском сценарију на крају 2027. године, мерено учешћем дуга у БДП, највише трошкове имају стратегије С2 и С4, следи стратегија С3, док је стратегија С1 на најнижем трошковном нивоу. Са друге стране највећи ризик на однос дуга и БДП, ако се одступи од основног макроекономског сценарија, има промена девизног курса. Посматрано са аспекта утицаја шокова девизног курса на рацио дуга и БДП, најбољи положај има стратегија С4, јер је целокупно финансирање у динарима, док стратегије С2 и С3 имају већу изложеност ризику промене девизног курса, јер је финансирање засновано у потпуности на изворима у страној валути. Стратегија С1 у погледу ризика промене девизног курса има нешто повољнији положај у односу на стратегије С2 и С3, из разлога што комбинује финансирање у домаћој и страној валути.</w:t>
      </w:r>
    </w:p>
    <w:p w14:paraId="51545EE1" w14:textId="77777777" w:rsidR="00AE5DED" w:rsidRPr="00671E8F" w:rsidRDefault="00AE5DED" w:rsidP="00AE5DED">
      <w:pPr>
        <w:spacing w:line="256" w:lineRule="auto"/>
        <w:rPr>
          <w:rFonts w:ascii="Calibri" w:eastAsia="Calibri" w:hAnsi="Calibri" w:cs="Calibri"/>
          <w:bCs/>
          <w:szCs w:val="72"/>
        </w:rPr>
      </w:pPr>
      <w:r w:rsidRPr="00671E8F">
        <w:rPr>
          <w:rFonts w:ascii="Calibri" w:eastAsia="Calibri" w:hAnsi="Calibri" w:cs="Calibri"/>
          <w:bCs/>
          <w:szCs w:val="72"/>
        </w:rPr>
        <w:t xml:space="preserve">Са аспекта учешћа камата у БДП, доларска стратегија С2 је најскупља, јер је са највишим стопама, следи стратегија С4 базирана на динарским обвезницама које такође имају високе каматне стопе које су на нижем нивоу због краће рочности инструмената ове стратегије, затим стратегије С3 (еврообвезнице у еврима) и на крају С1 као најповољнија (тржишни и концесионални инструменти). Резултати стрес анализе показали су да највећи ризик за промену односа камате и БДП, ако се промени основни сценарио, долази од </w:t>
      </w:r>
      <w:r w:rsidRPr="00671E8F">
        <w:rPr>
          <w:rFonts w:ascii="Calibri" w:eastAsia="Calibri" w:hAnsi="Calibri" w:cs="Calibri"/>
          <w:bCs/>
          <w:szCs w:val="72"/>
        </w:rPr>
        <w:lastRenderedPageBreak/>
        <w:t>шока промене каматних стопа који је већи на домаћем него на међународном тржишту због чега стратегија С4 има највећи ризик промене рација камате и БДП. Следе стратегије С2 и С3 које се састоје од тржишних инструмената који су такође подложни шоковима промене каматних стопа на међународном тржишту, док је код С1 овај ризик ублажен услед присуства концесионалних инструмената са фиксним стопама.</w:t>
      </w:r>
    </w:p>
    <w:p w14:paraId="2CC8BEC6" w14:textId="77777777"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Однос дуга и БДП на крају 2027. године</w:t>
      </w:r>
    </w:p>
    <w:p w14:paraId="2C4B6E06" w14:textId="77777777" w:rsidR="00AE5DED" w:rsidRPr="00671E8F" w:rsidRDefault="00AE5DED" w:rsidP="00AE5DED">
      <w:pPr>
        <w:spacing w:line="256" w:lineRule="auto"/>
        <w:rPr>
          <w:rFonts w:ascii="Calibri" w:eastAsia="Calibri" w:hAnsi="Calibri" w:cs="Times New Roman"/>
          <w:b/>
          <w:color w:val="002060"/>
        </w:rPr>
      </w:pPr>
      <w:r w:rsidRPr="00671E8F">
        <w:rPr>
          <w:noProof/>
          <w:lang w:val="en-US"/>
        </w:rPr>
        <w:drawing>
          <wp:inline distT="0" distB="0" distL="0" distR="0" wp14:anchorId="738C7AFB" wp14:editId="6F56F11B">
            <wp:extent cx="2743200" cy="1392072"/>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0"/>
              </a:graphicData>
            </a:graphic>
          </wp:inline>
        </w:drawing>
      </w:r>
    </w:p>
    <w:p w14:paraId="64C8A994" w14:textId="77777777"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Однос камата и БДП на крају 2027. године</w:t>
      </w:r>
    </w:p>
    <w:p w14:paraId="011E84F6" w14:textId="77777777" w:rsidR="00AE5DED" w:rsidRPr="00671E8F" w:rsidRDefault="00AE5DED" w:rsidP="00AE5DED">
      <w:pPr>
        <w:spacing w:line="256" w:lineRule="auto"/>
        <w:rPr>
          <w:rFonts w:ascii="Calibri" w:eastAsia="Calibri" w:hAnsi="Calibri" w:cs="Times New Roman"/>
          <w:b/>
        </w:rPr>
      </w:pPr>
      <w:r w:rsidRPr="00671E8F">
        <w:rPr>
          <w:noProof/>
          <w:lang w:val="en-US"/>
        </w:rPr>
        <w:drawing>
          <wp:inline distT="0" distB="0" distL="0" distR="0" wp14:anchorId="756C97CF" wp14:editId="6208DBE7">
            <wp:extent cx="2743200" cy="1556385"/>
            <wp:effectExtent l="0" t="0" r="0" b="571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1"/>
              </a:graphicData>
            </a:graphic>
          </wp:inline>
        </w:drawing>
      </w:r>
    </w:p>
    <w:p w14:paraId="0ADF7DF4"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F45C01">
          <w:type w:val="continuous"/>
          <w:pgSz w:w="12240" w:h="15840" w:code="1"/>
          <w:pgMar w:top="1440" w:right="1440" w:bottom="1440" w:left="1440" w:header="720" w:footer="720" w:gutter="0"/>
          <w:cols w:num="2" w:space="720"/>
          <w:titlePg/>
          <w:docGrid w:linePitch="360"/>
        </w:sectPr>
      </w:pPr>
    </w:p>
    <w:p w14:paraId="3AEFB00A" w14:textId="658F2E74" w:rsidR="00AE5DED" w:rsidRPr="00671E8F" w:rsidRDefault="00AE5DED" w:rsidP="00AE5DED">
      <w:pPr>
        <w:jc w:val="cente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2</w:t>
      </w:r>
      <w:r w:rsidRPr="00671E8F">
        <w:rPr>
          <w:rFonts w:ascii="Calibri" w:eastAsia="Calibri" w:hAnsi="Calibri" w:cs="Times New Roman"/>
          <w:b/>
          <w:color w:val="002060"/>
        </w:rPr>
        <w:t>. Однос јавног дуга и БДП на крају 2027.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AE5DED" w:rsidRPr="00671E8F" w14:paraId="2F49DFC4" w14:textId="77777777" w:rsidTr="00AE5DED">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18415008" w14:textId="77777777" w:rsidR="00AE5DED" w:rsidRPr="00671E8F" w:rsidRDefault="00AE5DED" w:rsidP="00AE5DED">
            <w:pPr>
              <w:rPr>
                <w:rFonts w:ascii="Calibri" w:hAnsi="Calibri" w:cs="Calibri"/>
                <w:color w:val="002060"/>
                <w:sz w:val="18"/>
                <w:szCs w:val="18"/>
              </w:rPr>
            </w:pPr>
            <w:r w:rsidRPr="00671E8F">
              <w:rPr>
                <w:rFonts w:ascii="Calibri" w:hAnsi="Calibri" w:cs="Calibri"/>
                <w:color w:val="002060"/>
                <w:sz w:val="18"/>
                <w:szCs w:val="18"/>
              </w:rPr>
              <w:t>Сценарији</w:t>
            </w:r>
          </w:p>
        </w:tc>
        <w:tc>
          <w:tcPr>
            <w:tcW w:w="578" w:type="pct"/>
            <w:tcBorders>
              <w:top w:val="single" w:sz="4" w:space="0" w:color="002060"/>
              <w:bottom w:val="single" w:sz="4" w:space="0" w:color="002060"/>
            </w:tcBorders>
            <w:noWrap/>
            <w:hideMark/>
          </w:tcPr>
          <w:p w14:paraId="1CA7FD5A"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C1</w:t>
            </w:r>
          </w:p>
        </w:tc>
        <w:tc>
          <w:tcPr>
            <w:tcW w:w="578" w:type="pct"/>
            <w:tcBorders>
              <w:top w:val="single" w:sz="4" w:space="0" w:color="002060"/>
              <w:bottom w:val="single" w:sz="4" w:space="0" w:color="002060"/>
            </w:tcBorders>
            <w:noWrap/>
            <w:hideMark/>
          </w:tcPr>
          <w:p w14:paraId="73AF333E"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C2</w:t>
            </w:r>
          </w:p>
        </w:tc>
        <w:tc>
          <w:tcPr>
            <w:tcW w:w="578" w:type="pct"/>
            <w:tcBorders>
              <w:top w:val="single" w:sz="4" w:space="0" w:color="002060"/>
              <w:bottom w:val="single" w:sz="4" w:space="0" w:color="002060"/>
            </w:tcBorders>
            <w:noWrap/>
            <w:hideMark/>
          </w:tcPr>
          <w:p w14:paraId="234DD1A7"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C3</w:t>
            </w:r>
          </w:p>
        </w:tc>
        <w:tc>
          <w:tcPr>
            <w:tcW w:w="578" w:type="pct"/>
            <w:tcBorders>
              <w:top w:val="single" w:sz="4" w:space="0" w:color="002060"/>
              <w:bottom w:val="single" w:sz="4" w:space="0" w:color="002060"/>
            </w:tcBorders>
            <w:noWrap/>
            <w:hideMark/>
          </w:tcPr>
          <w:p w14:paraId="7B70BE85"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C4</w:t>
            </w:r>
          </w:p>
        </w:tc>
      </w:tr>
      <w:tr w:rsidR="00AE5DED" w:rsidRPr="00671E8F" w14:paraId="49299443"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401A27F6"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Основни сценарио</w:t>
            </w:r>
          </w:p>
        </w:tc>
        <w:tc>
          <w:tcPr>
            <w:tcW w:w="578" w:type="pct"/>
            <w:tcBorders>
              <w:top w:val="nil"/>
              <w:bottom w:val="nil"/>
            </w:tcBorders>
            <w:shd w:val="clear" w:color="auto" w:fill="E7E6E6" w:themeFill="background2"/>
            <w:noWrap/>
            <w:hideMark/>
          </w:tcPr>
          <w:p w14:paraId="467BE654"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46,0</w:t>
            </w:r>
          </w:p>
        </w:tc>
        <w:tc>
          <w:tcPr>
            <w:tcW w:w="578" w:type="pct"/>
            <w:tcBorders>
              <w:top w:val="nil"/>
              <w:bottom w:val="nil"/>
            </w:tcBorders>
            <w:shd w:val="clear" w:color="auto" w:fill="E7E6E6" w:themeFill="background2"/>
            <w:noWrap/>
            <w:hideMark/>
          </w:tcPr>
          <w:p w14:paraId="1A3FF5D1"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46,4</w:t>
            </w:r>
          </w:p>
        </w:tc>
        <w:tc>
          <w:tcPr>
            <w:tcW w:w="578" w:type="pct"/>
            <w:tcBorders>
              <w:top w:val="nil"/>
              <w:bottom w:val="nil"/>
            </w:tcBorders>
            <w:shd w:val="clear" w:color="auto" w:fill="E7E6E6" w:themeFill="background2"/>
            <w:noWrap/>
            <w:hideMark/>
          </w:tcPr>
          <w:p w14:paraId="22C6097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46,1</w:t>
            </w:r>
          </w:p>
        </w:tc>
        <w:tc>
          <w:tcPr>
            <w:tcW w:w="578" w:type="pct"/>
            <w:tcBorders>
              <w:top w:val="nil"/>
              <w:bottom w:val="nil"/>
            </w:tcBorders>
            <w:shd w:val="clear" w:color="auto" w:fill="E7E6E6" w:themeFill="background2"/>
            <w:noWrap/>
            <w:hideMark/>
          </w:tcPr>
          <w:p w14:paraId="226649C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46,2</w:t>
            </w:r>
          </w:p>
        </w:tc>
      </w:tr>
      <w:tr w:rsidR="00AE5DED" w:rsidRPr="00671E8F" w14:paraId="7BAB80E9"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5B29ABED"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Шок девизног курса (15% све валуте) </w:t>
            </w:r>
          </w:p>
        </w:tc>
        <w:tc>
          <w:tcPr>
            <w:tcW w:w="578" w:type="pct"/>
            <w:tcBorders>
              <w:top w:val="nil"/>
              <w:left w:val="nil"/>
              <w:bottom w:val="nil"/>
              <w:right w:val="nil"/>
            </w:tcBorders>
            <w:shd w:val="clear" w:color="auto" w:fill="auto"/>
            <w:noWrap/>
            <w:hideMark/>
          </w:tcPr>
          <w:p w14:paraId="68B577EA"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51,2</w:t>
            </w:r>
          </w:p>
        </w:tc>
        <w:tc>
          <w:tcPr>
            <w:tcW w:w="578" w:type="pct"/>
            <w:tcBorders>
              <w:top w:val="nil"/>
              <w:left w:val="nil"/>
              <w:bottom w:val="nil"/>
              <w:right w:val="nil"/>
            </w:tcBorders>
            <w:shd w:val="clear" w:color="auto" w:fill="auto"/>
            <w:noWrap/>
            <w:hideMark/>
          </w:tcPr>
          <w:p w14:paraId="14C63D8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52,0</w:t>
            </w:r>
          </w:p>
        </w:tc>
        <w:tc>
          <w:tcPr>
            <w:tcW w:w="578" w:type="pct"/>
            <w:tcBorders>
              <w:top w:val="nil"/>
              <w:left w:val="nil"/>
              <w:bottom w:val="nil"/>
              <w:right w:val="nil"/>
            </w:tcBorders>
            <w:shd w:val="clear" w:color="auto" w:fill="auto"/>
            <w:noWrap/>
            <w:hideMark/>
          </w:tcPr>
          <w:p w14:paraId="14331EA4"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51,7</w:t>
            </w:r>
          </w:p>
        </w:tc>
        <w:tc>
          <w:tcPr>
            <w:tcW w:w="578" w:type="pct"/>
            <w:tcBorders>
              <w:top w:val="nil"/>
              <w:left w:val="nil"/>
              <w:bottom w:val="nil"/>
              <w:right w:val="nil"/>
            </w:tcBorders>
            <w:shd w:val="clear" w:color="auto" w:fill="auto"/>
            <w:noWrap/>
            <w:hideMark/>
          </w:tcPr>
          <w:p w14:paraId="082B2EB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50,7</w:t>
            </w:r>
          </w:p>
        </w:tc>
      </w:tr>
      <w:tr w:rsidR="00AE5DED" w:rsidRPr="00671E8F" w14:paraId="1AA83583"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7D7D5C75"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Каматни шок (сценарио 1) </w:t>
            </w:r>
          </w:p>
        </w:tc>
        <w:tc>
          <w:tcPr>
            <w:tcW w:w="578" w:type="pct"/>
            <w:tcBorders>
              <w:top w:val="nil"/>
              <w:bottom w:val="nil"/>
            </w:tcBorders>
            <w:shd w:val="clear" w:color="auto" w:fill="E7E6E6" w:themeFill="background2"/>
            <w:noWrap/>
            <w:hideMark/>
          </w:tcPr>
          <w:p w14:paraId="4D50F16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46,7</w:t>
            </w:r>
          </w:p>
        </w:tc>
        <w:tc>
          <w:tcPr>
            <w:tcW w:w="578" w:type="pct"/>
            <w:tcBorders>
              <w:top w:val="nil"/>
              <w:bottom w:val="nil"/>
            </w:tcBorders>
            <w:shd w:val="clear" w:color="auto" w:fill="E7E6E6" w:themeFill="background2"/>
            <w:noWrap/>
            <w:hideMark/>
          </w:tcPr>
          <w:p w14:paraId="354A1B31"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47,2</w:t>
            </w:r>
          </w:p>
        </w:tc>
        <w:tc>
          <w:tcPr>
            <w:tcW w:w="578" w:type="pct"/>
            <w:tcBorders>
              <w:top w:val="nil"/>
              <w:bottom w:val="nil"/>
            </w:tcBorders>
            <w:shd w:val="clear" w:color="auto" w:fill="E7E6E6" w:themeFill="background2"/>
            <w:noWrap/>
            <w:hideMark/>
          </w:tcPr>
          <w:p w14:paraId="7701FCA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46,9</w:t>
            </w:r>
          </w:p>
        </w:tc>
        <w:tc>
          <w:tcPr>
            <w:tcW w:w="578" w:type="pct"/>
            <w:tcBorders>
              <w:top w:val="nil"/>
              <w:bottom w:val="nil"/>
            </w:tcBorders>
            <w:shd w:val="clear" w:color="auto" w:fill="E7E6E6" w:themeFill="background2"/>
            <w:noWrap/>
            <w:hideMark/>
          </w:tcPr>
          <w:p w14:paraId="22470C1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47,0</w:t>
            </w:r>
          </w:p>
        </w:tc>
      </w:tr>
      <w:tr w:rsidR="00AE5DED" w:rsidRPr="00671E8F" w14:paraId="58418C5D"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4219A3ED"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Каматни шок (сценарио 2)</w:t>
            </w:r>
          </w:p>
        </w:tc>
        <w:tc>
          <w:tcPr>
            <w:tcW w:w="578" w:type="pct"/>
            <w:tcBorders>
              <w:top w:val="nil"/>
              <w:left w:val="nil"/>
              <w:bottom w:val="nil"/>
              <w:right w:val="nil"/>
            </w:tcBorders>
            <w:shd w:val="clear" w:color="auto" w:fill="auto"/>
            <w:noWrap/>
            <w:hideMark/>
          </w:tcPr>
          <w:p w14:paraId="6CB2A3EC"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47,1</w:t>
            </w:r>
          </w:p>
        </w:tc>
        <w:tc>
          <w:tcPr>
            <w:tcW w:w="578" w:type="pct"/>
            <w:tcBorders>
              <w:top w:val="nil"/>
              <w:left w:val="nil"/>
              <w:bottom w:val="nil"/>
              <w:right w:val="nil"/>
            </w:tcBorders>
            <w:shd w:val="clear" w:color="auto" w:fill="auto"/>
            <w:noWrap/>
            <w:hideMark/>
          </w:tcPr>
          <w:p w14:paraId="1C4772FF"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47,6</w:t>
            </w:r>
          </w:p>
        </w:tc>
        <w:tc>
          <w:tcPr>
            <w:tcW w:w="578" w:type="pct"/>
            <w:tcBorders>
              <w:top w:val="nil"/>
              <w:left w:val="nil"/>
              <w:bottom w:val="nil"/>
              <w:right w:val="nil"/>
            </w:tcBorders>
            <w:shd w:val="clear" w:color="auto" w:fill="auto"/>
            <w:noWrap/>
            <w:hideMark/>
          </w:tcPr>
          <w:p w14:paraId="7C13679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47,3</w:t>
            </w:r>
          </w:p>
        </w:tc>
        <w:tc>
          <w:tcPr>
            <w:tcW w:w="578" w:type="pct"/>
            <w:tcBorders>
              <w:top w:val="nil"/>
              <w:left w:val="nil"/>
              <w:bottom w:val="nil"/>
              <w:right w:val="nil"/>
            </w:tcBorders>
            <w:shd w:val="clear" w:color="auto" w:fill="auto"/>
            <w:noWrap/>
            <w:hideMark/>
          </w:tcPr>
          <w:p w14:paraId="0F7A0C9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47,6</w:t>
            </w:r>
          </w:p>
        </w:tc>
      </w:tr>
      <w:tr w:rsidR="00AE5DED" w:rsidRPr="00671E8F" w14:paraId="3AC30668"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65B2BCA0"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14FB351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47,9</w:t>
            </w:r>
          </w:p>
        </w:tc>
        <w:tc>
          <w:tcPr>
            <w:tcW w:w="578" w:type="pct"/>
            <w:tcBorders>
              <w:top w:val="nil"/>
              <w:bottom w:val="single" w:sz="4" w:space="0" w:color="002060"/>
            </w:tcBorders>
            <w:shd w:val="clear" w:color="auto" w:fill="E7E6E6" w:themeFill="background2"/>
            <w:noWrap/>
            <w:hideMark/>
          </w:tcPr>
          <w:p w14:paraId="0430B3F0"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49,5</w:t>
            </w:r>
          </w:p>
        </w:tc>
        <w:tc>
          <w:tcPr>
            <w:tcW w:w="578" w:type="pct"/>
            <w:tcBorders>
              <w:top w:val="nil"/>
              <w:bottom w:val="single" w:sz="4" w:space="0" w:color="002060"/>
            </w:tcBorders>
            <w:shd w:val="clear" w:color="auto" w:fill="E7E6E6" w:themeFill="background2"/>
            <w:noWrap/>
            <w:hideMark/>
          </w:tcPr>
          <w:p w14:paraId="5B73A5F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48,1</w:t>
            </w:r>
          </w:p>
        </w:tc>
        <w:tc>
          <w:tcPr>
            <w:tcW w:w="578" w:type="pct"/>
            <w:tcBorders>
              <w:top w:val="nil"/>
              <w:bottom w:val="single" w:sz="4" w:space="0" w:color="002060"/>
            </w:tcBorders>
            <w:shd w:val="clear" w:color="auto" w:fill="E7E6E6" w:themeFill="background2"/>
            <w:noWrap/>
            <w:hideMark/>
          </w:tcPr>
          <w:p w14:paraId="7EB32C9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48,2</w:t>
            </w:r>
          </w:p>
        </w:tc>
      </w:tr>
      <w:tr w:rsidR="00AE5DED" w:rsidRPr="00671E8F" w14:paraId="59992AC8"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66D9A45D"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468362CB"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5,2</w:t>
            </w:r>
          </w:p>
        </w:tc>
        <w:tc>
          <w:tcPr>
            <w:tcW w:w="578" w:type="pct"/>
            <w:tcBorders>
              <w:top w:val="single" w:sz="4" w:space="0" w:color="002060"/>
              <w:left w:val="nil"/>
              <w:bottom w:val="single" w:sz="4" w:space="0" w:color="002060"/>
              <w:right w:val="nil"/>
            </w:tcBorders>
            <w:shd w:val="clear" w:color="auto" w:fill="auto"/>
            <w:noWrap/>
            <w:hideMark/>
          </w:tcPr>
          <w:p w14:paraId="3971EBE0"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5,66</w:t>
            </w:r>
          </w:p>
        </w:tc>
        <w:tc>
          <w:tcPr>
            <w:tcW w:w="578" w:type="pct"/>
            <w:tcBorders>
              <w:top w:val="single" w:sz="4" w:space="0" w:color="002060"/>
              <w:left w:val="nil"/>
              <w:bottom w:val="single" w:sz="4" w:space="0" w:color="002060"/>
              <w:right w:val="nil"/>
            </w:tcBorders>
            <w:shd w:val="clear" w:color="auto" w:fill="auto"/>
            <w:noWrap/>
            <w:hideMark/>
          </w:tcPr>
          <w:p w14:paraId="6272B9F4"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5,62</w:t>
            </w:r>
          </w:p>
        </w:tc>
        <w:tc>
          <w:tcPr>
            <w:tcW w:w="578" w:type="pct"/>
            <w:tcBorders>
              <w:top w:val="single" w:sz="4" w:space="0" w:color="002060"/>
              <w:left w:val="nil"/>
              <w:bottom w:val="single" w:sz="4" w:space="0" w:color="002060"/>
              <w:right w:val="nil"/>
            </w:tcBorders>
            <w:shd w:val="clear" w:color="auto" w:fill="auto"/>
            <w:noWrap/>
            <w:hideMark/>
          </w:tcPr>
          <w:p w14:paraId="6654ADB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w:t>
            </w:r>
          </w:p>
        </w:tc>
      </w:tr>
    </w:tbl>
    <w:p w14:paraId="640B2AAC" w14:textId="77777777" w:rsidR="00AE5DED" w:rsidRPr="00671E8F" w:rsidRDefault="00AE5DED" w:rsidP="00AE5DED"/>
    <w:p w14:paraId="1B70F788" w14:textId="49DE27AF"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3</w:t>
      </w:r>
      <w:r w:rsidRPr="00671E8F">
        <w:rPr>
          <w:rFonts w:ascii="Calibri" w:eastAsia="Calibri" w:hAnsi="Calibri" w:cs="Times New Roman"/>
          <w:b/>
          <w:color w:val="002060"/>
        </w:rPr>
        <w:t>. Однос плаћања по основу камата и БДП на крају 2027.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AE5DED" w:rsidRPr="00671E8F" w14:paraId="5ACBFE10" w14:textId="77777777" w:rsidTr="00AE5DED">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57D4D739" w14:textId="77777777" w:rsidR="00AE5DED" w:rsidRPr="00671E8F" w:rsidRDefault="00AE5DED" w:rsidP="00AE5DED">
            <w:pPr>
              <w:rPr>
                <w:rFonts w:ascii="Calibri" w:hAnsi="Calibri" w:cs="Calibri"/>
                <w:color w:val="002060"/>
                <w:sz w:val="18"/>
                <w:szCs w:val="18"/>
              </w:rPr>
            </w:pPr>
            <w:r w:rsidRPr="00671E8F">
              <w:rPr>
                <w:rFonts w:ascii="Calibri" w:hAnsi="Calibri" w:cs="Calibri"/>
                <w:color w:val="002060"/>
                <w:sz w:val="18"/>
                <w:szCs w:val="18"/>
              </w:rPr>
              <w:t>Сценарији</w:t>
            </w:r>
          </w:p>
        </w:tc>
        <w:tc>
          <w:tcPr>
            <w:tcW w:w="578" w:type="pct"/>
            <w:tcBorders>
              <w:top w:val="single" w:sz="4" w:space="0" w:color="002060"/>
              <w:bottom w:val="single" w:sz="4" w:space="0" w:color="002060"/>
            </w:tcBorders>
            <w:noWrap/>
            <w:hideMark/>
          </w:tcPr>
          <w:p w14:paraId="1B51961A"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C1</w:t>
            </w:r>
          </w:p>
        </w:tc>
        <w:tc>
          <w:tcPr>
            <w:tcW w:w="578" w:type="pct"/>
            <w:tcBorders>
              <w:top w:val="single" w:sz="4" w:space="0" w:color="002060"/>
              <w:bottom w:val="single" w:sz="4" w:space="0" w:color="002060"/>
            </w:tcBorders>
            <w:noWrap/>
            <w:hideMark/>
          </w:tcPr>
          <w:p w14:paraId="23F8289B"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C2</w:t>
            </w:r>
          </w:p>
        </w:tc>
        <w:tc>
          <w:tcPr>
            <w:tcW w:w="578" w:type="pct"/>
            <w:tcBorders>
              <w:top w:val="single" w:sz="4" w:space="0" w:color="002060"/>
              <w:bottom w:val="single" w:sz="4" w:space="0" w:color="002060"/>
            </w:tcBorders>
            <w:noWrap/>
            <w:hideMark/>
          </w:tcPr>
          <w:p w14:paraId="023A8EE4"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C3</w:t>
            </w:r>
          </w:p>
        </w:tc>
        <w:tc>
          <w:tcPr>
            <w:tcW w:w="578" w:type="pct"/>
            <w:tcBorders>
              <w:top w:val="single" w:sz="4" w:space="0" w:color="002060"/>
              <w:bottom w:val="single" w:sz="4" w:space="0" w:color="002060"/>
            </w:tcBorders>
            <w:noWrap/>
            <w:hideMark/>
          </w:tcPr>
          <w:p w14:paraId="1B88665F"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C4</w:t>
            </w:r>
          </w:p>
        </w:tc>
      </w:tr>
      <w:tr w:rsidR="00AE5DED" w:rsidRPr="00671E8F" w14:paraId="26474242"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5EDE9B74"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Основни сценарио</w:t>
            </w:r>
          </w:p>
        </w:tc>
        <w:tc>
          <w:tcPr>
            <w:tcW w:w="578" w:type="pct"/>
            <w:tcBorders>
              <w:top w:val="nil"/>
              <w:bottom w:val="nil"/>
            </w:tcBorders>
            <w:shd w:val="clear" w:color="auto" w:fill="E7E6E6" w:themeFill="background2"/>
            <w:noWrap/>
            <w:hideMark/>
          </w:tcPr>
          <w:p w14:paraId="1CFEA3B5"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2,0</w:t>
            </w:r>
          </w:p>
        </w:tc>
        <w:tc>
          <w:tcPr>
            <w:tcW w:w="578" w:type="pct"/>
            <w:tcBorders>
              <w:top w:val="nil"/>
              <w:bottom w:val="nil"/>
            </w:tcBorders>
            <w:shd w:val="clear" w:color="auto" w:fill="E7E6E6" w:themeFill="background2"/>
            <w:noWrap/>
            <w:hideMark/>
          </w:tcPr>
          <w:p w14:paraId="6FDB262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w:t>
            </w:r>
          </w:p>
        </w:tc>
        <w:tc>
          <w:tcPr>
            <w:tcW w:w="578" w:type="pct"/>
            <w:tcBorders>
              <w:top w:val="nil"/>
              <w:bottom w:val="nil"/>
            </w:tcBorders>
            <w:shd w:val="clear" w:color="auto" w:fill="E7E6E6" w:themeFill="background2"/>
            <w:noWrap/>
            <w:hideMark/>
          </w:tcPr>
          <w:p w14:paraId="45547AD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2,0</w:t>
            </w:r>
          </w:p>
        </w:tc>
        <w:tc>
          <w:tcPr>
            <w:tcW w:w="578" w:type="pct"/>
            <w:tcBorders>
              <w:top w:val="nil"/>
              <w:bottom w:val="nil"/>
            </w:tcBorders>
            <w:shd w:val="clear" w:color="auto" w:fill="E7E6E6" w:themeFill="background2"/>
            <w:noWrap/>
            <w:hideMark/>
          </w:tcPr>
          <w:p w14:paraId="54FA6D7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2,1</w:t>
            </w:r>
          </w:p>
        </w:tc>
      </w:tr>
      <w:tr w:rsidR="00AE5DED" w:rsidRPr="00671E8F" w14:paraId="243EF5BD"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16C59C65"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Шок девизног курса (15% све валуте) </w:t>
            </w:r>
          </w:p>
        </w:tc>
        <w:tc>
          <w:tcPr>
            <w:tcW w:w="578" w:type="pct"/>
            <w:tcBorders>
              <w:top w:val="nil"/>
              <w:left w:val="nil"/>
              <w:bottom w:val="nil"/>
              <w:right w:val="nil"/>
            </w:tcBorders>
            <w:shd w:val="clear" w:color="auto" w:fill="auto"/>
            <w:noWrap/>
            <w:hideMark/>
          </w:tcPr>
          <w:p w14:paraId="360D8DEF"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w:t>
            </w:r>
          </w:p>
        </w:tc>
        <w:tc>
          <w:tcPr>
            <w:tcW w:w="578" w:type="pct"/>
            <w:tcBorders>
              <w:top w:val="nil"/>
              <w:left w:val="nil"/>
              <w:bottom w:val="nil"/>
              <w:right w:val="nil"/>
            </w:tcBorders>
            <w:shd w:val="clear" w:color="auto" w:fill="auto"/>
            <w:noWrap/>
            <w:hideMark/>
          </w:tcPr>
          <w:p w14:paraId="410AC8FD"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2,4</w:t>
            </w:r>
          </w:p>
        </w:tc>
        <w:tc>
          <w:tcPr>
            <w:tcW w:w="578" w:type="pct"/>
            <w:tcBorders>
              <w:top w:val="nil"/>
              <w:left w:val="nil"/>
              <w:bottom w:val="nil"/>
              <w:right w:val="nil"/>
            </w:tcBorders>
            <w:shd w:val="clear" w:color="auto" w:fill="auto"/>
            <w:noWrap/>
            <w:hideMark/>
          </w:tcPr>
          <w:p w14:paraId="55CD707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w:t>
            </w:r>
          </w:p>
        </w:tc>
        <w:tc>
          <w:tcPr>
            <w:tcW w:w="578" w:type="pct"/>
            <w:tcBorders>
              <w:top w:val="nil"/>
              <w:left w:val="nil"/>
              <w:bottom w:val="nil"/>
              <w:right w:val="nil"/>
            </w:tcBorders>
            <w:shd w:val="clear" w:color="auto" w:fill="auto"/>
            <w:noWrap/>
            <w:hideMark/>
          </w:tcPr>
          <w:p w14:paraId="45608E4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w:t>
            </w:r>
          </w:p>
        </w:tc>
      </w:tr>
      <w:tr w:rsidR="00AE5DED" w:rsidRPr="00671E8F" w14:paraId="6BC2156F"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1E661320"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Каматни шок (сценарио 1) </w:t>
            </w:r>
          </w:p>
        </w:tc>
        <w:tc>
          <w:tcPr>
            <w:tcW w:w="578" w:type="pct"/>
            <w:tcBorders>
              <w:top w:val="nil"/>
              <w:bottom w:val="nil"/>
            </w:tcBorders>
            <w:shd w:val="clear" w:color="auto" w:fill="E7E6E6" w:themeFill="background2"/>
            <w:noWrap/>
            <w:hideMark/>
          </w:tcPr>
          <w:p w14:paraId="4CF886B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2,3</w:t>
            </w:r>
          </w:p>
        </w:tc>
        <w:tc>
          <w:tcPr>
            <w:tcW w:w="578" w:type="pct"/>
            <w:tcBorders>
              <w:top w:val="nil"/>
              <w:bottom w:val="nil"/>
            </w:tcBorders>
            <w:shd w:val="clear" w:color="auto" w:fill="E7E6E6" w:themeFill="background2"/>
            <w:noWrap/>
            <w:hideMark/>
          </w:tcPr>
          <w:p w14:paraId="75542CDC"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2,7</w:t>
            </w:r>
          </w:p>
        </w:tc>
        <w:tc>
          <w:tcPr>
            <w:tcW w:w="578" w:type="pct"/>
            <w:tcBorders>
              <w:top w:val="nil"/>
              <w:bottom w:val="nil"/>
            </w:tcBorders>
            <w:shd w:val="clear" w:color="auto" w:fill="E7E6E6" w:themeFill="background2"/>
            <w:noWrap/>
            <w:hideMark/>
          </w:tcPr>
          <w:p w14:paraId="3949D7B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2,5</w:t>
            </w:r>
          </w:p>
        </w:tc>
        <w:tc>
          <w:tcPr>
            <w:tcW w:w="578" w:type="pct"/>
            <w:tcBorders>
              <w:top w:val="nil"/>
              <w:bottom w:val="nil"/>
            </w:tcBorders>
            <w:shd w:val="clear" w:color="auto" w:fill="E7E6E6" w:themeFill="background2"/>
            <w:noWrap/>
            <w:hideMark/>
          </w:tcPr>
          <w:p w14:paraId="60E5D24F"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2,5</w:t>
            </w:r>
          </w:p>
        </w:tc>
      </w:tr>
      <w:tr w:rsidR="00AE5DED" w:rsidRPr="00671E8F" w14:paraId="0FC0EE8B"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0FBD4361"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Каматни шок (сценарио 2)</w:t>
            </w:r>
          </w:p>
        </w:tc>
        <w:tc>
          <w:tcPr>
            <w:tcW w:w="578" w:type="pct"/>
            <w:tcBorders>
              <w:top w:val="nil"/>
              <w:left w:val="nil"/>
              <w:bottom w:val="nil"/>
              <w:right w:val="nil"/>
            </w:tcBorders>
            <w:shd w:val="clear" w:color="auto" w:fill="auto"/>
            <w:noWrap/>
            <w:hideMark/>
          </w:tcPr>
          <w:p w14:paraId="6ACEA40C"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2,5</w:t>
            </w:r>
          </w:p>
        </w:tc>
        <w:tc>
          <w:tcPr>
            <w:tcW w:w="578" w:type="pct"/>
            <w:tcBorders>
              <w:top w:val="nil"/>
              <w:left w:val="nil"/>
              <w:bottom w:val="nil"/>
              <w:right w:val="nil"/>
            </w:tcBorders>
            <w:shd w:val="clear" w:color="auto" w:fill="auto"/>
            <w:noWrap/>
            <w:hideMark/>
          </w:tcPr>
          <w:p w14:paraId="147848F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2,9</w:t>
            </w:r>
          </w:p>
        </w:tc>
        <w:tc>
          <w:tcPr>
            <w:tcW w:w="578" w:type="pct"/>
            <w:tcBorders>
              <w:top w:val="nil"/>
              <w:left w:val="nil"/>
              <w:bottom w:val="nil"/>
              <w:right w:val="nil"/>
            </w:tcBorders>
            <w:shd w:val="clear" w:color="auto" w:fill="auto"/>
            <w:noWrap/>
            <w:hideMark/>
          </w:tcPr>
          <w:p w14:paraId="6593CEB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2,7</w:t>
            </w:r>
          </w:p>
        </w:tc>
        <w:tc>
          <w:tcPr>
            <w:tcW w:w="578" w:type="pct"/>
            <w:tcBorders>
              <w:top w:val="nil"/>
              <w:left w:val="nil"/>
              <w:bottom w:val="nil"/>
              <w:right w:val="nil"/>
            </w:tcBorders>
            <w:shd w:val="clear" w:color="auto" w:fill="auto"/>
            <w:noWrap/>
            <w:hideMark/>
          </w:tcPr>
          <w:p w14:paraId="726E6260"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2,9</w:t>
            </w:r>
          </w:p>
        </w:tc>
      </w:tr>
      <w:tr w:rsidR="00AE5DED" w:rsidRPr="00671E8F" w14:paraId="715CA423" w14:textId="77777777" w:rsidTr="00AE5DE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778C1319"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53C5A6A8"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2,4</w:t>
            </w:r>
          </w:p>
        </w:tc>
        <w:tc>
          <w:tcPr>
            <w:tcW w:w="578" w:type="pct"/>
            <w:tcBorders>
              <w:top w:val="nil"/>
              <w:bottom w:val="single" w:sz="4" w:space="0" w:color="002060"/>
            </w:tcBorders>
            <w:shd w:val="clear" w:color="auto" w:fill="E7E6E6" w:themeFill="background2"/>
            <w:noWrap/>
            <w:hideMark/>
          </w:tcPr>
          <w:p w14:paraId="60976F8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2,8</w:t>
            </w:r>
          </w:p>
        </w:tc>
        <w:tc>
          <w:tcPr>
            <w:tcW w:w="578" w:type="pct"/>
            <w:tcBorders>
              <w:top w:val="nil"/>
              <w:bottom w:val="single" w:sz="4" w:space="0" w:color="002060"/>
            </w:tcBorders>
            <w:shd w:val="clear" w:color="auto" w:fill="E7E6E6" w:themeFill="background2"/>
            <w:noWrap/>
            <w:hideMark/>
          </w:tcPr>
          <w:p w14:paraId="2C9F12A5"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2,6</w:t>
            </w:r>
          </w:p>
        </w:tc>
        <w:tc>
          <w:tcPr>
            <w:tcW w:w="578" w:type="pct"/>
            <w:tcBorders>
              <w:top w:val="nil"/>
              <w:bottom w:val="single" w:sz="4" w:space="0" w:color="002060"/>
            </w:tcBorders>
            <w:shd w:val="clear" w:color="auto" w:fill="E7E6E6" w:themeFill="background2"/>
            <w:noWrap/>
            <w:hideMark/>
          </w:tcPr>
          <w:p w14:paraId="6D9B140A"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2,6</w:t>
            </w:r>
          </w:p>
        </w:tc>
      </w:tr>
      <w:tr w:rsidR="00AE5DED" w:rsidRPr="00671E8F" w14:paraId="0A855E2E" w14:textId="77777777" w:rsidTr="00AE5DED">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0A11D11F"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6890563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0,59</w:t>
            </w:r>
          </w:p>
        </w:tc>
        <w:tc>
          <w:tcPr>
            <w:tcW w:w="578" w:type="pct"/>
            <w:tcBorders>
              <w:top w:val="single" w:sz="4" w:space="0" w:color="002060"/>
              <w:left w:val="nil"/>
              <w:bottom w:val="single" w:sz="4" w:space="0" w:color="002060"/>
              <w:right w:val="nil"/>
            </w:tcBorders>
            <w:shd w:val="clear" w:color="auto" w:fill="auto"/>
            <w:noWrap/>
            <w:hideMark/>
          </w:tcPr>
          <w:p w14:paraId="044898E2"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0,74</w:t>
            </w:r>
          </w:p>
        </w:tc>
        <w:tc>
          <w:tcPr>
            <w:tcW w:w="578" w:type="pct"/>
            <w:tcBorders>
              <w:top w:val="single" w:sz="4" w:space="0" w:color="002060"/>
              <w:left w:val="nil"/>
              <w:bottom w:val="single" w:sz="4" w:space="0" w:color="002060"/>
              <w:right w:val="nil"/>
            </w:tcBorders>
            <w:shd w:val="clear" w:color="auto" w:fill="auto"/>
            <w:noWrap/>
            <w:hideMark/>
          </w:tcPr>
          <w:p w14:paraId="701DD73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0,74</w:t>
            </w:r>
          </w:p>
        </w:tc>
        <w:tc>
          <w:tcPr>
            <w:tcW w:w="578" w:type="pct"/>
            <w:tcBorders>
              <w:top w:val="single" w:sz="4" w:space="0" w:color="002060"/>
              <w:left w:val="nil"/>
              <w:bottom w:val="single" w:sz="4" w:space="0" w:color="002060"/>
              <w:right w:val="nil"/>
            </w:tcBorders>
            <w:shd w:val="clear" w:color="auto" w:fill="auto"/>
            <w:noWrap/>
            <w:hideMark/>
          </w:tcPr>
          <w:p w14:paraId="43D62CE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0,90</w:t>
            </w:r>
          </w:p>
        </w:tc>
      </w:tr>
    </w:tbl>
    <w:p w14:paraId="397AD065" w14:textId="77777777" w:rsidR="00AE5DED" w:rsidRPr="00671E8F" w:rsidRDefault="00AE5DED" w:rsidP="00AE5DED">
      <w:pPr>
        <w:spacing w:after="0" w:line="276" w:lineRule="auto"/>
        <w:jc w:val="left"/>
        <w:rPr>
          <w:rFonts w:ascii="Calibri" w:eastAsia="Calibri" w:hAnsi="Calibri" w:cs="Calibri"/>
          <w:bCs/>
          <w:szCs w:val="72"/>
        </w:rPr>
      </w:pPr>
    </w:p>
    <w:p w14:paraId="379989AF" w14:textId="77777777" w:rsidR="00AE5DED" w:rsidRPr="00671E8F" w:rsidRDefault="00AE5DED" w:rsidP="00AE5DED">
      <w:pPr>
        <w:sectPr w:rsidR="00AE5DED" w:rsidRPr="00671E8F" w:rsidSect="00F45C01">
          <w:type w:val="continuous"/>
          <w:pgSz w:w="12240" w:h="15840" w:code="1"/>
          <w:pgMar w:top="1440" w:right="1440" w:bottom="1440" w:left="1440" w:header="720" w:footer="720" w:gutter="0"/>
          <w:cols w:space="720"/>
          <w:titlePg/>
          <w:docGrid w:linePitch="360"/>
        </w:sectPr>
      </w:pPr>
    </w:p>
    <w:p w14:paraId="1843D3FF" w14:textId="77777777" w:rsidR="00AE5DED" w:rsidRPr="00671E8F" w:rsidRDefault="00AE5DED" w:rsidP="00AE5DED">
      <w:pPr>
        <w:spacing w:after="280"/>
      </w:pPr>
      <w:r w:rsidRPr="00671E8F">
        <w:t xml:space="preserve">Наредна табела приказује кретања основних параметара јавног дуга по основу све четири </w:t>
      </w:r>
      <w:r w:rsidRPr="00671E8F">
        <w:t>разматране стратегије, што осликава горе поменуте карактеристике сваке стратегије:</w:t>
      </w:r>
    </w:p>
    <w:p w14:paraId="7D2893CE"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F45C01">
          <w:type w:val="continuous"/>
          <w:pgSz w:w="12240" w:h="15840" w:code="1"/>
          <w:pgMar w:top="1440" w:right="1440" w:bottom="1440" w:left="1440" w:header="720" w:footer="720" w:gutter="0"/>
          <w:cols w:num="2" w:space="720"/>
          <w:titlePg/>
          <w:docGrid w:linePitch="360"/>
        </w:sectPr>
      </w:pPr>
    </w:p>
    <w:p w14:paraId="567844B4" w14:textId="77777777" w:rsidR="009238F5" w:rsidRPr="00671E8F" w:rsidRDefault="009238F5" w:rsidP="00AE5DED">
      <w:pPr>
        <w:spacing w:line="256" w:lineRule="auto"/>
        <w:jc w:val="center"/>
        <w:rPr>
          <w:rFonts w:ascii="Calibri" w:eastAsia="Calibri" w:hAnsi="Calibri" w:cs="Times New Roman"/>
          <w:b/>
          <w:color w:val="002060"/>
        </w:rPr>
      </w:pPr>
    </w:p>
    <w:p w14:paraId="195A8C57" w14:textId="77777777" w:rsidR="009238F5" w:rsidRPr="00671E8F" w:rsidRDefault="009238F5" w:rsidP="00AE5DED">
      <w:pPr>
        <w:spacing w:line="256" w:lineRule="auto"/>
        <w:jc w:val="center"/>
        <w:rPr>
          <w:rFonts w:ascii="Calibri" w:eastAsia="Calibri" w:hAnsi="Calibri" w:cs="Times New Roman"/>
          <w:b/>
          <w:color w:val="002060"/>
        </w:rPr>
      </w:pPr>
    </w:p>
    <w:p w14:paraId="4667850C" w14:textId="77777777" w:rsidR="009238F5" w:rsidRPr="00671E8F" w:rsidRDefault="009238F5" w:rsidP="00AE5DED">
      <w:pPr>
        <w:spacing w:line="256" w:lineRule="auto"/>
        <w:jc w:val="center"/>
        <w:rPr>
          <w:rFonts w:ascii="Calibri" w:eastAsia="Calibri" w:hAnsi="Calibri" w:cs="Times New Roman"/>
          <w:b/>
          <w:color w:val="002060"/>
        </w:rPr>
      </w:pPr>
    </w:p>
    <w:p w14:paraId="18BB528E" w14:textId="12A2A2D8" w:rsidR="00AE5DED" w:rsidRPr="00671E8F" w:rsidRDefault="00AE5DED" w:rsidP="00AE5DED">
      <w:pPr>
        <w:spacing w:line="256" w:lineRule="auto"/>
        <w:jc w:val="center"/>
        <w:rPr>
          <w:rFonts w:ascii="Calibri" w:eastAsia="Calibri" w:hAnsi="Calibri" w:cs="Times New Roman"/>
          <w:b/>
          <w:color w:val="002060"/>
        </w:rPr>
      </w:pPr>
      <w:r w:rsidRPr="00671E8F">
        <w:rPr>
          <w:rFonts w:ascii="Calibri" w:eastAsia="Calibri" w:hAnsi="Calibri" w:cs="Times New Roman"/>
          <w:b/>
          <w:color w:val="002060"/>
        </w:rPr>
        <w:lastRenderedPageBreak/>
        <w:t>Табела 3</w:t>
      </w:r>
      <w:r w:rsidR="00B265DD" w:rsidRPr="00671E8F">
        <w:rPr>
          <w:rFonts w:ascii="Calibri" w:eastAsia="Calibri" w:hAnsi="Calibri" w:cs="Times New Roman"/>
          <w:b/>
          <w:color w:val="002060"/>
        </w:rPr>
        <w:t>4</w:t>
      </w:r>
      <w:r w:rsidRPr="00671E8F">
        <w:rPr>
          <w:rFonts w:ascii="Calibri" w:eastAsia="Calibri" w:hAnsi="Calibri" w:cs="Times New Roman"/>
          <w:b/>
          <w:color w:val="002060"/>
        </w:rPr>
        <w:t>. Индикатори ризика за алтернативне стратегије на крају 2027. године</w:t>
      </w:r>
    </w:p>
    <w:tbl>
      <w:tblPr>
        <w:tblStyle w:val="LightShading-Accent1222"/>
        <w:tblW w:w="5000" w:type="pct"/>
        <w:tblInd w:w="0" w:type="dxa"/>
        <w:tblLook w:val="04A0" w:firstRow="1" w:lastRow="0" w:firstColumn="1" w:lastColumn="0" w:noHBand="0" w:noVBand="1"/>
      </w:tblPr>
      <w:tblGrid>
        <w:gridCol w:w="2950"/>
        <w:gridCol w:w="3664"/>
        <w:gridCol w:w="685"/>
        <w:gridCol w:w="687"/>
        <w:gridCol w:w="685"/>
        <w:gridCol w:w="689"/>
      </w:tblGrid>
      <w:tr w:rsidR="00AE5DED" w:rsidRPr="00671E8F" w14:paraId="3A2BA1E4" w14:textId="77777777" w:rsidTr="00AE5DED">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single" w:sz="4" w:space="0" w:color="002060"/>
              <w:bottom w:val="nil"/>
            </w:tcBorders>
            <w:noWrap/>
            <w:hideMark/>
          </w:tcPr>
          <w:p w14:paraId="655AC9DB" w14:textId="77777777" w:rsidR="00AE5DED" w:rsidRPr="00671E8F" w:rsidRDefault="00AE5DED" w:rsidP="00AE5DED">
            <w:pPr>
              <w:spacing w:line="256" w:lineRule="auto"/>
              <w:rPr>
                <w:rFonts w:ascii="Calibri" w:hAnsi="Calibri"/>
                <w:color w:val="002060"/>
              </w:rPr>
            </w:pPr>
          </w:p>
        </w:tc>
        <w:tc>
          <w:tcPr>
            <w:tcW w:w="1957" w:type="pct"/>
            <w:tcBorders>
              <w:top w:val="single" w:sz="4" w:space="0" w:color="002060"/>
              <w:bottom w:val="single" w:sz="4" w:space="0" w:color="auto"/>
            </w:tcBorders>
          </w:tcPr>
          <w:p w14:paraId="66FEC035" w14:textId="77777777" w:rsidR="00AE5DED" w:rsidRPr="00671E8F" w:rsidRDefault="00AE5DED" w:rsidP="00AE5DED">
            <w:pPr>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p>
        </w:tc>
        <w:tc>
          <w:tcPr>
            <w:tcW w:w="1467" w:type="pct"/>
            <w:gridSpan w:val="4"/>
            <w:tcBorders>
              <w:top w:val="single" w:sz="4" w:space="0" w:color="002060"/>
              <w:bottom w:val="single" w:sz="4" w:space="0" w:color="auto"/>
            </w:tcBorders>
            <w:noWrap/>
            <w:hideMark/>
          </w:tcPr>
          <w:p w14:paraId="56208F70" w14:textId="77777777" w:rsidR="00AE5DED" w:rsidRPr="00671E8F" w:rsidRDefault="00AE5DED" w:rsidP="00AE5DED">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C1</w:t>
            </w:r>
            <w:r w:rsidRPr="00671E8F">
              <w:rPr>
                <w:rFonts w:ascii="Calibri" w:hAnsi="Calibri" w:cs="Calibri"/>
                <w:color w:val="002060"/>
                <w:sz w:val="18"/>
                <w:szCs w:val="18"/>
              </w:rPr>
              <w:tab/>
              <w:t>C2</w:t>
            </w:r>
            <w:r w:rsidRPr="00671E8F">
              <w:rPr>
                <w:rFonts w:ascii="Calibri" w:hAnsi="Calibri" w:cs="Calibri"/>
                <w:color w:val="002060"/>
                <w:sz w:val="18"/>
                <w:szCs w:val="18"/>
              </w:rPr>
              <w:tab/>
              <w:t>C3</w:t>
            </w:r>
            <w:r w:rsidRPr="00671E8F">
              <w:rPr>
                <w:rFonts w:ascii="Calibri" w:hAnsi="Calibri" w:cs="Calibri"/>
                <w:color w:val="002060"/>
                <w:sz w:val="18"/>
                <w:szCs w:val="18"/>
              </w:rPr>
              <w:tab/>
              <w:t>C4</w:t>
            </w:r>
          </w:p>
        </w:tc>
      </w:tr>
      <w:tr w:rsidR="00AE5DED" w:rsidRPr="00671E8F" w14:paraId="598EDEFE"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nil"/>
            </w:tcBorders>
            <w:shd w:val="clear" w:color="auto" w:fill="E7E6E6" w:themeFill="background2"/>
            <w:noWrap/>
            <w:hideMark/>
          </w:tcPr>
          <w:p w14:paraId="36EE7860"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Номинални дуг (% БДП)</w:t>
            </w:r>
          </w:p>
        </w:tc>
        <w:tc>
          <w:tcPr>
            <w:tcW w:w="1957" w:type="pct"/>
            <w:tcBorders>
              <w:top w:val="single" w:sz="4" w:space="0" w:color="auto"/>
              <w:bottom w:val="nil"/>
            </w:tcBorders>
            <w:shd w:val="clear" w:color="auto" w:fill="E7E6E6" w:themeFill="background2"/>
            <w:noWrap/>
            <w:hideMark/>
          </w:tcPr>
          <w:p w14:paraId="758CDED4"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 </w:t>
            </w:r>
          </w:p>
        </w:tc>
        <w:tc>
          <w:tcPr>
            <w:tcW w:w="366" w:type="pct"/>
            <w:tcBorders>
              <w:top w:val="single" w:sz="4" w:space="0" w:color="auto"/>
              <w:bottom w:val="nil"/>
            </w:tcBorders>
            <w:shd w:val="clear" w:color="auto" w:fill="E7E6E6" w:themeFill="background2"/>
            <w:noWrap/>
            <w:hideMark/>
          </w:tcPr>
          <w:p w14:paraId="384D50B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46,0</w:t>
            </w:r>
          </w:p>
        </w:tc>
        <w:tc>
          <w:tcPr>
            <w:tcW w:w="367" w:type="pct"/>
            <w:tcBorders>
              <w:top w:val="single" w:sz="4" w:space="0" w:color="auto"/>
              <w:bottom w:val="nil"/>
            </w:tcBorders>
            <w:shd w:val="clear" w:color="auto" w:fill="E7E6E6" w:themeFill="background2"/>
            <w:noWrap/>
            <w:hideMark/>
          </w:tcPr>
          <w:p w14:paraId="091D82E0"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46,4</w:t>
            </w:r>
          </w:p>
        </w:tc>
        <w:tc>
          <w:tcPr>
            <w:tcW w:w="366" w:type="pct"/>
            <w:tcBorders>
              <w:top w:val="single" w:sz="4" w:space="0" w:color="auto"/>
              <w:bottom w:val="nil"/>
            </w:tcBorders>
            <w:shd w:val="clear" w:color="auto" w:fill="E7E6E6" w:themeFill="background2"/>
            <w:noWrap/>
            <w:hideMark/>
          </w:tcPr>
          <w:p w14:paraId="4C32866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46,1</w:t>
            </w:r>
          </w:p>
        </w:tc>
        <w:tc>
          <w:tcPr>
            <w:tcW w:w="368" w:type="pct"/>
            <w:tcBorders>
              <w:top w:val="single" w:sz="4" w:space="0" w:color="auto"/>
              <w:bottom w:val="nil"/>
            </w:tcBorders>
            <w:shd w:val="clear" w:color="auto" w:fill="E7E6E6" w:themeFill="background2"/>
            <w:noWrap/>
            <w:hideMark/>
          </w:tcPr>
          <w:p w14:paraId="495B95CE"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46,2</w:t>
            </w:r>
          </w:p>
        </w:tc>
      </w:tr>
      <w:tr w:rsidR="00AE5DED" w:rsidRPr="00671E8F" w14:paraId="7F8B8EFE"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3533" w:type="pct"/>
            <w:gridSpan w:val="2"/>
            <w:tcBorders>
              <w:top w:val="nil"/>
              <w:left w:val="nil"/>
              <w:bottom w:val="nil"/>
              <w:right w:val="nil"/>
            </w:tcBorders>
            <w:noWrap/>
            <w:hideMark/>
          </w:tcPr>
          <w:p w14:paraId="590DAA56"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Примењена каматна стопа (%)</w:t>
            </w:r>
          </w:p>
        </w:tc>
        <w:tc>
          <w:tcPr>
            <w:tcW w:w="366" w:type="pct"/>
            <w:tcBorders>
              <w:top w:val="nil"/>
              <w:left w:val="nil"/>
              <w:bottom w:val="nil"/>
              <w:right w:val="nil"/>
            </w:tcBorders>
            <w:noWrap/>
            <w:hideMark/>
          </w:tcPr>
          <w:p w14:paraId="7C4C8CF1"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4,5</w:t>
            </w:r>
          </w:p>
        </w:tc>
        <w:tc>
          <w:tcPr>
            <w:tcW w:w="367" w:type="pct"/>
            <w:tcBorders>
              <w:top w:val="nil"/>
              <w:left w:val="nil"/>
              <w:bottom w:val="nil"/>
              <w:right w:val="nil"/>
            </w:tcBorders>
            <w:noWrap/>
            <w:hideMark/>
          </w:tcPr>
          <w:p w14:paraId="1FC7E261"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5,1</w:t>
            </w:r>
          </w:p>
        </w:tc>
        <w:tc>
          <w:tcPr>
            <w:tcW w:w="366" w:type="pct"/>
            <w:tcBorders>
              <w:top w:val="nil"/>
              <w:left w:val="nil"/>
              <w:bottom w:val="nil"/>
              <w:right w:val="nil"/>
            </w:tcBorders>
            <w:noWrap/>
            <w:hideMark/>
          </w:tcPr>
          <w:p w14:paraId="52445B3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4,7</w:t>
            </w:r>
          </w:p>
        </w:tc>
        <w:tc>
          <w:tcPr>
            <w:tcW w:w="368" w:type="pct"/>
            <w:tcBorders>
              <w:top w:val="nil"/>
              <w:left w:val="nil"/>
              <w:bottom w:val="nil"/>
              <w:right w:val="nil"/>
            </w:tcBorders>
            <w:noWrap/>
            <w:hideMark/>
          </w:tcPr>
          <w:p w14:paraId="236BF465"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4,8</w:t>
            </w:r>
          </w:p>
        </w:tc>
      </w:tr>
      <w:tr w:rsidR="00AE5DED" w:rsidRPr="00671E8F" w14:paraId="76AE4D22"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nil"/>
              <w:bottom w:val="nil"/>
            </w:tcBorders>
            <w:shd w:val="clear" w:color="auto" w:fill="E7E6E6" w:themeFill="background2"/>
            <w:noWrap/>
            <w:hideMark/>
          </w:tcPr>
          <w:p w14:paraId="27F9B158"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Ризик</w:t>
            </w:r>
          </w:p>
          <w:p w14:paraId="3115353E"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рефинансирања</w:t>
            </w:r>
          </w:p>
        </w:tc>
        <w:tc>
          <w:tcPr>
            <w:tcW w:w="1957" w:type="pct"/>
            <w:tcBorders>
              <w:top w:val="nil"/>
              <w:bottom w:val="nil"/>
            </w:tcBorders>
            <w:shd w:val="clear" w:color="auto" w:fill="E7E6E6" w:themeFill="background2"/>
            <w:noWrap/>
            <w:hideMark/>
          </w:tcPr>
          <w:p w14:paraId="15A84ED0"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ATM</w:t>
            </w:r>
            <w:r w:rsidRPr="00671E8F">
              <w:rPr>
                <w:rFonts w:ascii="Calibri" w:hAnsi="Calibri" w:cs="Calibri"/>
                <w:color w:val="002060"/>
                <w:sz w:val="18"/>
                <w:szCs w:val="18"/>
                <w:vertAlign w:val="superscript"/>
              </w:rPr>
              <w:footnoteReference w:id="8"/>
            </w:r>
            <w:r w:rsidRPr="00671E8F">
              <w:rPr>
                <w:rFonts w:ascii="Calibri" w:hAnsi="Calibri" w:cs="Calibri"/>
                <w:color w:val="002060"/>
                <w:sz w:val="18"/>
                <w:szCs w:val="18"/>
              </w:rPr>
              <w:t xml:space="preserve"> спољни портфолио (у годинама)</w:t>
            </w:r>
          </w:p>
        </w:tc>
        <w:tc>
          <w:tcPr>
            <w:tcW w:w="366" w:type="pct"/>
            <w:tcBorders>
              <w:top w:val="nil"/>
              <w:bottom w:val="nil"/>
            </w:tcBorders>
            <w:shd w:val="clear" w:color="auto" w:fill="E7E6E6" w:themeFill="background2"/>
            <w:noWrap/>
            <w:hideMark/>
          </w:tcPr>
          <w:p w14:paraId="74E4396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8,7</w:t>
            </w:r>
          </w:p>
        </w:tc>
        <w:tc>
          <w:tcPr>
            <w:tcW w:w="367" w:type="pct"/>
            <w:tcBorders>
              <w:top w:val="nil"/>
              <w:bottom w:val="nil"/>
            </w:tcBorders>
            <w:shd w:val="clear" w:color="auto" w:fill="E7E6E6" w:themeFill="background2"/>
            <w:noWrap/>
            <w:hideMark/>
          </w:tcPr>
          <w:p w14:paraId="727A4AC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10,2</w:t>
            </w:r>
          </w:p>
        </w:tc>
        <w:tc>
          <w:tcPr>
            <w:tcW w:w="366" w:type="pct"/>
            <w:tcBorders>
              <w:top w:val="nil"/>
              <w:bottom w:val="nil"/>
            </w:tcBorders>
            <w:shd w:val="clear" w:color="auto" w:fill="E7E6E6" w:themeFill="background2"/>
            <w:noWrap/>
            <w:hideMark/>
          </w:tcPr>
          <w:p w14:paraId="5894916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9,5</w:t>
            </w:r>
          </w:p>
        </w:tc>
        <w:tc>
          <w:tcPr>
            <w:tcW w:w="368" w:type="pct"/>
            <w:tcBorders>
              <w:top w:val="nil"/>
              <w:bottom w:val="nil"/>
            </w:tcBorders>
            <w:shd w:val="clear" w:color="auto" w:fill="E7E6E6" w:themeFill="background2"/>
            <w:noWrap/>
            <w:hideMark/>
          </w:tcPr>
          <w:p w14:paraId="569A40A1"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7,3</w:t>
            </w:r>
          </w:p>
        </w:tc>
      </w:tr>
      <w:tr w:rsidR="00AE5DED" w:rsidRPr="00671E8F" w14:paraId="58FFB0E7"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nil"/>
              <w:bottom w:val="nil"/>
              <w:right w:val="nil"/>
            </w:tcBorders>
            <w:vAlign w:val="center"/>
            <w:hideMark/>
          </w:tcPr>
          <w:p w14:paraId="17D1F9BB" w14:textId="77777777" w:rsidR="00AE5DED" w:rsidRPr="00671E8F" w:rsidRDefault="00AE5DED" w:rsidP="00AE5DED">
            <w:pPr>
              <w:jc w:val="left"/>
              <w:rPr>
                <w:rFonts w:ascii="Calibri" w:hAnsi="Calibri" w:cs="Calibri"/>
                <w:color w:val="002060"/>
                <w:sz w:val="18"/>
                <w:szCs w:val="18"/>
              </w:rPr>
            </w:pPr>
          </w:p>
        </w:tc>
        <w:tc>
          <w:tcPr>
            <w:tcW w:w="1957" w:type="pct"/>
            <w:tcBorders>
              <w:top w:val="nil"/>
              <w:left w:val="nil"/>
              <w:bottom w:val="nil"/>
              <w:right w:val="nil"/>
            </w:tcBorders>
            <w:noWrap/>
            <w:hideMark/>
          </w:tcPr>
          <w:p w14:paraId="6D662F75" w14:textId="77777777" w:rsidR="00AE5DED" w:rsidRPr="00671E8F" w:rsidRDefault="00AE5DED" w:rsidP="00AE5DED">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rPr>
            </w:pPr>
            <w:r w:rsidRPr="00671E8F">
              <w:rPr>
                <w:rFonts w:ascii="Calibri" w:hAnsi="Calibri" w:cs="Calibri"/>
                <w:bCs/>
                <w:color w:val="002060"/>
                <w:sz w:val="18"/>
                <w:szCs w:val="18"/>
              </w:rPr>
              <w:t>ATM домаћи портфолио (у годинама)</w:t>
            </w:r>
          </w:p>
        </w:tc>
        <w:tc>
          <w:tcPr>
            <w:tcW w:w="366" w:type="pct"/>
            <w:tcBorders>
              <w:top w:val="nil"/>
              <w:left w:val="nil"/>
              <w:bottom w:val="nil"/>
              <w:right w:val="nil"/>
            </w:tcBorders>
            <w:noWrap/>
            <w:hideMark/>
          </w:tcPr>
          <w:p w14:paraId="04378203"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6,3</w:t>
            </w:r>
          </w:p>
        </w:tc>
        <w:tc>
          <w:tcPr>
            <w:tcW w:w="367" w:type="pct"/>
            <w:tcBorders>
              <w:top w:val="nil"/>
              <w:left w:val="nil"/>
              <w:bottom w:val="nil"/>
              <w:right w:val="nil"/>
            </w:tcBorders>
            <w:noWrap/>
            <w:hideMark/>
          </w:tcPr>
          <w:p w14:paraId="60834CC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3,2</w:t>
            </w:r>
          </w:p>
        </w:tc>
        <w:tc>
          <w:tcPr>
            <w:tcW w:w="366" w:type="pct"/>
            <w:tcBorders>
              <w:top w:val="nil"/>
              <w:left w:val="nil"/>
              <w:bottom w:val="nil"/>
              <w:right w:val="nil"/>
            </w:tcBorders>
            <w:noWrap/>
            <w:hideMark/>
          </w:tcPr>
          <w:p w14:paraId="28258E7E"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3,2</w:t>
            </w:r>
          </w:p>
        </w:tc>
        <w:tc>
          <w:tcPr>
            <w:tcW w:w="368" w:type="pct"/>
            <w:tcBorders>
              <w:top w:val="nil"/>
              <w:left w:val="nil"/>
              <w:bottom w:val="nil"/>
              <w:right w:val="nil"/>
            </w:tcBorders>
            <w:noWrap/>
            <w:hideMark/>
          </w:tcPr>
          <w:p w14:paraId="43D83896"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8,4</w:t>
            </w:r>
          </w:p>
        </w:tc>
      </w:tr>
      <w:tr w:rsidR="00AE5DED" w:rsidRPr="00671E8F" w14:paraId="3AA00FF7"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single" w:sz="4" w:space="0" w:color="002060"/>
            </w:tcBorders>
            <w:vAlign w:val="center"/>
            <w:hideMark/>
          </w:tcPr>
          <w:p w14:paraId="643262A9" w14:textId="77777777" w:rsidR="00AE5DED" w:rsidRPr="00671E8F" w:rsidRDefault="00AE5DED" w:rsidP="00AE5DED">
            <w:pPr>
              <w:jc w:val="left"/>
              <w:rPr>
                <w:rFonts w:ascii="Calibri" w:hAnsi="Calibri" w:cs="Calibri"/>
                <w:color w:val="002060"/>
                <w:sz w:val="18"/>
                <w:szCs w:val="18"/>
              </w:rPr>
            </w:pPr>
          </w:p>
        </w:tc>
        <w:tc>
          <w:tcPr>
            <w:tcW w:w="1957" w:type="pct"/>
            <w:tcBorders>
              <w:top w:val="nil"/>
              <w:bottom w:val="single" w:sz="4" w:space="0" w:color="002060"/>
            </w:tcBorders>
            <w:shd w:val="clear" w:color="auto" w:fill="E7E6E6" w:themeFill="background2"/>
            <w:noWrap/>
            <w:hideMark/>
          </w:tcPr>
          <w:p w14:paraId="7BFFD7F0"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ATM укупан портфолио (у годинама)</w:t>
            </w:r>
          </w:p>
        </w:tc>
        <w:tc>
          <w:tcPr>
            <w:tcW w:w="366" w:type="pct"/>
            <w:tcBorders>
              <w:top w:val="nil"/>
              <w:bottom w:val="single" w:sz="4" w:space="0" w:color="002060"/>
            </w:tcBorders>
            <w:shd w:val="clear" w:color="auto" w:fill="E7E6E6" w:themeFill="background2"/>
            <w:noWrap/>
            <w:hideMark/>
          </w:tcPr>
          <w:p w14:paraId="210C1DA2"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8,0</w:t>
            </w:r>
          </w:p>
        </w:tc>
        <w:tc>
          <w:tcPr>
            <w:tcW w:w="367" w:type="pct"/>
            <w:tcBorders>
              <w:top w:val="nil"/>
              <w:bottom w:val="single" w:sz="4" w:space="0" w:color="002060"/>
            </w:tcBorders>
            <w:shd w:val="clear" w:color="auto" w:fill="E7E6E6" w:themeFill="background2"/>
            <w:noWrap/>
            <w:hideMark/>
          </w:tcPr>
          <w:p w14:paraId="68D984A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9,6</w:t>
            </w:r>
          </w:p>
        </w:tc>
        <w:tc>
          <w:tcPr>
            <w:tcW w:w="366" w:type="pct"/>
            <w:tcBorders>
              <w:top w:val="nil"/>
              <w:bottom w:val="single" w:sz="4" w:space="0" w:color="002060"/>
            </w:tcBorders>
            <w:shd w:val="clear" w:color="auto" w:fill="E7E6E6" w:themeFill="background2"/>
            <w:noWrap/>
            <w:hideMark/>
          </w:tcPr>
          <w:p w14:paraId="7BC3BCD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9,0</w:t>
            </w:r>
          </w:p>
        </w:tc>
        <w:tc>
          <w:tcPr>
            <w:tcW w:w="368" w:type="pct"/>
            <w:tcBorders>
              <w:top w:val="nil"/>
              <w:bottom w:val="single" w:sz="4" w:space="0" w:color="002060"/>
            </w:tcBorders>
            <w:shd w:val="clear" w:color="auto" w:fill="E7E6E6" w:themeFill="background2"/>
            <w:noWrap/>
            <w:hideMark/>
          </w:tcPr>
          <w:p w14:paraId="1F311FDC"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7,9</w:t>
            </w:r>
          </w:p>
        </w:tc>
      </w:tr>
      <w:tr w:rsidR="00AE5DED" w:rsidRPr="00671E8F" w14:paraId="56581D15"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single" w:sz="4" w:space="0" w:color="002060"/>
              <w:left w:val="nil"/>
              <w:bottom w:val="nil"/>
              <w:right w:val="nil"/>
            </w:tcBorders>
            <w:noWrap/>
            <w:hideMark/>
          </w:tcPr>
          <w:p w14:paraId="299156CA"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Ризик каматних стопа</w:t>
            </w:r>
          </w:p>
        </w:tc>
        <w:tc>
          <w:tcPr>
            <w:tcW w:w="1957" w:type="pct"/>
            <w:tcBorders>
              <w:top w:val="single" w:sz="4" w:space="0" w:color="002060"/>
              <w:left w:val="nil"/>
              <w:bottom w:val="nil"/>
              <w:right w:val="nil"/>
            </w:tcBorders>
            <w:noWrap/>
            <w:hideMark/>
          </w:tcPr>
          <w:p w14:paraId="47BB57FA" w14:textId="77777777" w:rsidR="00AE5DED" w:rsidRPr="00671E8F" w:rsidRDefault="00AE5DED" w:rsidP="00AE5DED">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rPr>
            </w:pPr>
            <w:r w:rsidRPr="00671E8F">
              <w:rPr>
                <w:rFonts w:ascii="Calibri" w:hAnsi="Calibri" w:cs="Calibri"/>
                <w:bCs/>
                <w:color w:val="002060"/>
                <w:sz w:val="18"/>
                <w:szCs w:val="18"/>
              </w:rPr>
              <w:t>АТR</w:t>
            </w:r>
            <w:r w:rsidRPr="00671E8F">
              <w:rPr>
                <w:rFonts w:ascii="Calibri" w:hAnsi="Calibri" w:cs="Calibri"/>
                <w:bCs/>
                <w:color w:val="002060"/>
                <w:sz w:val="18"/>
                <w:szCs w:val="18"/>
                <w:vertAlign w:val="superscript"/>
              </w:rPr>
              <w:footnoteReference w:id="9"/>
            </w:r>
            <w:r w:rsidRPr="00671E8F">
              <w:rPr>
                <w:rFonts w:ascii="Calibri" w:hAnsi="Calibri" w:cs="Calibri"/>
                <w:bCs/>
                <w:color w:val="002060"/>
                <w:sz w:val="18"/>
                <w:szCs w:val="18"/>
              </w:rPr>
              <w:t xml:space="preserve"> (у годинама)</w:t>
            </w:r>
          </w:p>
        </w:tc>
        <w:tc>
          <w:tcPr>
            <w:tcW w:w="366" w:type="pct"/>
            <w:tcBorders>
              <w:top w:val="single" w:sz="4" w:space="0" w:color="002060"/>
              <w:left w:val="nil"/>
              <w:bottom w:val="nil"/>
              <w:right w:val="nil"/>
            </w:tcBorders>
            <w:noWrap/>
            <w:hideMark/>
          </w:tcPr>
          <w:p w14:paraId="792AEE6E"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6,1</w:t>
            </w:r>
          </w:p>
        </w:tc>
        <w:tc>
          <w:tcPr>
            <w:tcW w:w="367" w:type="pct"/>
            <w:tcBorders>
              <w:top w:val="single" w:sz="4" w:space="0" w:color="002060"/>
              <w:left w:val="nil"/>
              <w:bottom w:val="nil"/>
              <w:right w:val="nil"/>
            </w:tcBorders>
            <w:noWrap/>
            <w:hideMark/>
          </w:tcPr>
          <w:p w14:paraId="7F09DF4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8,1</w:t>
            </w:r>
          </w:p>
        </w:tc>
        <w:tc>
          <w:tcPr>
            <w:tcW w:w="366" w:type="pct"/>
            <w:tcBorders>
              <w:top w:val="single" w:sz="4" w:space="0" w:color="002060"/>
              <w:left w:val="nil"/>
              <w:bottom w:val="nil"/>
              <w:right w:val="nil"/>
            </w:tcBorders>
            <w:noWrap/>
            <w:hideMark/>
          </w:tcPr>
          <w:p w14:paraId="38C7A798"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7,5</w:t>
            </w:r>
          </w:p>
        </w:tc>
        <w:tc>
          <w:tcPr>
            <w:tcW w:w="368" w:type="pct"/>
            <w:tcBorders>
              <w:top w:val="single" w:sz="4" w:space="0" w:color="002060"/>
              <w:left w:val="nil"/>
              <w:bottom w:val="nil"/>
              <w:right w:val="nil"/>
            </w:tcBorders>
            <w:noWrap/>
            <w:hideMark/>
          </w:tcPr>
          <w:p w14:paraId="5E755559"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6,4</w:t>
            </w:r>
          </w:p>
        </w:tc>
      </w:tr>
      <w:tr w:rsidR="00AE5DED" w:rsidRPr="00671E8F" w14:paraId="5D3290CA"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bottom w:val="nil"/>
            </w:tcBorders>
            <w:vAlign w:val="center"/>
            <w:hideMark/>
          </w:tcPr>
          <w:p w14:paraId="0D60A219" w14:textId="77777777" w:rsidR="00AE5DED" w:rsidRPr="00671E8F" w:rsidRDefault="00AE5DED" w:rsidP="00AE5DED">
            <w:pPr>
              <w:jc w:val="left"/>
              <w:rPr>
                <w:rFonts w:ascii="Calibri" w:hAnsi="Calibri" w:cs="Calibri"/>
                <w:color w:val="002060"/>
                <w:sz w:val="18"/>
                <w:szCs w:val="18"/>
              </w:rPr>
            </w:pPr>
          </w:p>
        </w:tc>
        <w:tc>
          <w:tcPr>
            <w:tcW w:w="1957" w:type="pct"/>
            <w:tcBorders>
              <w:top w:val="nil"/>
              <w:bottom w:val="nil"/>
            </w:tcBorders>
            <w:shd w:val="clear" w:color="auto" w:fill="E7E6E6" w:themeFill="background2"/>
            <w:noWrap/>
            <w:hideMark/>
          </w:tcPr>
          <w:p w14:paraId="4F374909"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Рефиксирање (% укупног дуга)</w:t>
            </w:r>
          </w:p>
        </w:tc>
        <w:tc>
          <w:tcPr>
            <w:tcW w:w="366" w:type="pct"/>
            <w:tcBorders>
              <w:top w:val="nil"/>
              <w:bottom w:val="nil"/>
            </w:tcBorders>
            <w:shd w:val="clear" w:color="auto" w:fill="E7E6E6" w:themeFill="background2"/>
            <w:noWrap/>
            <w:hideMark/>
          </w:tcPr>
          <w:p w14:paraId="16F9C1B4"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26,1</w:t>
            </w:r>
          </w:p>
        </w:tc>
        <w:tc>
          <w:tcPr>
            <w:tcW w:w="367" w:type="pct"/>
            <w:tcBorders>
              <w:top w:val="nil"/>
              <w:bottom w:val="nil"/>
            </w:tcBorders>
            <w:shd w:val="clear" w:color="auto" w:fill="E7E6E6" w:themeFill="background2"/>
            <w:noWrap/>
            <w:hideMark/>
          </w:tcPr>
          <w:p w14:paraId="0688CB4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21,9</w:t>
            </w:r>
          </w:p>
        </w:tc>
        <w:tc>
          <w:tcPr>
            <w:tcW w:w="366" w:type="pct"/>
            <w:tcBorders>
              <w:top w:val="nil"/>
              <w:bottom w:val="nil"/>
            </w:tcBorders>
            <w:shd w:val="clear" w:color="auto" w:fill="E7E6E6" w:themeFill="background2"/>
            <w:noWrap/>
            <w:hideMark/>
          </w:tcPr>
          <w:p w14:paraId="48EBB8DD"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22,0</w:t>
            </w:r>
          </w:p>
        </w:tc>
        <w:tc>
          <w:tcPr>
            <w:tcW w:w="368" w:type="pct"/>
            <w:tcBorders>
              <w:top w:val="nil"/>
              <w:bottom w:val="nil"/>
            </w:tcBorders>
            <w:shd w:val="clear" w:color="auto" w:fill="E7E6E6" w:themeFill="background2"/>
            <w:noWrap/>
            <w:hideMark/>
          </w:tcPr>
          <w:p w14:paraId="161FCE1B"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22,0</w:t>
            </w:r>
          </w:p>
        </w:tc>
      </w:tr>
      <w:tr w:rsidR="00AE5DED" w:rsidRPr="00671E8F" w14:paraId="5F9C4360" w14:textId="77777777" w:rsidTr="00AE5DED">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left w:val="nil"/>
              <w:bottom w:val="nil"/>
              <w:right w:val="nil"/>
            </w:tcBorders>
            <w:vAlign w:val="center"/>
            <w:hideMark/>
          </w:tcPr>
          <w:p w14:paraId="77E96AF3" w14:textId="77777777" w:rsidR="00AE5DED" w:rsidRPr="00671E8F" w:rsidRDefault="00AE5DED" w:rsidP="00AE5DED">
            <w:pPr>
              <w:jc w:val="left"/>
              <w:rPr>
                <w:rFonts w:ascii="Calibri" w:hAnsi="Calibri" w:cs="Calibri"/>
                <w:color w:val="002060"/>
                <w:sz w:val="18"/>
                <w:szCs w:val="18"/>
              </w:rPr>
            </w:pPr>
          </w:p>
        </w:tc>
        <w:tc>
          <w:tcPr>
            <w:tcW w:w="1957" w:type="pct"/>
            <w:tcBorders>
              <w:top w:val="nil"/>
              <w:left w:val="nil"/>
              <w:bottom w:val="nil"/>
              <w:right w:val="nil"/>
            </w:tcBorders>
            <w:noWrap/>
            <w:hideMark/>
          </w:tcPr>
          <w:p w14:paraId="50B8D6C0" w14:textId="77777777" w:rsidR="00AE5DED" w:rsidRPr="00671E8F" w:rsidRDefault="00AE5DED" w:rsidP="00AE5DED">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rPr>
            </w:pPr>
            <w:r w:rsidRPr="00671E8F">
              <w:rPr>
                <w:rFonts w:ascii="Calibri" w:hAnsi="Calibri" w:cs="Calibri"/>
                <w:bCs/>
                <w:color w:val="002060"/>
                <w:sz w:val="18"/>
                <w:szCs w:val="18"/>
              </w:rPr>
              <w:t>Дуг по фиксним стопама (% укупног дуга)</w:t>
            </w:r>
          </w:p>
        </w:tc>
        <w:tc>
          <w:tcPr>
            <w:tcW w:w="366" w:type="pct"/>
            <w:tcBorders>
              <w:top w:val="nil"/>
              <w:left w:val="nil"/>
              <w:bottom w:val="nil"/>
              <w:right w:val="nil"/>
            </w:tcBorders>
            <w:noWrap/>
            <w:hideMark/>
          </w:tcPr>
          <w:p w14:paraId="5E1361EF"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81,0</w:t>
            </w:r>
          </w:p>
        </w:tc>
        <w:tc>
          <w:tcPr>
            <w:tcW w:w="367" w:type="pct"/>
            <w:tcBorders>
              <w:top w:val="nil"/>
              <w:left w:val="nil"/>
              <w:bottom w:val="nil"/>
              <w:right w:val="nil"/>
            </w:tcBorders>
            <w:noWrap/>
            <w:hideMark/>
          </w:tcPr>
          <w:p w14:paraId="28A0F40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85,2</w:t>
            </w:r>
          </w:p>
        </w:tc>
        <w:tc>
          <w:tcPr>
            <w:tcW w:w="366" w:type="pct"/>
            <w:tcBorders>
              <w:top w:val="nil"/>
              <w:left w:val="nil"/>
              <w:bottom w:val="nil"/>
              <w:right w:val="nil"/>
            </w:tcBorders>
            <w:noWrap/>
            <w:hideMark/>
          </w:tcPr>
          <w:p w14:paraId="41BE8117"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85,2</w:t>
            </w:r>
          </w:p>
        </w:tc>
        <w:tc>
          <w:tcPr>
            <w:tcW w:w="368" w:type="pct"/>
            <w:tcBorders>
              <w:top w:val="nil"/>
              <w:left w:val="nil"/>
              <w:bottom w:val="nil"/>
              <w:right w:val="nil"/>
            </w:tcBorders>
            <w:noWrap/>
            <w:hideMark/>
          </w:tcPr>
          <w:p w14:paraId="446B334F" w14:textId="77777777" w:rsidR="00AE5DED" w:rsidRPr="00671E8F" w:rsidRDefault="00AE5DED" w:rsidP="00AE5DED">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85,2</w:t>
            </w:r>
          </w:p>
        </w:tc>
      </w:tr>
      <w:tr w:rsidR="00AE5DED" w:rsidRPr="00671E8F" w14:paraId="2029ABFC" w14:textId="77777777" w:rsidTr="00AE5DED">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single" w:sz="4" w:space="0" w:color="002060"/>
            </w:tcBorders>
            <w:shd w:val="clear" w:color="auto" w:fill="E7E6E6" w:themeFill="background2"/>
            <w:noWrap/>
            <w:hideMark/>
          </w:tcPr>
          <w:p w14:paraId="08D1A660" w14:textId="77777777" w:rsidR="00AE5DED" w:rsidRPr="00671E8F" w:rsidRDefault="00AE5DED" w:rsidP="00AE5DED">
            <w:pPr>
              <w:spacing w:line="240" w:lineRule="auto"/>
              <w:rPr>
                <w:rFonts w:ascii="Calibri" w:hAnsi="Calibri" w:cs="Calibri"/>
                <w:color w:val="002060"/>
                <w:sz w:val="18"/>
                <w:szCs w:val="18"/>
              </w:rPr>
            </w:pPr>
            <w:r w:rsidRPr="00671E8F">
              <w:rPr>
                <w:rFonts w:ascii="Calibri" w:hAnsi="Calibri" w:cs="Calibri"/>
                <w:color w:val="002060"/>
                <w:sz w:val="18"/>
                <w:szCs w:val="18"/>
              </w:rPr>
              <w:t>Ризик девизног курса</w:t>
            </w:r>
          </w:p>
        </w:tc>
        <w:tc>
          <w:tcPr>
            <w:tcW w:w="1957" w:type="pct"/>
            <w:tcBorders>
              <w:top w:val="nil"/>
              <w:bottom w:val="single" w:sz="4" w:space="0" w:color="002060"/>
            </w:tcBorders>
            <w:shd w:val="clear" w:color="auto" w:fill="E7E6E6" w:themeFill="background2"/>
            <w:noWrap/>
            <w:hideMark/>
          </w:tcPr>
          <w:p w14:paraId="6DE864F3" w14:textId="77777777" w:rsidR="00AE5DED" w:rsidRPr="00671E8F" w:rsidRDefault="00AE5DED" w:rsidP="00AE5DED">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rPr>
            </w:pPr>
            <w:r w:rsidRPr="00671E8F">
              <w:rPr>
                <w:rFonts w:ascii="Calibri" w:hAnsi="Calibri" w:cs="Calibri"/>
                <w:color w:val="002060"/>
                <w:sz w:val="18"/>
                <w:szCs w:val="18"/>
              </w:rPr>
              <w:t>Ино-валутни дуг (% укупног дуга)</w:t>
            </w:r>
          </w:p>
        </w:tc>
        <w:tc>
          <w:tcPr>
            <w:tcW w:w="366" w:type="pct"/>
            <w:tcBorders>
              <w:top w:val="nil"/>
              <w:bottom w:val="single" w:sz="4" w:space="0" w:color="002060"/>
            </w:tcBorders>
            <w:shd w:val="clear" w:color="auto" w:fill="E7E6E6" w:themeFill="background2"/>
            <w:noWrap/>
            <w:hideMark/>
          </w:tcPr>
          <w:p w14:paraId="0775A156"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74,9</w:t>
            </w:r>
          </w:p>
        </w:tc>
        <w:tc>
          <w:tcPr>
            <w:tcW w:w="367" w:type="pct"/>
            <w:tcBorders>
              <w:top w:val="nil"/>
              <w:bottom w:val="single" w:sz="4" w:space="0" w:color="002060"/>
            </w:tcBorders>
            <w:shd w:val="clear" w:color="auto" w:fill="E7E6E6" w:themeFill="background2"/>
            <w:noWrap/>
            <w:hideMark/>
          </w:tcPr>
          <w:p w14:paraId="46BB18D0"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91,1</w:t>
            </w:r>
          </w:p>
        </w:tc>
        <w:tc>
          <w:tcPr>
            <w:tcW w:w="366" w:type="pct"/>
            <w:tcBorders>
              <w:top w:val="nil"/>
              <w:bottom w:val="single" w:sz="4" w:space="0" w:color="002060"/>
            </w:tcBorders>
            <w:shd w:val="clear" w:color="auto" w:fill="E7E6E6" w:themeFill="background2"/>
            <w:noWrap/>
            <w:hideMark/>
          </w:tcPr>
          <w:p w14:paraId="12B3C2B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91,0</w:t>
            </w:r>
          </w:p>
        </w:tc>
        <w:tc>
          <w:tcPr>
            <w:tcW w:w="368" w:type="pct"/>
            <w:tcBorders>
              <w:top w:val="nil"/>
              <w:bottom w:val="single" w:sz="4" w:space="0" w:color="002060"/>
            </w:tcBorders>
            <w:shd w:val="clear" w:color="auto" w:fill="E7E6E6" w:themeFill="background2"/>
            <w:noWrap/>
            <w:hideMark/>
          </w:tcPr>
          <w:p w14:paraId="154200E9" w14:textId="77777777" w:rsidR="00AE5DED" w:rsidRPr="00671E8F" w:rsidRDefault="00AE5DED" w:rsidP="00AE5DED">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rPr>
            </w:pPr>
            <w:r w:rsidRPr="00671E8F">
              <w:rPr>
                <w:rFonts w:ascii="Calibri" w:hAnsi="Calibri" w:cs="Calibri"/>
                <w:b/>
                <w:bCs/>
                <w:color w:val="002060"/>
                <w:sz w:val="18"/>
                <w:szCs w:val="18"/>
              </w:rPr>
              <w:t>41,3</w:t>
            </w:r>
          </w:p>
        </w:tc>
      </w:tr>
    </w:tbl>
    <w:p w14:paraId="79B7A501" w14:textId="77777777" w:rsidR="00AE5DED" w:rsidRPr="00671E8F" w:rsidRDefault="00AE5DED" w:rsidP="00AE5DED">
      <w:pPr>
        <w:rPr>
          <w:rFonts w:ascii="Calibri" w:hAnsi="Calibri"/>
          <w:color w:val="2F5496" w:themeColor="accent1" w:themeShade="BF"/>
          <w:sz w:val="22"/>
        </w:rPr>
        <w:sectPr w:rsidR="00AE5DED" w:rsidRPr="00671E8F" w:rsidSect="00F45C01">
          <w:type w:val="continuous"/>
          <w:pgSz w:w="12240" w:h="15840" w:code="1"/>
          <w:pgMar w:top="1440" w:right="1440" w:bottom="1440" w:left="1440" w:header="720" w:footer="720" w:gutter="0"/>
          <w:cols w:space="720"/>
          <w:titlePg/>
          <w:docGrid w:linePitch="360"/>
        </w:sectPr>
      </w:pPr>
    </w:p>
    <w:p w14:paraId="15421BFD"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Стрес-тест анализа</w:t>
      </w:r>
    </w:p>
    <w:p w14:paraId="24387FDF"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На основу планираног макроекономског оквира, а у случају изостанка утицаја могућих ризика, јавни дуг централног нивоа власти би на крају 2027. године требало да буде на нивоу од 46,0% БДП. </w:t>
      </w:r>
    </w:p>
    <w:p w14:paraId="268E4204"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Основни фактори који утичу на стабилизацију рација јавни дуг/БДП су раст БДП, позитивни примарни резултат и курс динара према ино-валутама.</w:t>
      </w:r>
    </w:p>
    <w:p w14:paraId="730F2640" w14:textId="4323F7F5" w:rsidR="00AE5DED" w:rsidRPr="00671E8F" w:rsidRDefault="00AE5DED" w:rsidP="00AE5DED">
      <w:pPr>
        <w:sectPr w:rsidR="00AE5DED" w:rsidRPr="00671E8F" w:rsidSect="00F45C01">
          <w:type w:val="continuous"/>
          <w:pgSz w:w="12240" w:h="15840" w:code="1"/>
          <w:pgMar w:top="1440" w:right="1440" w:bottom="1440" w:left="1440" w:header="720" w:footer="720" w:gutter="0"/>
          <w:cols w:num="2" w:space="720"/>
          <w:titlePg/>
          <w:docGrid w:linePitch="360"/>
        </w:sectPr>
      </w:pPr>
    </w:p>
    <w:p w14:paraId="2B56F468" w14:textId="5E1A0806" w:rsidR="00AE5DED" w:rsidRPr="00671E8F" w:rsidRDefault="00AE5DED" w:rsidP="00AE5DED">
      <w:pPr>
        <w:jc w:val="center"/>
        <w:rPr>
          <w:rFonts w:ascii="Calibri" w:eastAsia="Calibri" w:hAnsi="Calibri" w:cs="Times New Roman"/>
          <w:b/>
          <w:color w:val="002060"/>
        </w:rPr>
      </w:pPr>
      <w:r w:rsidRPr="00671E8F">
        <w:rPr>
          <w:rFonts w:ascii="Calibri" w:eastAsia="Calibri" w:hAnsi="Calibri" w:cs="Times New Roman"/>
          <w:b/>
          <w:color w:val="002060"/>
        </w:rPr>
        <w:t>Табела 3</w:t>
      </w:r>
      <w:r w:rsidR="00B265DD" w:rsidRPr="00671E8F">
        <w:rPr>
          <w:rFonts w:ascii="Calibri" w:eastAsia="Calibri" w:hAnsi="Calibri" w:cs="Times New Roman"/>
          <w:b/>
          <w:color w:val="002060"/>
        </w:rPr>
        <w:t>5</w:t>
      </w:r>
      <w:r w:rsidRPr="00671E8F">
        <w:rPr>
          <w:rFonts w:ascii="Calibri" w:eastAsia="Calibri" w:hAnsi="Calibri" w:cs="Times New Roman"/>
          <w:b/>
          <w:color w:val="002060"/>
        </w:rPr>
        <w:t xml:space="preserve">. Доприноси основних макроекономских варијабли на промену рација </w:t>
      </w:r>
      <w:r w:rsidRPr="00671E8F">
        <w:rPr>
          <w:rFonts w:ascii="Calibri" w:eastAsia="Calibri" w:hAnsi="Calibri" w:cs="Times New Roman"/>
          <w:b/>
          <w:color w:val="002060"/>
        </w:rPr>
        <w:br w:type="textWrapping" w:clear="all"/>
        <w:t>јавни дуг (централног нивоа државе) – БДП, у %</w:t>
      </w:r>
    </w:p>
    <w:tbl>
      <w:tblPr>
        <w:tblStyle w:val="LightShading-Accent1222"/>
        <w:tblW w:w="5000" w:type="pct"/>
        <w:tblInd w:w="0" w:type="dxa"/>
        <w:tblLook w:val="0420" w:firstRow="1" w:lastRow="0" w:firstColumn="0" w:lastColumn="0" w:noHBand="0" w:noVBand="1"/>
      </w:tblPr>
      <w:tblGrid>
        <w:gridCol w:w="3824"/>
        <w:gridCol w:w="921"/>
        <w:gridCol w:w="923"/>
        <w:gridCol w:w="923"/>
        <w:gridCol w:w="923"/>
        <w:gridCol w:w="923"/>
        <w:gridCol w:w="923"/>
      </w:tblGrid>
      <w:tr w:rsidR="00AE5DED" w:rsidRPr="00671E8F" w14:paraId="2AAFAB03" w14:textId="77777777" w:rsidTr="00AE5DED">
        <w:trPr>
          <w:cnfStyle w:val="100000000000" w:firstRow="1" w:lastRow="0" w:firstColumn="0" w:lastColumn="0" w:oddVBand="0" w:evenVBand="0" w:oddHBand="0" w:evenHBand="0" w:firstRowFirstColumn="0" w:firstRowLastColumn="0" w:lastRowFirstColumn="0" w:lastRowLastColumn="0"/>
          <w:trHeight w:val="265"/>
        </w:trPr>
        <w:tc>
          <w:tcPr>
            <w:tcW w:w="2043" w:type="pct"/>
            <w:tcBorders>
              <w:top w:val="single" w:sz="4" w:space="0" w:color="002060"/>
              <w:bottom w:val="single" w:sz="8" w:space="0" w:color="FFFFFF" w:themeColor="background1"/>
            </w:tcBorders>
            <w:noWrap/>
            <w:hideMark/>
          </w:tcPr>
          <w:p w14:paraId="41EB15F1"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 </w:t>
            </w:r>
          </w:p>
        </w:tc>
        <w:tc>
          <w:tcPr>
            <w:tcW w:w="492" w:type="pct"/>
            <w:tcBorders>
              <w:top w:val="single" w:sz="4" w:space="0" w:color="002060"/>
              <w:bottom w:val="single" w:sz="4" w:space="0" w:color="002060"/>
            </w:tcBorders>
            <w:hideMark/>
          </w:tcPr>
          <w:p w14:paraId="72B5A86C"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2022</w:t>
            </w:r>
          </w:p>
        </w:tc>
        <w:tc>
          <w:tcPr>
            <w:tcW w:w="493" w:type="pct"/>
            <w:tcBorders>
              <w:top w:val="single" w:sz="4" w:space="0" w:color="002060"/>
              <w:bottom w:val="single" w:sz="4" w:space="0" w:color="002060"/>
            </w:tcBorders>
            <w:hideMark/>
          </w:tcPr>
          <w:p w14:paraId="3E0B2A53"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 xml:space="preserve">2023 </w:t>
            </w:r>
          </w:p>
        </w:tc>
        <w:tc>
          <w:tcPr>
            <w:tcW w:w="493" w:type="pct"/>
            <w:tcBorders>
              <w:top w:val="single" w:sz="4" w:space="0" w:color="002060"/>
              <w:bottom w:val="single" w:sz="4" w:space="0" w:color="002060"/>
            </w:tcBorders>
            <w:noWrap/>
            <w:hideMark/>
          </w:tcPr>
          <w:p w14:paraId="4D638BFE"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2024 п</w:t>
            </w:r>
          </w:p>
        </w:tc>
        <w:tc>
          <w:tcPr>
            <w:tcW w:w="493" w:type="pct"/>
            <w:tcBorders>
              <w:top w:val="single" w:sz="4" w:space="0" w:color="002060"/>
              <w:bottom w:val="single" w:sz="4" w:space="0" w:color="002060"/>
            </w:tcBorders>
            <w:noWrap/>
            <w:hideMark/>
          </w:tcPr>
          <w:p w14:paraId="7EFE60F1"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2025 п</w:t>
            </w:r>
          </w:p>
        </w:tc>
        <w:tc>
          <w:tcPr>
            <w:tcW w:w="493" w:type="pct"/>
            <w:tcBorders>
              <w:top w:val="single" w:sz="4" w:space="0" w:color="002060"/>
              <w:bottom w:val="single" w:sz="4" w:space="0" w:color="002060"/>
            </w:tcBorders>
            <w:noWrap/>
            <w:hideMark/>
          </w:tcPr>
          <w:p w14:paraId="7FD9FD4D"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2026 п</w:t>
            </w:r>
          </w:p>
        </w:tc>
        <w:tc>
          <w:tcPr>
            <w:tcW w:w="493" w:type="pct"/>
            <w:tcBorders>
              <w:top w:val="single" w:sz="4" w:space="0" w:color="002060"/>
              <w:bottom w:val="single" w:sz="4" w:space="0" w:color="002060"/>
            </w:tcBorders>
            <w:noWrap/>
            <w:hideMark/>
          </w:tcPr>
          <w:p w14:paraId="68D767A2" w14:textId="77777777" w:rsidR="00AE5DED" w:rsidRPr="00671E8F" w:rsidRDefault="00AE5DED" w:rsidP="00AE5DED">
            <w:pPr>
              <w:jc w:val="center"/>
              <w:rPr>
                <w:rFonts w:ascii="Calibri" w:hAnsi="Calibri" w:cs="Calibri"/>
                <w:color w:val="002060"/>
                <w:sz w:val="18"/>
                <w:szCs w:val="18"/>
              </w:rPr>
            </w:pPr>
            <w:r w:rsidRPr="00671E8F">
              <w:rPr>
                <w:rFonts w:ascii="Calibri" w:hAnsi="Calibri" w:cs="Calibri"/>
                <w:color w:val="002060"/>
                <w:sz w:val="18"/>
                <w:szCs w:val="18"/>
              </w:rPr>
              <w:t>2027 п</w:t>
            </w:r>
          </w:p>
        </w:tc>
      </w:tr>
      <w:tr w:rsidR="00AE5DED" w:rsidRPr="00671E8F" w14:paraId="2B872E3C" w14:textId="77777777" w:rsidTr="00AE5DED">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single" w:sz="8" w:space="0" w:color="FFFFFF" w:themeColor="background1"/>
              <w:bottom w:val="nil"/>
            </w:tcBorders>
            <w:shd w:val="clear" w:color="auto" w:fill="E7E6E6" w:themeFill="background2"/>
            <w:noWrap/>
            <w:hideMark/>
          </w:tcPr>
          <w:p w14:paraId="304060EA"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Дуг централне државе/БДП</w:t>
            </w:r>
          </w:p>
        </w:tc>
        <w:tc>
          <w:tcPr>
            <w:tcW w:w="492" w:type="pct"/>
            <w:tcBorders>
              <w:top w:val="single" w:sz="4" w:space="0" w:color="002060"/>
              <w:bottom w:val="nil"/>
            </w:tcBorders>
            <w:shd w:val="clear" w:color="auto" w:fill="E7E6E6" w:themeFill="background2"/>
            <w:hideMark/>
          </w:tcPr>
          <w:p w14:paraId="30D2CE25"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52,4</w:t>
            </w:r>
          </w:p>
        </w:tc>
        <w:tc>
          <w:tcPr>
            <w:tcW w:w="493" w:type="pct"/>
            <w:tcBorders>
              <w:top w:val="single" w:sz="4" w:space="0" w:color="002060"/>
              <w:bottom w:val="nil"/>
            </w:tcBorders>
            <w:shd w:val="clear" w:color="auto" w:fill="E7E6E6" w:themeFill="background2"/>
            <w:hideMark/>
          </w:tcPr>
          <w:p w14:paraId="223B32D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48,0</w:t>
            </w:r>
          </w:p>
        </w:tc>
        <w:tc>
          <w:tcPr>
            <w:tcW w:w="493" w:type="pct"/>
            <w:tcBorders>
              <w:top w:val="single" w:sz="4" w:space="0" w:color="002060"/>
              <w:bottom w:val="nil"/>
            </w:tcBorders>
            <w:shd w:val="clear" w:color="auto" w:fill="E7E6E6" w:themeFill="background2"/>
            <w:noWrap/>
            <w:hideMark/>
          </w:tcPr>
          <w:p w14:paraId="5419397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47,5</w:t>
            </w:r>
          </w:p>
        </w:tc>
        <w:tc>
          <w:tcPr>
            <w:tcW w:w="493" w:type="pct"/>
            <w:tcBorders>
              <w:top w:val="single" w:sz="4" w:space="0" w:color="002060"/>
              <w:bottom w:val="nil"/>
            </w:tcBorders>
            <w:shd w:val="clear" w:color="auto" w:fill="E7E6E6" w:themeFill="background2"/>
            <w:noWrap/>
            <w:hideMark/>
          </w:tcPr>
          <w:p w14:paraId="66BD82C2"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47,0</w:t>
            </w:r>
          </w:p>
        </w:tc>
        <w:tc>
          <w:tcPr>
            <w:tcW w:w="493" w:type="pct"/>
            <w:tcBorders>
              <w:top w:val="single" w:sz="4" w:space="0" w:color="002060"/>
              <w:bottom w:val="nil"/>
            </w:tcBorders>
            <w:shd w:val="clear" w:color="auto" w:fill="E7E6E6" w:themeFill="background2"/>
            <w:noWrap/>
            <w:hideMark/>
          </w:tcPr>
          <w:p w14:paraId="0F4E3D19"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46,5</w:t>
            </w:r>
          </w:p>
        </w:tc>
        <w:tc>
          <w:tcPr>
            <w:tcW w:w="493" w:type="pct"/>
            <w:tcBorders>
              <w:top w:val="single" w:sz="4" w:space="0" w:color="002060"/>
              <w:bottom w:val="nil"/>
            </w:tcBorders>
            <w:shd w:val="clear" w:color="auto" w:fill="E7E6E6" w:themeFill="background2"/>
            <w:noWrap/>
            <w:hideMark/>
          </w:tcPr>
          <w:p w14:paraId="478A9BC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46,0</w:t>
            </w:r>
          </w:p>
        </w:tc>
      </w:tr>
      <w:tr w:rsidR="00AE5DED" w:rsidRPr="00671E8F" w14:paraId="1399ADB7" w14:textId="77777777" w:rsidTr="00AE5DED">
        <w:trPr>
          <w:trHeight w:val="265"/>
        </w:trPr>
        <w:tc>
          <w:tcPr>
            <w:tcW w:w="2043" w:type="pct"/>
            <w:tcBorders>
              <w:top w:val="nil"/>
              <w:left w:val="nil"/>
              <w:bottom w:val="nil"/>
              <w:right w:val="nil"/>
            </w:tcBorders>
            <w:noWrap/>
            <w:hideMark/>
          </w:tcPr>
          <w:p w14:paraId="7C0580D2"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Промена у односу на претходну год. у % БДП</w:t>
            </w:r>
          </w:p>
        </w:tc>
        <w:tc>
          <w:tcPr>
            <w:tcW w:w="492" w:type="pct"/>
            <w:tcBorders>
              <w:top w:val="nil"/>
              <w:left w:val="nil"/>
              <w:bottom w:val="nil"/>
              <w:right w:val="nil"/>
            </w:tcBorders>
            <w:hideMark/>
          </w:tcPr>
          <w:p w14:paraId="7A2BEE00"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-1,5</w:t>
            </w:r>
          </w:p>
        </w:tc>
        <w:tc>
          <w:tcPr>
            <w:tcW w:w="493" w:type="pct"/>
            <w:tcBorders>
              <w:top w:val="nil"/>
              <w:left w:val="nil"/>
              <w:bottom w:val="nil"/>
              <w:right w:val="nil"/>
            </w:tcBorders>
            <w:hideMark/>
          </w:tcPr>
          <w:p w14:paraId="02565DA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-4,4</w:t>
            </w:r>
          </w:p>
        </w:tc>
        <w:tc>
          <w:tcPr>
            <w:tcW w:w="493" w:type="pct"/>
            <w:tcBorders>
              <w:top w:val="nil"/>
              <w:left w:val="nil"/>
              <w:bottom w:val="nil"/>
              <w:right w:val="nil"/>
            </w:tcBorders>
            <w:noWrap/>
            <w:hideMark/>
          </w:tcPr>
          <w:p w14:paraId="4652A50E"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-0,5</w:t>
            </w:r>
          </w:p>
        </w:tc>
        <w:tc>
          <w:tcPr>
            <w:tcW w:w="493" w:type="pct"/>
            <w:tcBorders>
              <w:top w:val="nil"/>
              <w:left w:val="nil"/>
              <w:bottom w:val="nil"/>
              <w:right w:val="nil"/>
            </w:tcBorders>
            <w:noWrap/>
            <w:hideMark/>
          </w:tcPr>
          <w:p w14:paraId="6B92F36F"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-0,5</w:t>
            </w:r>
          </w:p>
        </w:tc>
        <w:tc>
          <w:tcPr>
            <w:tcW w:w="493" w:type="pct"/>
            <w:tcBorders>
              <w:top w:val="nil"/>
              <w:left w:val="nil"/>
              <w:bottom w:val="nil"/>
              <w:right w:val="nil"/>
            </w:tcBorders>
            <w:noWrap/>
            <w:hideMark/>
          </w:tcPr>
          <w:p w14:paraId="7F91E900"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-0,5</w:t>
            </w:r>
          </w:p>
        </w:tc>
        <w:tc>
          <w:tcPr>
            <w:tcW w:w="493" w:type="pct"/>
            <w:tcBorders>
              <w:top w:val="nil"/>
              <w:left w:val="nil"/>
              <w:bottom w:val="nil"/>
              <w:right w:val="nil"/>
            </w:tcBorders>
            <w:noWrap/>
            <w:hideMark/>
          </w:tcPr>
          <w:p w14:paraId="1BA4929F"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-0,5</w:t>
            </w:r>
          </w:p>
        </w:tc>
      </w:tr>
      <w:tr w:rsidR="00AE5DED" w:rsidRPr="00671E8F" w14:paraId="5F478ED5" w14:textId="77777777" w:rsidTr="00AE5DED">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noWrap/>
            <w:hideMark/>
          </w:tcPr>
          <w:p w14:paraId="09A9F1B1"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Допринос примарног фискалног резултата</w:t>
            </w:r>
          </w:p>
        </w:tc>
        <w:tc>
          <w:tcPr>
            <w:tcW w:w="492" w:type="pct"/>
            <w:tcBorders>
              <w:top w:val="nil"/>
              <w:bottom w:val="nil"/>
            </w:tcBorders>
            <w:shd w:val="clear" w:color="auto" w:fill="E7E6E6" w:themeFill="background2"/>
            <w:hideMark/>
          </w:tcPr>
          <w:p w14:paraId="57A9CD3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1,7</w:t>
            </w:r>
          </w:p>
        </w:tc>
        <w:tc>
          <w:tcPr>
            <w:tcW w:w="493" w:type="pct"/>
            <w:tcBorders>
              <w:top w:val="nil"/>
              <w:bottom w:val="nil"/>
            </w:tcBorders>
            <w:shd w:val="clear" w:color="auto" w:fill="E7E6E6" w:themeFill="background2"/>
            <w:hideMark/>
          </w:tcPr>
          <w:p w14:paraId="2832C6D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0,3</w:t>
            </w:r>
          </w:p>
        </w:tc>
        <w:tc>
          <w:tcPr>
            <w:tcW w:w="493" w:type="pct"/>
            <w:tcBorders>
              <w:top w:val="nil"/>
              <w:bottom w:val="nil"/>
            </w:tcBorders>
            <w:shd w:val="clear" w:color="auto" w:fill="E7E6E6" w:themeFill="background2"/>
            <w:noWrap/>
            <w:hideMark/>
          </w:tcPr>
          <w:p w14:paraId="3F031CB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0,8</w:t>
            </w:r>
          </w:p>
        </w:tc>
        <w:tc>
          <w:tcPr>
            <w:tcW w:w="493" w:type="pct"/>
            <w:tcBorders>
              <w:top w:val="nil"/>
              <w:bottom w:val="nil"/>
            </w:tcBorders>
            <w:shd w:val="clear" w:color="auto" w:fill="E7E6E6" w:themeFill="background2"/>
            <w:noWrap/>
            <w:hideMark/>
          </w:tcPr>
          <w:p w14:paraId="757186EC"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0,9</w:t>
            </w:r>
          </w:p>
        </w:tc>
        <w:tc>
          <w:tcPr>
            <w:tcW w:w="493" w:type="pct"/>
            <w:tcBorders>
              <w:top w:val="nil"/>
              <w:bottom w:val="nil"/>
            </w:tcBorders>
            <w:shd w:val="clear" w:color="auto" w:fill="E7E6E6" w:themeFill="background2"/>
            <w:noWrap/>
            <w:hideMark/>
          </w:tcPr>
          <w:p w14:paraId="1F5201E6"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0,9</w:t>
            </w:r>
          </w:p>
        </w:tc>
        <w:tc>
          <w:tcPr>
            <w:tcW w:w="493" w:type="pct"/>
            <w:tcBorders>
              <w:top w:val="nil"/>
              <w:bottom w:val="nil"/>
            </w:tcBorders>
            <w:shd w:val="clear" w:color="auto" w:fill="E7E6E6" w:themeFill="background2"/>
            <w:noWrap/>
            <w:hideMark/>
          </w:tcPr>
          <w:p w14:paraId="281F9944"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1,0</w:t>
            </w:r>
          </w:p>
        </w:tc>
      </w:tr>
      <w:tr w:rsidR="00AE5DED" w:rsidRPr="00671E8F" w14:paraId="5C1A35ED" w14:textId="77777777" w:rsidTr="00AE5DED">
        <w:trPr>
          <w:trHeight w:val="265"/>
        </w:trPr>
        <w:tc>
          <w:tcPr>
            <w:tcW w:w="2043" w:type="pct"/>
            <w:tcBorders>
              <w:top w:val="nil"/>
              <w:left w:val="nil"/>
              <w:bottom w:val="nil"/>
              <w:right w:val="nil"/>
            </w:tcBorders>
            <w:noWrap/>
            <w:hideMark/>
          </w:tcPr>
          <w:p w14:paraId="573F6602"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Допринос камата</w:t>
            </w:r>
          </w:p>
        </w:tc>
        <w:tc>
          <w:tcPr>
            <w:tcW w:w="492" w:type="pct"/>
            <w:tcBorders>
              <w:top w:val="nil"/>
              <w:left w:val="nil"/>
              <w:bottom w:val="nil"/>
              <w:right w:val="nil"/>
            </w:tcBorders>
            <w:hideMark/>
          </w:tcPr>
          <w:p w14:paraId="36393265"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1,4</w:t>
            </w:r>
          </w:p>
        </w:tc>
        <w:tc>
          <w:tcPr>
            <w:tcW w:w="493" w:type="pct"/>
            <w:tcBorders>
              <w:top w:val="nil"/>
              <w:left w:val="nil"/>
              <w:bottom w:val="nil"/>
              <w:right w:val="nil"/>
            </w:tcBorders>
            <w:hideMark/>
          </w:tcPr>
          <w:p w14:paraId="4B4F1419"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1,7</w:t>
            </w:r>
          </w:p>
        </w:tc>
        <w:tc>
          <w:tcPr>
            <w:tcW w:w="493" w:type="pct"/>
            <w:tcBorders>
              <w:top w:val="nil"/>
              <w:left w:val="nil"/>
              <w:bottom w:val="nil"/>
              <w:right w:val="nil"/>
            </w:tcBorders>
            <w:noWrap/>
            <w:hideMark/>
          </w:tcPr>
          <w:p w14:paraId="33C2E0E5"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1,9</w:t>
            </w:r>
          </w:p>
        </w:tc>
        <w:tc>
          <w:tcPr>
            <w:tcW w:w="493" w:type="pct"/>
            <w:tcBorders>
              <w:top w:val="nil"/>
              <w:left w:val="nil"/>
              <w:bottom w:val="nil"/>
              <w:right w:val="nil"/>
            </w:tcBorders>
            <w:noWrap/>
            <w:hideMark/>
          </w:tcPr>
          <w:p w14:paraId="563A748D"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2,1</w:t>
            </w:r>
          </w:p>
        </w:tc>
        <w:tc>
          <w:tcPr>
            <w:tcW w:w="493" w:type="pct"/>
            <w:tcBorders>
              <w:top w:val="nil"/>
              <w:left w:val="nil"/>
              <w:bottom w:val="nil"/>
              <w:right w:val="nil"/>
            </w:tcBorders>
            <w:noWrap/>
            <w:hideMark/>
          </w:tcPr>
          <w:p w14:paraId="1B962A6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2,1</w:t>
            </w:r>
          </w:p>
        </w:tc>
        <w:tc>
          <w:tcPr>
            <w:tcW w:w="493" w:type="pct"/>
            <w:tcBorders>
              <w:top w:val="nil"/>
              <w:left w:val="nil"/>
              <w:bottom w:val="nil"/>
              <w:right w:val="nil"/>
            </w:tcBorders>
            <w:noWrap/>
            <w:hideMark/>
          </w:tcPr>
          <w:p w14:paraId="6AE486F4"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2,0</w:t>
            </w:r>
          </w:p>
        </w:tc>
      </w:tr>
      <w:tr w:rsidR="00AE5DED" w:rsidRPr="00671E8F" w14:paraId="3E483E24" w14:textId="77777777" w:rsidTr="00AE5DED">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hideMark/>
          </w:tcPr>
          <w:p w14:paraId="7493A587"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Допринос раста номиналног БДП</w:t>
            </w:r>
          </w:p>
        </w:tc>
        <w:tc>
          <w:tcPr>
            <w:tcW w:w="492" w:type="pct"/>
            <w:tcBorders>
              <w:top w:val="nil"/>
              <w:bottom w:val="nil"/>
            </w:tcBorders>
            <w:shd w:val="clear" w:color="auto" w:fill="E7E6E6" w:themeFill="background2"/>
            <w:hideMark/>
          </w:tcPr>
          <w:p w14:paraId="5F42237A"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-6,4</w:t>
            </w:r>
          </w:p>
        </w:tc>
        <w:tc>
          <w:tcPr>
            <w:tcW w:w="493" w:type="pct"/>
            <w:tcBorders>
              <w:top w:val="nil"/>
              <w:bottom w:val="nil"/>
            </w:tcBorders>
            <w:shd w:val="clear" w:color="auto" w:fill="E7E6E6" w:themeFill="background2"/>
            <w:hideMark/>
          </w:tcPr>
          <w:p w14:paraId="0757EDD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-8,1</w:t>
            </w:r>
          </w:p>
        </w:tc>
        <w:tc>
          <w:tcPr>
            <w:tcW w:w="493" w:type="pct"/>
            <w:tcBorders>
              <w:top w:val="nil"/>
              <w:bottom w:val="nil"/>
            </w:tcBorders>
            <w:shd w:val="clear" w:color="auto" w:fill="E7E6E6" w:themeFill="background2"/>
            <w:noWrap/>
            <w:hideMark/>
          </w:tcPr>
          <w:p w14:paraId="534C27DF"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-3,9</w:t>
            </w:r>
          </w:p>
        </w:tc>
        <w:tc>
          <w:tcPr>
            <w:tcW w:w="493" w:type="pct"/>
            <w:tcBorders>
              <w:top w:val="nil"/>
              <w:bottom w:val="nil"/>
            </w:tcBorders>
            <w:shd w:val="clear" w:color="auto" w:fill="E7E6E6" w:themeFill="background2"/>
            <w:noWrap/>
            <w:hideMark/>
          </w:tcPr>
          <w:p w14:paraId="2BA27CE4"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-3,3</w:t>
            </w:r>
          </w:p>
        </w:tc>
        <w:tc>
          <w:tcPr>
            <w:tcW w:w="493" w:type="pct"/>
            <w:tcBorders>
              <w:top w:val="nil"/>
              <w:bottom w:val="nil"/>
            </w:tcBorders>
            <w:shd w:val="clear" w:color="auto" w:fill="E7E6E6" w:themeFill="background2"/>
            <w:noWrap/>
            <w:hideMark/>
          </w:tcPr>
          <w:p w14:paraId="139DF95E"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-3,2</w:t>
            </w:r>
          </w:p>
        </w:tc>
        <w:tc>
          <w:tcPr>
            <w:tcW w:w="493" w:type="pct"/>
            <w:tcBorders>
              <w:top w:val="nil"/>
              <w:bottom w:val="nil"/>
            </w:tcBorders>
            <w:shd w:val="clear" w:color="auto" w:fill="E7E6E6" w:themeFill="background2"/>
            <w:noWrap/>
            <w:hideMark/>
          </w:tcPr>
          <w:p w14:paraId="2E744A04"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-3,5</w:t>
            </w:r>
          </w:p>
        </w:tc>
      </w:tr>
      <w:tr w:rsidR="00AE5DED" w:rsidRPr="00671E8F" w14:paraId="7571510F" w14:textId="77777777" w:rsidTr="00AE5DED">
        <w:trPr>
          <w:trHeight w:val="265"/>
        </w:trPr>
        <w:tc>
          <w:tcPr>
            <w:tcW w:w="2043" w:type="pct"/>
            <w:tcBorders>
              <w:top w:val="nil"/>
              <w:left w:val="nil"/>
              <w:bottom w:val="single" w:sz="4" w:space="0" w:color="002060"/>
              <w:right w:val="nil"/>
            </w:tcBorders>
            <w:hideMark/>
          </w:tcPr>
          <w:p w14:paraId="7484B7E0" w14:textId="77777777" w:rsidR="00AE5DED" w:rsidRPr="00671E8F" w:rsidRDefault="00AE5DED" w:rsidP="00AE5DED">
            <w:pPr>
              <w:spacing w:line="240" w:lineRule="auto"/>
              <w:rPr>
                <w:rFonts w:ascii="Calibri" w:hAnsi="Calibri" w:cs="Calibri"/>
                <w:bCs/>
                <w:color w:val="002060"/>
                <w:sz w:val="18"/>
                <w:szCs w:val="18"/>
              </w:rPr>
            </w:pPr>
            <w:r w:rsidRPr="00671E8F">
              <w:rPr>
                <w:rFonts w:ascii="Calibri" w:hAnsi="Calibri" w:cs="Calibri"/>
                <w:bCs/>
                <w:color w:val="002060"/>
                <w:sz w:val="18"/>
                <w:szCs w:val="18"/>
              </w:rPr>
              <w:t>Допринос осталих фактора</w:t>
            </w:r>
          </w:p>
        </w:tc>
        <w:tc>
          <w:tcPr>
            <w:tcW w:w="492" w:type="pct"/>
            <w:tcBorders>
              <w:top w:val="nil"/>
              <w:left w:val="nil"/>
              <w:bottom w:val="single" w:sz="4" w:space="0" w:color="002060"/>
              <w:right w:val="nil"/>
            </w:tcBorders>
            <w:hideMark/>
          </w:tcPr>
          <w:p w14:paraId="228F138C"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1,7</w:t>
            </w:r>
          </w:p>
        </w:tc>
        <w:tc>
          <w:tcPr>
            <w:tcW w:w="493" w:type="pct"/>
            <w:tcBorders>
              <w:top w:val="nil"/>
              <w:left w:val="nil"/>
              <w:bottom w:val="single" w:sz="4" w:space="0" w:color="002060"/>
              <w:right w:val="nil"/>
            </w:tcBorders>
            <w:hideMark/>
          </w:tcPr>
          <w:p w14:paraId="65EDAF6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1,7</w:t>
            </w:r>
          </w:p>
        </w:tc>
        <w:tc>
          <w:tcPr>
            <w:tcW w:w="493" w:type="pct"/>
            <w:tcBorders>
              <w:top w:val="nil"/>
              <w:left w:val="nil"/>
              <w:bottom w:val="single" w:sz="4" w:space="0" w:color="002060"/>
              <w:right w:val="nil"/>
            </w:tcBorders>
            <w:noWrap/>
            <w:hideMark/>
          </w:tcPr>
          <w:p w14:paraId="6A6F28E8"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0,7</w:t>
            </w:r>
          </w:p>
        </w:tc>
        <w:tc>
          <w:tcPr>
            <w:tcW w:w="493" w:type="pct"/>
            <w:tcBorders>
              <w:top w:val="nil"/>
              <w:left w:val="nil"/>
              <w:bottom w:val="single" w:sz="4" w:space="0" w:color="002060"/>
              <w:right w:val="nil"/>
            </w:tcBorders>
            <w:noWrap/>
            <w:hideMark/>
          </w:tcPr>
          <w:p w14:paraId="45813D59"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-0,2</w:t>
            </w:r>
          </w:p>
        </w:tc>
        <w:tc>
          <w:tcPr>
            <w:tcW w:w="493" w:type="pct"/>
            <w:tcBorders>
              <w:top w:val="nil"/>
              <w:left w:val="nil"/>
              <w:bottom w:val="single" w:sz="4" w:space="0" w:color="002060"/>
              <w:right w:val="nil"/>
            </w:tcBorders>
            <w:noWrap/>
            <w:hideMark/>
          </w:tcPr>
          <w:p w14:paraId="0A1B5CD9"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-0,3</w:t>
            </w:r>
          </w:p>
        </w:tc>
        <w:tc>
          <w:tcPr>
            <w:tcW w:w="493" w:type="pct"/>
            <w:tcBorders>
              <w:top w:val="nil"/>
              <w:left w:val="nil"/>
              <w:bottom w:val="single" w:sz="4" w:space="0" w:color="002060"/>
              <w:right w:val="nil"/>
            </w:tcBorders>
            <w:noWrap/>
            <w:hideMark/>
          </w:tcPr>
          <w:p w14:paraId="56C59851" w14:textId="77777777" w:rsidR="00AE5DED" w:rsidRPr="00671E8F" w:rsidRDefault="00AE5DED" w:rsidP="00AE5DED">
            <w:pPr>
              <w:spacing w:line="240" w:lineRule="auto"/>
              <w:jc w:val="center"/>
              <w:rPr>
                <w:rFonts w:ascii="Calibri" w:hAnsi="Calibri" w:cs="Calibri"/>
                <w:bCs/>
                <w:color w:val="002060"/>
                <w:sz w:val="18"/>
                <w:szCs w:val="18"/>
              </w:rPr>
            </w:pPr>
            <w:r w:rsidRPr="00671E8F">
              <w:rPr>
                <w:rFonts w:ascii="Calibri" w:hAnsi="Calibri" w:cs="Calibri"/>
                <w:bCs/>
                <w:color w:val="002060"/>
                <w:sz w:val="18"/>
                <w:szCs w:val="18"/>
              </w:rPr>
              <w:t>0,0</w:t>
            </w:r>
          </w:p>
        </w:tc>
      </w:tr>
    </w:tbl>
    <w:p w14:paraId="173FB366" w14:textId="77777777" w:rsidR="00AE5DED" w:rsidRPr="00671E8F" w:rsidRDefault="00AE5DED" w:rsidP="00AE5DED"/>
    <w:p w14:paraId="01D208C8" w14:textId="77777777" w:rsidR="00AE5DED" w:rsidRPr="00671E8F" w:rsidRDefault="00AE5DED" w:rsidP="00AE5DED">
      <w:pPr>
        <w:spacing w:line="256" w:lineRule="auto"/>
        <w:jc w:val="center"/>
        <w:rPr>
          <w:rFonts w:ascii="Calibri" w:eastAsia="Calibri" w:hAnsi="Calibri" w:cs="Times New Roman"/>
          <w:b/>
          <w:color w:val="002060"/>
        </w:rPr>
        <w:sectPr w:rsidR="00AE5DED" w:rsidRPr="00671E8F" w:rsidSect="00F45C01">
          <w:type w:val="continuous"/>
          <w:pgSz w:w="12240" w:h="15840" w:code="1"/>
          <w:pgMar w:top="1440" w:right="1440" w:bottom="1440" w:left="1440" w:header="720" w:footer="720" w:gutter="0"/>
          <w:cols w:space="720"/>
          <w:titlePg/>
          <w:docGrid w:linePitch="360"/>
        </w:sectPr>
      </w:pPr>
    </w:p>
    <w:p w14:paraId="71A78106" w14:textId="77777777" w:rsidR="00AE5DED" w:rsidRPr="00671E8F" w:rsidRDefault="00AE5DED" w:rsidP="00AE5DED">
      <w:r w:rsidRPr="00671E8F">
        <w:rPr>
          <w:rFonts w:ascii="Calibri" w:eastAsia="Calibri" w:hAnsi="Calibri" w:cs="Times New Roman"/>
          <w:b/>
          <w:color w:val="002060"/>
        </w:rPr>
        <w:t>Утицај промене курса динара према корпи валута из портфолија јавног дуга централног нивоа државе на промену рација јавни дуг – БДП</w:t>
      </w:r>
    </w:p>
    <w:p w14:paraId="420DAF01" w14:textId="77777777" w:rsidR="00AE5DED" w:rsidRPr="00671E8F" w:rsidRDefault="00AE5DED" w:rsidP="00AE5DED">
      <w:pPr>
        <w:spacing w:line="256" w:lineRule="auto"/>
        <w:rPr>
          <w:rFonts w:ascii="Calibri" w:eastAsia="Calibri" w:hAnsi="Calibri" w:cs="Times New Roman"/>
          <w:b/>
        </w:rPr>
      </w:pPr>
      <w:r w:rsidRPr="00671E8F">
        <w:rPr>
          <w:noProof/>
          <w:lang w:val="en-US"/>
        </w:rPr>
        <w:drawing>
          <wp:inline distT="0" distB="0" distL="0" distR="0" wp14:anchorId="08E928EE" wp14:editId="2F8F670F">
            <wp:extent cx="2699308" cy="1836115"/>
            <wp:effectExtent l="0" t="0" r="6350" b="0"/>
            <wp:docPr id="74" name="Chart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2"/>
              </a:graphicData>
            </a:graphic>
          </wp:inline>
        </w:drawing>
      </w:r>
    </w:p>
    <w:p w14:paraId="21FF9275"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На графикону је представљено кретање рација јавног дуга централног нивоа државе и БДП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10% депрецијације динара у односу на корпу валута. Применом наведених сценарија може се видети да би се рацио за 2027. годину кретао у распону од 42,4% до 49,7%, док би за основни сценарио био на нивоу од 46,0%.</w:t>
      </w:r>
    </w:p>
    <w:p w14:paraId="64A244DB" w14:textId="77777777" w:rsidR="00AE5DED" w:rsidRPr="00671E8F" w:rsidRDefault="00AE5DED" w:rsidP="00AE5DED">
      <w:pPr>
        <w:rPr>
          <w:rFonts w:ascii="Calibri" w:eastAsia="Calibri" w:hAnsi="Calibri" w:cs="Calibri"/>
          <w:bCs/>
          <w:spacing w:val="-2"/>
          <w:szCs w:val="72"/>
        </w:rPr>
      </w:pPr>
      <w:r w:rsidRPr="00671E8F">
        <w:rPr>
          <w:rFonts w:ascii="Calibri" w:eastAsia="Calibri" w:hAnsi="Calibri" w:cs="Calibri"/>
          <w:bCs/>
          <w:spacing w:val="-2"/>
          <w:szCs w:val="72"/>
        </w:rPr>
        <w:t xml:space="preserve">Главни ризици за остварење Стратегије, поред горе наведених фактора који су квантификовани, су и </w:t>
      </w:r>
      <w:r w:rsidRPr="00671E8F">
        <w:rPr>
          <w:rFonts w:ascii="Calibri" w:eastAsia="Calibri" w:hAnsi="Calibri" w:cs="Calibri"/>
          <w:bCs/>
          <w:spacing w:val="-2"/>
          <w:szCs w:val="72"/>
        </w:rPr>
        <w:lastRenderedPageBreak/>
        <w:t>стабилност макроекономске ситуације у Републици Србији, потребе за додатним задуживањем како би се регулисали дугови на другим нивоима власти, јавном сектору и финансијском сектору Републике Србије и активирање датих гаранција.</w:t>
      </w:r>
    </w:p>
    <w:p w14:paraId="403861CC"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Важно је напоменути да смањењу јавног дуга у односу на БДП доприноси и адекватна контрола издавања гаранција и унапређење процеса приоритизације инвестиционих пројеката, који се финансирају из кредитних линија мултилатералних и билатералних кредитора.</w:t>
      </w:r>
    </w:p>
    <w:p w14:paraId="4E0C9996"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t>Дугорочни стратешки оквир за управљање јавним дугом</w:t>
      </w:r>
    </w:p>
    <w:p w14:paraId="546CFE76"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p>
    <w:p w14:paraId="746ACF14"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учешће дуга деноминованог у динарима износи најмање 30% укупног јавног дуга на средњи рок;</w:t>
      </w:r>
    </w:p>
    <w:p w14:paraId="409726C8"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учешће дуга деноминованог у еврима у јавном дугу износи најмање 65% дуга у ино-валути, укључујући будућа задуживања и трансакције;</w:t>
      </w:r>
    </w:p>
    <w:p w14:paraId="01B78B85"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учешће дуга са варијабилном каматном стопом износи испод 20% у средњорочном интервалу;</w:t>
      </w:r>
    </w:p>
    <w:p w14:paraId="79701E04"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просечно време до промене каматне стопе (АТR) буде одржавано на нивоу од минимум 5,0 година, у складу са горе наведеном мером постепеног смањивања учешћа дуга са варијабилним каматним стопама;</w:t>
      </w:r>
    </w:p>
    <w:p w14:paraId="5D3C8234"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просечна пондерисана каматна стопа (WAIR) на јавни дуг у домаћој валути не прелази 6,00%;</w:t>
      </w:r>
    </w:p>
    <w:p w14:paraId="755BF44E"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учешће краткорочног дуга (чије је доспеће до годину дана) износи до 20% укупног јавног дуга;</w:t>
      </w:r>
    </w:p>
    <w:p w14:paraId="63B8585C" w14:textId="77777777" w:rsidR="00AE5DED" w:rsidRPr="00671E8F" w:rsidRDefault="00AE5DED" w:rsidP="00AE5DED">
      <w:pPr>
        <w:numPr>
          <w:ilvl w:val="0"/>
          <w:numId w:val="4"/>
        </w:numPr>
        <w:ind w:left="142" w:hanging="142"/>
        <w:contextualSpacing/>
        <w:rPr>
          <w:rFonts w:ascii="Calibri" w:eastAsia="Calibri" w:hAnsi="Calibri" w:cs="Calibri"/>
          <w:bCs/>
          <w:szCs w:val="72"/>
        </w:rPr>
      </w:pPr>
      <w:r w:rsidRPr="00671E8F">
        <w:rPr>
          <w:rFonts w:ascii="Calibri" w:eastAsia="Calibri" w:hAnsi="Calibri" w:cs="Calibri"/>
          <w:bCs/>
          <w:szCs w:val="72"/>
        </w:rPr>
        <w:t>да просечно време до доспећа (АТМ) унутрашњег дуга буде на нивоу од најмање пет година на средњи рок;</w:t>
      </w:r>
    </w:p>
    <w:p w14:paraId="32229D5C" w14:textId="77777777" w:rsidR="00AE5DED" w:rsidRPr="00671E8F" w:rsidRDefault="00AE5DED" w:rsidP="00AE5DED">
      <w:pPr>
        <w:numPr>
          <w:ilvl w:val="0"/>
          <w:numId w:val="4"/>
        </w:numPr>
        <w:ind w:left="142" w:hanging="142"/>
        <w:rPr>
          <w:rFonts w:ascii="Calibri" w:eastAsia="Calibri" w:hAnsi="Calibri" w:cs="Calibri"/>
          <w:bCs/>
          <w:szCs w:val="72"/>
        </w:rPr>
        <w:sectPr w:rsidR="00AE5DED" w:rsidRPr="00671E8F" w:rsidSect="00F45C01">
          <w:type w:val="continuous"/>
          <w:pgSz w:w="12240" w:h="15840" w:code="1"/>
          <w:pgMar w:top="1440" w:right="1440" w:bottom="1440" w:left="1440" w:header="720" w:footer="720" w:gutter="0"/>
          <w:cols w:num="2" w:space="720"/>
          <w:titlePg/>
          <w:docGrid w:linePitch="360"/>
        </w:sectPr>
      </w:pPr>
      <w:r w:rsidRPr="00671E8F">
        <w:rPr>
          <w:rFonts w:ascii="Calibri" w:eastAsia="Calibri" w:hAnsi="Calibri" w:cs="Calibri"/>
          <w:bCs/>
          <w:szCs w:val="72"/>
        </w:rPr>
        <w:t>да се просечно време до доспећа (АТМ) спољног дуга одржава на нивоу од 8,0 ± 0,5 година у истом временском хоризонту.</w:t>
      </w:r>
    </w:p>
    <w:p w14:paraId="74FBA763" w14:textId="77777777" w:rsidR="00AE5DED" w:rsidRPr="00671E8F" w:rsidRDefault="00AE5DED" w:rsidP="00AE5DED">
      <w:pPr>
        <w:rPr>
          <w:rFonts w:ascii="Calibri" w:eastAsia="Calibri" w:hAnsi="Calibri" w:cs="Times New Roman"/>
          <w:b/>
          <w:color w:val="002060"/>
          <w:spacing w:val="-2"/>
        </w:rPr>
      </w:pPr>
    </w:p>
    <w:p w14:paraId="7551806A" w14:textId="77777777" w:rsidR="00AE5DED" w:rsidRPr="00671E8F" w:rsidRDefault="00AE5DED" w:rsidP="00AE5DED">
      <w:pPr>
        <w:jc w:val="center"/>
      </w:pPr>
      <w:r w:rsidRPr="00671E8F">
        <w:rPr>
          <w:rFonts w:ascii="Calibri" w:eastAsia="Calibri" w:hAnsi="Calibri" w:cs="Times New Roman"/>
          <w:b/>
          <w:color w:val="002060"/>
          <w:spacing w:val="-2"/>
        </w:rPr>
        <w:t xml:space="preserve">Кретање приноса до доспећа динарских </w:t>
      </w:r>
      <w:r w:rsidRPr="00671E8F">
        <w:rPr>
          <w:rFonts w:ascii="Calibri" w:eastAsia="Calibri" w:hAnsi="Calibri" w:cs="Calibri"/>
          <w:b/>
          <w:bCs/>
          <w:color w:val="002060"/>
          <w:spacing w:val="-2"/>
          <w:szCs w:val="72"/>
        </w:rPr>
        <w:t>„</w:t>
      </w:r>
      <w:r w:rsidRPr="00671E8F">
        <w:rPr>
          <w:rFonts w:ascii="Calibri" w:eastAsia="Calibri" w:hAnsi="Calibri" w:cs="Times New Roman"/>
          <w:b/>
          <w:color w:val="002060"/>
          <w:spacing w:val="-2"/>
        </w:rPr>
        <w:t>бенчмарк” емисија укључених у GBI-EM Global Diversified Index на секундарном трговању</w:t>
      </w:r>
    </w:p>
    <w:p w14:paraId="52B861A9" w14:textId="77777777" w:rsidR="00AE5DED" w:rsidRPr="00671E8F" w:rsidRDefault="00AE5DED" w:rsidP="00AE5DED">
      <w:pPr>
        <w:spacing w:after="240" w:line="256" w:lineRule="auto"/>
        <w:rPr>
          <w:rFonts w:ascii="Calibri" w:eastAsia="Calibri" w:hAnsi="Calibri" w:cs="Times New Roman"/>
          <w:b/>
          <w:color w:val="002060"/>
          <w:spacing w:val="-2"/>
        </w:rPr>
      </w:pPr>
      <w:r w:rsidRPr="00671E8F">
        <w:rPr>
          <w:noProof/>
        </w:rPr>
        <w:fldChar w:fldCharType="begin"/>
      </w:r>
      <w:r w:rsidRPr="00671E8F">
        <w:rPr>
          <w:noProof/>
        </w:rPr>
        <w:instrText xml:space="preserve"> LINK Excel.Sheet.12 "C:\\Users\\Admin\\Desktop\\Razni dokumenti\\Za Fiskalnu Strategiju\\Chart in Microsoft Word.xlsx!Benchmark stope na sekundarnom![Chart in Microsoft Word.xlsx]Benchmark stope na sekundarnom Chart 1" "" \a \p \* MERGEFORMAT </w:instrText>
      </w:r>
      <w:r w:rsidRPr="00671E8F">
        <w:rPr>
          <w:noProof/>
        </w:rPr>
        <w:fldChar w:fldCharType="separate"/>
      </w:r>
      <w:r w:rsidR="00000000">
        <w:rPr>
          <w:noProof/>
        </w:rPr>
        <w:object w:dxaOrig="7455" w:dyaOrig="5521" w14:anchorId="0B148206">
          <v:shape id="_x0000_i1036" type="#_x0000_t75" style="width:222.75pt;height:3in" o:ole="" o:preferrelative="f">
            <v:imagedata r:id="rId223" o:title=""/>
            <o:lock v:ext="edit" aspectratio="f"/>
          </v:shape>
        </w:object>
      </w:r>
      <w:r w:rsidRPr="00671E8F">
        <w:rPr>
          <w:noProof/>
        </w:rPr>
        <w:fldChar w:fldCharType="end"/>
      </w:r>
    </w:p>
    <w:p w14:paraId="068773AE" w14:textId="77777777" w:rsidR="00AE5DED" w:rsidRPr="00671E8F" w:rsidRDefault="00AE5DED" w:rsidP="00AE5DED">
      <w:pPr>
        <w:spacing w:after="40" w:line="256" w:lineRule="auto"/>
        <w:rPr>
          <w:rFonts w:ascii="Calibri" w:eastAsia="Calibri" w:hAnsi="Calibri" w:cs="Times New Roman"/>
          <w:b/>
          <w:bCs/>
          <w:color w:val="002060"/>
        </w:rPr>
      </w:pPr>
    </w:p>
    <w:p w14:paraId="156D812D" w14:textId="77777777" w:rsidR="00AE5DED" w:rsidRPr="00671E8F" w:rsidRDefault="00AE5DED" w:rsidP="00AE5DED">
      <w:pPr>
        <w:spacing w:after="40" w:line="256" w:lineRule="auto"/>
        <w:rPr>
          <w:rFonts w:ascii="Calibri" w:eastAsia="Calibri" w:hAnsi="Calibri" w:cs="Times New Roman"/>
          <w:b/>
          <w:bCs/>
          <w:color w:val="002060"/>
        </w:rPr>
      </w:pPr>
    </w:p>
    <w:p w14:paraId="25016035" w14:textId="77777777" w:rsidR="00AE5DED" w:rsidRPr="00671E8F" w:rsidRDefault="00AE5DED" w:rsidP="00AE5DED">
      <w:pPr>
        <w:spacing w:after="40" w:line="256" w:lineRule="auto"/>
        <w:rPr>
          <w:rFonts w:ascii="Calibri" w:eastAsia="Calibri" w:hAnsi="Calibri" w:cs="Times New Roman"/>
          <w:b/>
          <w:bCs/>
          <w:color w:val="002060"/>
        </w:rPr>
      </w:pPr>
    </w:p>
    <w:p w14:paraId="40D4A852" w14:textId="77777777" w:rsidR="00AE5DED" w:rsidRPr="00671E8F" w:rsidRDefault="00AE5DED" w:rsidP="00AE5DED">
      <w:pPr>
        <w:spacing w:after="40" w:line="256" w:lineRule="auto"/>
        <w:rPr>
          <w:rFonts w:ascii="Calibri" w:eastAsia="Calibri" w:hAnsi="Calibri" w:cs="Times New Roman"/>
          <w:b/>
          <w:bCs/>
          <w:color w:val="002060"/>
        </w:rPr>
      </w:pPr>
    </w:p>
    <w:p w14:paraId="394A2E2D" w14:textId="77777777" w:rsidR="00AE5DED" w:rsidRPr="00671E8F" w:rsidRDefault="00AE5DED" w:rsidP="00AE5DED">
      <w:pPr>
        <w:spacing w:after="40" w:line="256" w:lineRule="auto"/>
        <w:rPr>
          <w:rFonts w:ascii="Calibri" w:eastAsia="Calibri" w:hAnsi="Calibri" w:cs="Times New Roman"/>
          <w:b/>
          <w:bCs/>
          <w:color w:val="002060"/>
        </w:rPr>
      </w:pPr>
    </w:p>
    <w:p w14:paraId="6DDA4CC3" w14:textId="77777777" w:rsidR="00AE5DED" w:rsidRPr="00671E8F" w:rsidRDefault="00AE5DED" w:rsidP="00AE5DED">
      <w:pPr>
        <w:spacing w:after="40" w:line="256" w:lineRule="auto"/>
        <w:jc w:val="center"/>
        <w:rPr>
          <w:rFonts w:ascii="Calibri" w:eastAsia="Calibri" w:hAnsi="Calibri" w:cs="Times New Roman"/>
          <w:b/>
          <w:color w:val="002060"/>
          <w:spacing w:val="-2"/>
        </w:rPr>
      </w:pPr>
      <w:r w:rsidRPr="00671E8F">
        <w:rPr>
          <w:rFonts w:ascii="Calibri" w:eastAsia="Calibri" w:hAnsi="Calibri" w:cs="Times New Roman"/>
          <w:b/>
          <w:bCs/>
          <w:color w:val="002060"/>
        </w:rPr>
        <w:t xml:space="preserve">Просечно време до доспећа (АТМ) државних хартија од вредности емитованих на домаћем финансијском тржишту у периоду </w:t>
      </w:r>
      <w:r w:rsidRPr="00671E8F">
        <w:rPr>
          <w:rFonts w:ascii="Calibri" w:eastAsia="Calibri" w:hAnsi="Calibri" w:cs="Times New Roman"/>
          <w:b/>
          <w:bCs/>
          <w:color w:val="002060"/>
        </w:rPr>
        <w:br w:type="textWrapping" w:clear="all"/>
        <w:t xml:space="preserve">31. март 2018. – </w:t>
      </w:r>
      <w:r w:rsidRPr="00671E8F">
        <w:rPr>
          <w:rFonts w:ascii="Calibri" w:eastAsia="Calibri" w:hAnsi="Calibri" w:cs="Times New Roman"/>
          <w:b/>
          <w:color w:val="002060"/>
          <w:spacing w:val="-2"/>
        </w:rPr>
        <w:t>31. август 2024. године</w:t>
      </w:r>
      <w:r w:rsidRPr="00671E8F">
        <w:fldChar w:fldCharType="begin"/>
      </w:r>
      <w:r w:rsidRPr="00671E8F">
        <w:instrText xml:space="preserve"> LINK Excel.Sheet.12 "C:\\Users\\Admin\\Desktop\\Razni dokumenti\\Za Fiskalnu Strategiju\\ATM_po mesecima.xlsx!Sheet1![ATM_po mesecima.xlsx]Sheet1 Chart 1" "" \a \p \* MERGEFORMAT </w:instrText>
      </w:r>
      <w:r w:rsidRPr="00671E8F">
        <w:fldChar w:fldCharType="separate"/>
      </w:r>
      <w:r w:rsidR="00000000">
        <w:object w:dxaOrig="6210" w:dyaOrig="5191" w14:anchorId="2CCCE4E4">
          <v:shape id="_x0000_i1037" type="#_x0000_t75" style="width:219pt;height:214.5pt" o:ole="" o:preferrelative="f">
            <v:imagedata r:id="rId224" o:title=""/>
          </v:shape>
        </w:object>
      </w:r>
      <w:r w:rsidRPr="00671E8F">
        <w:fldChar w:fldCharType="end"/>
      </w:r>
    </w:p>
    <w:p w14:paraId="6ABFBB90" w14:textId="77777777" w:rsidR="00AE5DED" w:rsidRPr="00671E8F" w:rsidRDefault="00AE5DED" w:rsidP="00AE5DED">
      <w:pPr>
        <w:jc w:val="center"/>
      </w:pPr>
    </w:p>
    <w:p w14:paraId="588B84B6" w14:textId="77777777" w:rsidR="00AE5DED" w:rsidRPr="00671E8F" w:rsidRDefault="00AE5DED" w:rsidP="00AE5DED">
      <w:pPr>
        <w:spacing w:line="256" w:lineRule="auto"/>
        <w:rPr>
          <w:rFonts w:ascii="Calibri" w:eastAsia="Calibri" w:hAnsi="Calibri" w:cs="Times New Roman"/>
          <w:b/>
          <w:color w:val="2F5496" w:themeColor="accent1" w:themeShade="BF"/>
          <w:sz w:val="22"/>
        </w:rPr>
      </w:pPr>
    </w:p>
    <w:p w14:paraId="5A36F07F" w14:textId="77777777" w:rsidR="00AE5DED" w:rsidRPr="00671E8F" w:rsidRDefault="00AE5DED" w:rsidP="00AE5DED">
      <w:pPr>
        <w:spacing w:line="256" w:lineRule="auto"/>
        <w:rPr>
          <w:rFonts w:ascii="Calibri" w:eastAsia="Calibri" w:hAnsi="Calibri" w:cs="Times New Roman"/>
          <w:b/>
          <w:color w:val="2F5496" w:themeColor="accent1" w:themeShade="BF"/>
          <w:sz w:val="22"/>
        </w:rPr>
      </w:pPr>
      <w:r w:rsidRPr="00671E8F">
        <w:rPr>
          <w:rFonts w:ascii="Calibri" w:eastAsia="Calibri" w:hAnsi="Calibri" w:cs="Times New Roman"/>
          <w:b/>
          <w:color w:val="2F5496" w:themeColor="accent1" w:themeShade="BF"/>
          <w:sz w:val="22"/>
        </w:rPr>
        <w:lastRenderedPageBreak/>
        <w:t>Мере за унапређење тржишта динарских хартија од вредности у периоду 2024–2027. године</w:t>
      </w:r>
    </w:p>
    <w:p w14:paraId="08B51F51"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Тржиште државних хартија од вредности, у периоду од 2012. године до августа 2024. године, карактерише испуњавање зацртаних стратешких циљева, првенствено у погледу инструмената финансирања, као и у развоју и одржавању стабилности диверсификоване базе инвеститора. Преласком са краткорочних извора финансирања који се везују за период до 2010. године, на средњорочне и дугорочне инструменте финансирања, уз константно смањење трошкова задуживања, утиче се на смањење ризика рефинансирања, као једног од примарних ризика у процесу управљања јавним дугом. На крају 2013. године учешће дугорочних динарских инструмената по оригиналној рочности од три и више година износило је 38,3% у стању динарских хартија од вредности, док је на крају августа 2024. године износило 88,6%.</w:t>
      </w:r>
    </w:p>
    <w:p w14:paraId="277F1E79"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Транспарентност у раду и извештавању, као и присутност на међународном тржишту капитала, утичу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Услед успешне реализације „бенчмарк</w:t>
      </w:r>
      <w:r w:rsidRPr="00671E8F">
        <w:rPr>
          <w:rFonts w:eastAsia="MS PGothic" w:cstheme="minorHAnsi"/>
          <w:szCs w:val="20"/>
          <w:lang w:eastAsia="ja-JP"/>
        </w:rPr>
        <w:t>”</w:t>
      </w:r>
      <w:r w:rsidRPr="00671E8F">
        <w:rPr>
          <w:rFonts w:ascii="Calibri" w:eastAsia="Calibri" w:hAnsi="Calibri" w:cs="Calibri"/>
          <w:bCs/>
          <w:szCs w:val="72"/>
        </w:rPr>
        <w:t xml:space="preserve"> емисија током 2014. и 2015. године, са истом праксом је настављено током 2016. године. У фебруару и јулу 2016. године емитоване су „бенчмарк</w:t>
      </w:r>
      <w:r w:rsidRPr="00671E8F">
        <w:rPr>
          <w:rFonts w:eastAsia="MS PGothic" w:cstheme="minorHAnsi"/>
          <w:szCs w:val="20"/>
          <w:lang w:eastAsia="ja-JP"/>
        </w:rPr>
        <w:t>”</w:t>
      </w:r>
      <w:r w:rsidRPr="00671E8F">
        <w:rPr>
          <w:rFonts w:ascii="Calibri" w:eastAsia="Calibri" w:hAnsi="Calibri" w:cs="Calibri"/>
          <w:bCs/>
          <w:szCs w:val="72"/>
        </w:rPr>
        <w:t xml:space="preserve"> трогодишња и седмогодишња обвезница обима емисије по 110,0 млрд динара. У априлу 2017. године емитована је трогодишња „бенчмарк</w:t>
      </w:r>
      <w:r w:rsidRPr="00671E8F">
        <w:rPr>
          <w:rFonts w:eastAsia="MS PGothic" w:cstheme="minorHAnsi"/>
          <w:szCs w:val="20"/>
          <w:lang w:eastAsia="ja-JP"/>
        </w:rPr>
        <w:t>”</w:t>
      </w:r>
      <w:r w:rsidRPr="00671E8F">
        <w:rPr>
          <w:rFonts w:ascii="Calibri" w:eastAsia="Calibri" w:hAnsi="Calibri" w:cs="Calibri"/>
          <w:bCs/>
          <w:szCs w:val="72"/>
        </w:rPr>
        <w:t xml:space="preserve"> обвезница обима емисије у износу од 110,0 млрд динара. У јануару и фебруару 2018. године емитоване су „бенчмарк</w:t>
      </w:r>
      <w:r w:rsidRPr="00671E8F">
        <w:rPr>
          <w:rFonts w:eastAsia="MS PGothic" w:cstheme="minorHAnsi"/>
          <w:szCs w:val="20"/>
          <w:lang w:eastAsia="ja-JP"/>
        </w:rPr>
        <w:t>”</w:t>
      </w:r>
      <w:r w:rsidRPr="00671E8F">
        <w:rPr>
          <w:rFonts w:ascii="Calibri" w:eastAsia="Calibri" w:hAnsi="Calibri" w:cs="Calibri"/>
          <w:bCs/>
          <w:szCs w:val="72"/>
        </w:rPr>
        <w:t xml:space="preserve"> петогодишња и десетогодишња обвезница обима емисије по 110,0 млрд динара. У јануару 2019. године емитоване су „бенчмарк</w:t>
      </w:r>
      <w:r w:rsidRPr="00671E8F">
        <w:rPr>
          <w:rFonts w:eastAsia="MS PGothic" w:cstheme="minorHAnsi"/>
          <w:szCs w:val="20"/>
          <w:lang w:eastAsia="ja-JP"/>
        </w:rPr>
        <w:t>”</w:t>
      </w:r>
      <w:r w:rsidRPr="00671E8F">
        <w:rPr>
          <w:rFonts w:ascii="Calibri" w:eastAsia="Calibri" w:hAnsi="Calibri" w:cs="Calibri"/>
          <w:bCs/>
          <w:szCs w:val="72"/>
        </w:rPr>
        <w:t xml:space="preserve"> трогодишња и седмогодишња обвезница обима емисије 100,0 и 150,0 млрд динара. </w:t>
      </w:r>
      <w:r w:rsidRPr="00671E8F">
        <w:rPr>
          <w:rFonts w:ascii="Calibri" w:eastAsia="Calibri" w:hAnsi="Calibri" w:cs="Calibri"/>
          <w:bCs/>
          <w:spacing w:val="-2"/>
          <w:szCs w:val="72"/>
        </w:rPr>
        <w:t xml:space="preserve">У јануару и фебруару 2020. године по први пут су емитоване петоипогодишње и дванаестоипогодишње обвезнице са полугодишњим купоном. Изменама Уредбе о општим условима за емисију и продају државних </w:t>
      </w:r>
      <w:r w:rsidRPr="00671E8F">
        <w:rPr>
          <w:rFonts w:ascii="Calibri" w:eastAsia="Calibri" w:hAnsi="Calibri" w:cs="Calibri"/>
          <w:bCs/>
          <w:spacing w:val="-2"/>
          <w:szCs w:val="72"/>
        </w:rPr>
        <w:t>хартија од вредности на примарном тржишту („Службени гласник РС”, бр. 100/14, 78/17, 66/18, 78/18 и 140/20), омогућено је повећање обима раније емитованих обвезница, па је петоипогодишњим обвезницама (првобитно емитованим 28.01.2020. године) и дванаестоипогодишњим обвезницама (првобитно емитованим 18.02.2020. године) 2021. године повећан обим емисије за по 50 млрд динара, док је десетогодишњим обвезницама (првобитно емитованим 06.02.2018. године) повећан за 10 млрд динара. Током 2022. године извршено је повећање обима емисија десетогодишњим обвезницама (првобитно емитованим 06.02.2018. године) за 25 млрд динара.</w:t>
      </w:r>
    </w:p>
    <w:p w14:paraId="52C0DCB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Овим емисијама знатно је повећан обим секундарног трговања овим инструментима, што је допринело и паду извршних стопа приноса на реотварањима поменутих емисија. Учешће страних инвеститора у динарским хартијама од вредности, на крају августа 2024. године износило је 17,2%.</w:t>
      </w:r>
    </w:p>
    <w:p w14:paraId="4BDFA99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30. јуна 2021. године три динарске бенчмарк обвезнице укључене су у J.P. Morgan индекс државних обвезница земаља у развоју (GBI-EM </w:t>
      </w:r>
      <w:r w:rsidRPr="00671E8F">
        <w:rPr>
          <w:rFonts w:ascii="Calibri" w:eastAsia="Calibri" w:hAnsi="Calibri" w:cs="Calibri"/>
          <w:bCs/>
          <w:i/>
          <w:szCs w:val="72"/>
        </w:rPr>
        <w:t>Global Diversified Index</w:t>
      </w:r>
      <w:r w:rsidRPr="00671E8F">
        <w:rPr>
          <w:rFonts w:ascii="Calibri" w:eastAsia="Calibri" w:hAnsi="Calibri" w:cs="Calibri"/>
          <w:bCs/>
          <w:szCs w:val="72"/>
        </w:rPr>
        <w:t>), са датумом доспећа 11. јануар 2026. године (RSMFRSD89592), 8. фебруар 2028. године (RSMFRSD55940) и 20. август 2032. године (RSMFRSD86176). 5. марта 2024. године у J.P. Morgan индекс државних обвезница земаља у развоју (GBI-EM Global Diversified Index), укључена је нова динарска бенчмарк обвезница са датумом доспећа 26. октобар 2031. године (RSMFRSD58761).</w:t>
      </w:r>
    </w:p>
    <w:p w14:paraId="5E79517B"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 2023. години од динарских хартија емитоване су двогодишње динарске обвезнице. Десетогодишњим динарским обвезницама је повећан обим емисије за 18,4 млрд динара и дванаестоипоогодишњим за 50 млрд динара. У октобру 2023. године емитована је нова осмогодишња динарска обвезница, са обимом емисије 110 милијарди динара. Од евро деноминованих хартија емитоване су двогодишње обвезнице.</w:t>
      </w:r>
    </w:p>
    <w:p w14:paraId="6F37B6CB"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У 2024. години повећан је обим емисије обвезнице рочности 8 година за 40 милијарди </w:t>
      </w:r>
      <w:r w:rsidRPr="00671E8F">
        <w:rPr>
          <w:rFonts w:ascii="Calibri" w:eastAsia="Calibri" w:hAnsi="Calibri" w:cs="Calibri"/>
          <w:bCs/>
          <w:szCs w:val="72"/>
        </w:rPr>
        <w:lastRenderedPageBreak/>
        <w:t>динара</w:t>
      </w:r>
      <w:r w:rsidRPr="00671E8F">
        <w:t xml:space="preserve"> (</w:t>
      </w:r>
      <w:r w:rsidRPr="00671E8F">
        <w:rPr>
          <w:rFonts w:ascii="Calibri" w:eastAsia="Calibri" w:hAnsi="Calibri" w:cs="Calibri"/>
          <w:bCs/>
          <w:szCs w:val="72"/>
        </w:rPr>
        <w:t>првобитно емитованe 24.10.2023. године).</w:t>
      </w:r>
      <w:r w:rsidRPr="00671E8F">
        <w:t xml:space="preserve"> </w:t>
      </w:r>
      <w:r w:rsidRPr="00671E8F">
        <w:rPr>
          <w:rFonts w:ascii="Calibri" w:eastAsia="Calibri" w:hAnsi="Calibri" w:cs="Calibri"/>
          <w:bCs/>
          <w:szCs w:val="72"/>
        </w:rPr>
        <w:t>Од евро деноминованих хартија емитоване су трогодишње обвезнице.</w:t>
      </w:r>
    </w:p>
    <w:p w14:paraId="476C8527"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У периоду за који се доноси ова Стратегија очекује се унапређење ефикасности примарног тржишта путем приступа Euroclear платформи и 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пружиће добру основу за унапређење тржишне ефикасности секундарног тржишта државних хартија од вредности. Развојем секундарног тржишта, временом ће се успоставити концепт тржишне ефикасности у процесу вредновања државних хартија од вредности. Увођењем „бенчмарк</w:t>
      </w:r>
      <w:r w:rsidRPr="00671E8F">
        <w:rPr>
          <w:rFonts w:eastAsia="MS PGothic" w:cstheme="minorHAnsi"/>
          <w:szCs w:val="20"/>
          <w:lang w:eastAsia="ja-JP"/>
        </w:rPr>
        <w:t>”</w:t>
      </w:r>
      <w:r w:rsidRPr="00671E8F">
        <w:rPr>
          <w:rFonts w:ascii="Calibri" w:eastAsia="Calibri" w:hAnsi="Calibri" w:cs="Calibri"/>
          <w:bCs/>
          <w:szCs w:val="72"/>
        </w:rPr>
        <w:t xml:space="preserve"> емисија обвезница остварен је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14:paraId="293D094D"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фактора потребно је издвојити макроекономска кретања и очекивања, као и промене на међународном финансијском тржишту, које се рефлектују на премију ризика земље.</w:t>
      </w:r>
    </w:p>
    <w:p w14:paraId="259AAA89"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 xml:space="preserve">На крају 2012. године просечна рочност динарских хартија од вредности износила је 394 дана (1,1 годину), на крају 2013. године 469 дана (1,3 године), на крају 2014. године 645 дана (1,8 годину), на крају 2015. године 749 дана (2,1 годину), на крају 2016. године 789 дана (2,2 године), на крају 2017. године 864 дана (2,4 године), на крају 2018. године 1.188 дана (3,3 године), на крају 2019. године 1.403 дана (3,8 година), на крају 2020. године 1.429 дана (3,9 година), на крају 2021. године 1.377 дана (3,8 године), на крају 2022. године 1.220 дана (3,3 године), на крају 2023. године 1.427 дана (3,9 године), а на крају августа 2024. године </w:t>
      </w:r>
      <w:r w:rsidRPr="00671E8F">
        <w:t>1.474 дана (4 године)</w:t>
      </w:r>
      <w:r w:rsidRPr="00671E8F">
        <w:rPr>
          <w:rFonts w:ascii="Calibri" w:eastAsia="Calibri" w:hAnsi="Calibri" w:cs="Calibri"/>
          <w:bCs/>
          <w:szCs w:val="72"/>
        </w:rPr>
        <w:t>.</w:t>
      </w:r>
    </w:p>
    <w:p w14:paraId="398D2243" w14:textId="77777777" w:rsidR="00AE5DED" w:rsidRPr="00671E8F" w:rsidRDefault="00AE5DED" w:rsidP="00AE5DED">
      <w:pPr>
        <w:rPr>
          <w:rFonts w:ascii="Calibri" w:eastAsia="Calibri" w:hAnsi="Calibri" w:cs="Calibri"/>
          <w:bCs/>
          <w:szCs w:val="72"/>
        </w:rPr>
      </w:pPr>
      <w:r w:rsidRPr="00671E8F">
        <w:rPr>
          <w:rFonts w:ascii="Calibri" w:eastAsia="Calibri" w:hAnsi="Calibri" w:cs="Calibri"/>
          <w:bCs/>
          <w:szCs w:val="72"/>
        </w:rPr>
        <w:t>Развој домаћег тржишта државних хартија од вредности од стране Републике Србије потпомогнут је следећим мерама:</w:t>
      </w:r>
    </w:p>
    <w:p w14:paraId="76682BAB" w14:textId="77777777" w:rsidR="00AE5DED" w:rsidRPr="00671E8F" w:rsidRDefault="00AE5DED" w:rsidP="00AE5DED">
      <w:pPr>
        <w:numPr>
          <w:ilvl w:val="0"/>
          <w:numId w:val="13"/>
        </w:numPr>
        <w:ind w:left="0" w:hanging="142"/>
        <w:rPr>
          <w:rFonts w:ascii="Calibri" w:eastAsia="Calibri" w:hAnsi="Calibri" w:cs="Calibri"/>
          <w:bCs/>
          <w:szCs w:val="72"/>
        </w:rPr>
      </w:pPr>
      <w:r w:rsidRPr="00671E8F">
        <w:rPr>
          <w:rFonts w:ascii="Calibri" w:eastAsia="Calibri" w:hAnsi="Calibri" w:cs="Calibri"/>
          <w:bCs/>
          <w:szCs w:val="72"/>
        </w:rPr>
        <w:t xml:space="preserve">Обвезнице Републике Србије укључене су у </w:t>
      </w:r>
      <w:r w:rsidRPr="00671E8F">
        <w:rPr>
          <w:rFonts w:ascii="Calibri" w:eastAsia="Calibri" w:hAnsi="Calibri" w:cs="Calibri"/>
          <w:bCs/>
          <w:iCs/>
          <w:szCs w:val="72"/>
        </w:rPr>
        <w:t>Ј.P. Morgan</w:t>
      </w:r>
      <w:r w:rsidRPr="00671E8F">
        <w:rPr>
          <w:rFonts w:ascii="Calibri" w:eastAsia="Calibri" w:hAnsi="Calibri" w:cs="Calibri"/>
          <w:bCs/>
          <w:szCs w:val="72"/>
        </w:rPr>
        <w:t xml:space="preserve"> глобални индекс</w:t>
      </w:r>
      <w:r w:rsidRPr="00671E8F">
        <w:t xml:space="preserve"> </w:t>
      </w:r>
      <w:r w:rsidRPr="00671E8F">
        <w:rPr>
          <w:rFonts w:ascii="Calibri" w:eastAsia="Calibri" w:hAnsi="Calibri" w:cs="Calibri"/>
          <w:bCs/>
          <w:szCs w:val="72"/>
        </w:rPr>
        <w:t>државних обвезница у локалним валутама земаља у развоју (</w:t>
      </w:r>
      <w:r w:rsidRPr="00671E8F">
        <w:rPr>
          <w:rFonts w:ascii="Calibri" w:eastAsia="Calibri" w:hAnsi="Calibri" w:cs="Calibri"/>
          <w:bCs/>
          <w:i/>
          <w:szCs w:val="72"/>
        </w:rPr>
        <w:t>GBI-EM</w:t>
      </w:r>
      <w:r w:rsidRPr="00671E8F">
        <w:rPr>
          <w:rFonts w:ascii="Calibri" w:eastAsia="Calibri" w:hAnsi="Calibri" w:cs="Calibri"/>
          <w:bCs/>
          <w:szCs w:val="72"/>
        </w:rPr>
        <w:t xml:space="preserve"> </w:t>
      </w:r>
      <w:r w:rsidRPr="00671E8F">
        <w:rPr>
          <w:rFonts w:ascii="Calibri" w:eastAsia="Calibri" w:hAnsi="Calibri" w:cs="Calibri"/>
          <w:bCs/>
          <w:i/>
          <w:iCs/>
          <w:szCs w:val="72"/>
        </w:rPr>
        <w:t>Global Diversified Index</w:t>
      </w:r>
      <w:r w:rsidRPr="00671E8F">
        <w:rPr>
          <w:rFonts w:ascii="Calibri" w:eastAsia="Calibri" w:hAnsi="Calibri" w:cs="Calibri"/>
          <w:bCs/>
          <w:szCs w:val="72"/>
        </w:rPr>
        <w:t>) што би требало значајно да повећа базу инвеститора и додатно поспеши секундарно трговање, што ће даље допринети смањењу трошкова задуживања путем емисија динарских државних хартија од вредности;</w:t>
      </w:r>
    </w:p>
    <w:p w14:paraId="15603C54" w14:textId="77777777" w:rsidR="00AE5DED" w:rsidRPr="00671E8F" w:rsidRDefault="00AE5DED" w:rsidP="00AE5DED">
      <w:pPr>
        <w:numPr>
          <w:ilvl w:val="0"/>
          <w:numId w:val="13"/>
        </w:numPr>
        <w:ind w:left="0" w:hanging="142"/>
        <w:rPr>
          <w:rFonts w:ascii="Calibri" w:eastAsia="Calibri" w:hAnsi="Calibri" w:cs="Calibri"/>
          <w:bCs/>
          <w:szCs w:val="72"/>
        </w:rPr>
      </w:pPr>
      <w:r w:rsidRPr="00671E8F">
        <w:rPr>
          <w:rFonts w:ascii="Calibri" w:eastAsia="Calibri" w:hAnsi="Calibri" w:cs="Calibri"/>
          <w:bCs/>
          <w:szCs w:val="72"/>
        </w:rPr>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евентуалних препрека за слободан проток капитала;</w:t>
      </w:r>
    </w:p>
    <w:p w14:paraId="27F72A13" w14:textId="77777777" w:rsidR="00AE5DED" w:rsidRPr="00671E8F" w:rsidRDefault="00AE5DED" w:rsidP="00AE5DED">
      <w:pPr>
        <w:numPr>
          <w:ilvl w:val="0"/>
          <w:numId w:val="13"/>
        </w:numPr>
        <w:ind w:left="0" w:hanging="142"/>
        <w:rPr>
          <w:rFonts w:ascii="Calibri" w:eastAsia="Calibri" w:hAnsi="Calibri" w:cs="Calibri"/>
          <w:bCs/>
          <w:szCs w:val="72"/>
        </w:rPr>
      </w:pPr>
      <w:r w:rsidRPr="00671E8F">
        <w:rPr>
          <w:rFonts w:ascii="Calibri" w:eastAsia="Calibri" w:hAnsi="Calibri" w:cs="Calibri"/>
          <w:bCs/>
          <w:szCs w:val="72"/>
        </w:rPr>
        <w:t>Предузете су активности на омогућавању салдирања државних хартија од вредности на иностраном тржишту. Изменама и допунама Закона о јавном дугу из децембра 2019. године, омогућено је да клиринг и салдирање државних хартија од вредности емитованих на домаћем тржишту, поред Централног регистра врши и друго страно правно лице које обавља послове клиринга и салдирања.</w:t>
      </w:r>
    </w:p>
    <w:p w14:paraId="5015E049" w14:textId="77777777" w:rsidR="00AE5DED" w:rsidRPr="00671E8F" w:rsidRDefault="00AE5DED" w:rsidP="00AE5DED">
      <w:pPr>
        <w:numPr>
          <w:ilvl w:val="0"/>
          <w:numId w:val="13"/>
        </w:numPr>
        <w:ind w:left="0" w:hanging="142"/>
        <w:rPr>
          <w:rFonts w:ascii="Calibri" w:eastAsia="Calibri" w:hAnsi="Calibri" w:cs="Calibri"/>
          <w:bCs/>
          <w:szCs w:val="72"/>
        </w:rPr>
        <w:sectPr w:rsidR="00AE5DED" w:rsidRPr="00671E8F" w:rsidSect="00F45C01">
          <w:type w:val="continuous"/>
          <w:pgSz w:w="12240" w:h="15840" w:code="1"/>
          <w:pgMar w:top="1440" w:right="1440" w:bottom="1440" w:left="1440" w:header="720" w:footer="720" w:gutter="0"/>
          <w:cols w:num="2" w:space="720"/>
          <w:titlePg/>
          <w:docGrid w:linePitch="360"/>
        </w:sectPr>
      </w:pPr>
      <w:r w:rsidRPr="00671E8F">
        <w:rPr>
          <w:rFonts w:ascii="Calibri" w:eastAsia="Calibri" w:hAnsi="Calibri" w:cs="Calibri"/>
          <w:bCs/>
          <w:szCs w:val="72"/>
        </w:rPr>
        <w:t>Током 2022. и 2023. године активно се радило на усаглашавању законске регулативе и ИТ инфраструктуре за успостављање међународног линка (i-Link) између Централног регистра, депоа и клиринга хартија од вредности и Euroclear банке, што је настављено и у 2024. години како би се отпочело салдирање државних бенчмарк обвезница преко Euroclear провајдера пост трговинских трансакција. Основне предности приступања Euroclear систему су ширење базе инвеститора кроз лакшу доступност домаћих хартија од вредности страним инвеститорима, што даље смањује трошкове у редукованом ланцу учесника куповине хартија од вредности, а тиме и пад приноса на хартије и ниже трошкове задуживања емитента. Такође, повећава се ликвидност секундарног тржишта ширењем базе инвеститора.</w:t>
      </w:r>
    </w:p>
    <w:p w14:paraId="63212CE1" w14:textId="77777777" w:rsidR="007F42E2" w:rsidRPr="00671E8F" w:rsidRDefault="007F42E2" w:rsidP="00C93518">
      <w:pPr>
        <w:rPr>
          <w:rFonts w:cstheme="minorHAnsi"/>
          <w:bCs/>
          <w:color w:val="4472C4" w:themeColor="accent1"/>
          <w:szCs w:val="72"/>
        </w:rPr>
        <w:sectPr w:rsidR="007F42E2" w:rsidRPr="00671E8F" w:rsidSect="00F45C01">
          <w:footerReference w:type="default" r:id="rId225"/>
          <w:type w:val="continuous"/>
          <w:pgSz w:w="12240" w:h="15840" w:code="1"/>
          <w:pgMar w:top="1440" w:right="1440" w:bottom="1440" w:left="1440" w:header="720" w:footer="720" w:gutter="0"/>
          <w:cols w:num="2" w:space="720"/>
          <w:titlePg/>
          <w:docGrid w:linePitch="360"/>
        </w:sectPr>
      </w:pPr>
    </w:p>
    <w:p w14:paraId="208F92FF" w14:textId="77777777" w:rsidR="00D96A25" w:rsidRPr="00671E8F" w:rsidRDefault="00D96A25" w:rsidP="00427829">
      <w:pPr>
        <w:keepNext/>
        <w:keepLines/>
        <w:spacing w:after="0" w:line="240" w:lineRule="auto"/>
        <w:jc w:val="center"/>
        <w:outlineLvl w:val="0"/>
        <w:rPr>
          <w:rFonts w:cstheme="minorHAnsi"/>
          <w:bCs/>
          <w:color w:val="2F5496" w:themeColor="accent1" w:themeShade="BF"/>
          <w:szCs w:val="72"/>
        </w:rPr>
      </w:pPr>
      <w:bookmarkStart w:id="80" w:name="_Toc529801854"/>
      <w:bookmarkStart w:id="81" w:name="_Toc86923729"/>
      <w:bookmarkStart w:id="82" w:name="_Toc135994508"/>
      <w:bookmarkStart w:id="83" w:name="_Toc146277922"/>
      <w:bookmarkStart w:id="84" w:name="_Toc148431275"/>
      <w:bookmarkStart w:id="85" w:name="_Toc181190974"/>
      <w:r w:rsidRPr="00671E8F">
        <w:rPr>
          <w:rFonts w:eastAsiaTheme="majorEastAsia" w:cstheme="minorHAnsi"/>
          <w:b/>
          <w:color w:val="2F5496" w:themeColor="accent1" w:themeShade="BF"/>
          <w:sz w:val="26"/>
          <w:szCs w:val="26"/>
        </w:rPr>
        <w:lastRenderedPageBreak/>
        <w:t>IV. ЗАВРШНЕ ОДРЕДБЕ</w:t>
      </w:r>
      <w:bookmarkEnd w:id="80"/>
      <w:bookmarkEnd w:id="81"/>
      <w:bookmarkEnd w:id="82"/>
      <w:bookmarkEnd w:id="83"/>
      <w:bookmarkEnd w:id="84"/>
      <w:bookmarkEnd w:id="85"/>
    </w:p>
    <w:p w14:paraId="3F070978" w14:textId="77777777" w:rsidR="00D96A25" w:rsidRPr="00671E8F" w:rsidRDefault="00D96A25" w:rsidP="00427829"/>
    <w:p w14:paraId="0C03095A" w14:textId="3AAC652C" w:rsidR="00D96A25" w:rsidRPr="00671E8F" w:rsidRDefault="00D96A25" w:rsidP="00B51BEB">
      <w:pPr>
        <w:spacing w:after="80"/>
        <w:ind w:firstLine="720"/>
        <w:rPr>
          <w:rFonts w:ascii="Calibri" w:eastAsia="Calibri" w:hAnsi="Calibri" w:cs="Calibri"/>
          <w:bCs/>
          <w:szCs w:val="72"/>
        </w:rPr>
      </w:pPr>
      <w:r w:rsidRPr="00671E8F">
        <w:rPr>
          <w:rFonts w:ascii="Calibri" w:eastAsia="Calibri" w:hAnsi="Calibri" w:cs="Calibri"/>
          <w:bCs/>
          <w:szCs w:val="72"/>
        </w:rPr>
        <w:t xml:space="preserve">Саставни део ове </w:t>
      </w:r>
      <w:r w:rsidR="00CB1977" w:rsidRPr="00671E8F">
        <w:rPr>
          <w:rFonts w:ascii="Calibri" w:eastAsia="Calibri" w:hAnsi="Calibri" w:cs="Calibri"/>
          <w:bCs/>
          <w:szCs w:val="72"/>
        </w:rPr>
        <w:t>ревидиране Ф</w:t>
      </w:r>
      <w:r w:rsidRPr="00671E8F">
        <w:rPr>
          <w:rFonts w:ascii="Calibri" w:eastAsia="Calibri" w:hAnsi="Calibri" w:cs="Calibri"/>
          <w:bCs/>
          <w:szCs w:val="72"/>
        </w:rPr>
        <w:t>искалне стратегије чине Прилог 1 – Пројекција основних макроекономских индикатора</w:t>
      </w:r>
      <w:r w:rsidR="007543BB" w:rsidRPr="00671E8F">
        <w:rPr>
          <w:rFonts w:ascii="Calibri" w:eastAsia="Calibri" w:hAnsi="Calibri" w:cs="Calibri"/>
          <w:bCs/>
          <w:szCs w:val="72"/>
        </w:rPr>
        <w:t>,</w:t>
      </w:r>
      <w:r w:rsidRPr="00671E8F">
        <w:rPr>
          <w:rFonts w:ascii="Calibri" w:eastAsia="Calibri" w:hAnsi="Calibri" w:cs="Calibri"/>
          <w:bCs/>
          <w:szCs w:val="72"/>
        </w:rPr>
        <w:t xml:space="preserve"> Прилог 2 – Фискални оквир сектора државе у 2025. години </w:t>
      </w:r>
      <w:r w:rsidR="007543BB" w:rsidRPr="00671E8F">
        <w:rPr>
          <w:rFonts w:ascii="Calibri" w:eastAsia="Calibri" w:hAnsi="Calibri" w:cs="Calibri"/>
          <w:bCs/>
          <w:szCs w:val="72"/>
        </w:rPr>
        <w:t xml:space="preserve">и Прилог 3 </w:t>
      </w:r>
      <w:r w:rsidR="00351B52" w:rsidRPr="00671E8F">
        <w:rPr>
          <w:rFonts w:ascii="Calibri" w:eastAsia="Calibri" w:hAnsi="Calibri" w:cs="Calibri"/>
          <w:bCs/>
          <w:szCs w:val="72"/>
        </w:rPr>
        <w:t>–</w:t>
      </w:r>
      <w:r w:rsidR="007543BB" w:rsidRPr="00671E8F">
        <w:rPr>
          <w:rFonts w:ascii="Calibri" w:eastAsia="Calibri" w:hAnsi="Calibri" w:cs="Calibri"/>
          <w:bCs/>
          <w:szCs w:val="72"/>
        </w:rPr>
        <w:t xml:space="preserve"> </w:t>
      </w:r>
      <w:r w:rsidR="00966051" w:rsidRPr="00671E8F">
        <w:rPr>
          <w:rFonts w:ascii="Calibri" w:eastAsia="Calibri" w:hAnsi="Calibri" w:cs="Calibri"/>
          <w:bCs/>
          <w:szCs w:val="72"/>
        </w:rPr>
        <w:t xml:space="preserve">Преглед </w:t>
      </w:r>
      <w:r w:rsidR="00847EDA" w:rsidRPr="00671E8F">
        <w:rPr>
          <w:rFonts w:ascii="Calibri" w:eastAsia="Calibri" w:hAnsi="Calibri" w:cs="Calibri"/>
          <w:bCs/>
          <w:szCs w:val="72"/>
        </w:rPr>
        <w:t xml:space="preserve">инвестиционих </w:t>
      </w:r>
      <w:r w:rsidR="00966051" w:rsidRPr="00671E8F">
        <w:rPr>
          <w:rFonts w:ascii="Calibri" w:eastAsia="Calibri" w:hAnsi="Calibri" w:cs="Calibri"/>
          <w:bCs/>
          <w:szCs w:val="72"/>
        </w:rPr>
        <w:t xml:space="preserve">пројеката у републичком буџету </w:t>
      </w:r>
      <w:r w:rsidR="00351B52" w:rsidRPr="00671E8F">
        <w:rPr>
          <w:rFonts w:ascii="Calibri" w:eastAsia="Calibri" w:hAnsi="Calibri" w:cs="Calibri"/>
          <w:bCs/>
          <w:szCs w:val="72"/>
        </w:rPr>
        <w:t>–</w:t>
      </w:r>
      <w:r w:rsidR="00966051" w:rsidRPr="00671E8F">
        <w:rPr>
          <w:rFonts w:ascii="Calibri" w:eastAsia="Calibri" w:hAnsi="Calibri" w:cs="Calibri"/>
          <w:bCs/>
          <w:szCs w:val="72"/>
        </w:rPr>
        <w:t xml:space="preserve"> издаци за нефинансијску имовину</w:t>
      </w:r>
      <w:r w:rsidR="00847EDA" w:rsidRPr="00671E8F">
        <w:rPr>
          <w:rFonts w:ascii="Calibri" w:eastAsia="Calibri" w:hAnsi="Calibri" w:cs="Calibri"/>
          <w:bCs/>
          <w:szCs w:val="72"/>
        </w:rPr>
        <w:t xml:space="preserve"> (преко 20 милиона евра)</w:t>
      </w:r>
      <w:r w:rsidR="00487EB6" w:rsidRPr="00671E8F">
        <w:rPr>
          <w:rFonts w:ascii="Calibri" w:eastAsia="Calibri" w:hAnsi="Calibri" w:cs="Calibri"/>
          <w:bCs/>
          <w:szCs w:val="72"/>
        </w:rPr>
        <w:t xml:space="preserve">, који су одштампани уз ову </w:t>
      </w:r>
      <w:r w:rsidR="00935B46" w:rsidRPr="00671E8F">
        <w:rPr>
          <w:rFonts w:cstheme="minorHAnsi"/>
          <w:bCs/>
          <w:szCs w:val="72"/>
        </w:rPr>
        <w:t>ревидирану</w:t>
      </w:r>
      <w:r w:rsidR="00935B46" w:rsidRPr="00671E8F">
        <w:rPr>
          <w:rFonts w:ascii="Calibri" w:eastAsia="Calibri" w:hAnsi="Calibri" w:cs="Calibri"/>
          <w:bCs/>
          <w:szCs w:val="72"/>
        </w:rPr>
        <w:t xml:space="preserve"> Фискалну </w:t>
      </w:r>
      <w:r w:rsidR="00487EB6" w:rsidRPr="00671E8F">
        <w:rPr>
          <w:rFonts w:ascii="Calibri" w:eastAsia="Calibri" w:hAnsi="Calibri" w:cs="Calibri"/>
          <w:bCs/>
          <w:szCs w:val="72"/>
        </w:rPr>
        <w:t>стратегију</w:t>
      </w:r>
      <w:r w:rsidRPr="00671E8F">
        <w:rPr>
          <w:rFonts w:ascii="Calibri" w:eastAsia="Calibri" w:hAnsi="Calibri" w:cs="Calibri"/>
          <w:bCs/>
          <w:szCs w:val="72"/>
        </w:rPr>
        <w:t>.</w:t>
      </w:r>
    </w:p>
    <w:p w14:paraId="6B8A837B" w14:textId="7E883176" w:rsidR="00D96A25" w:rsidRPr="00671E8F" w:rsidRDefault="00D96A25" w:rsidP="00B51BEB">
      <w:pPr>
        <w:spacing w:after="80"/>
        <w:ind w:firstLine="720"/>
        <w:rPr>
          <w:rFonts w:ascii="Calibri" w:eastAsia="Calibri" w:hAnsi="Calibri" w:cs="Calibri"/>
          <w:bCs/>
          <w:szCs w:val="72"/>
        </w:rPr>
      </w:pPr>
      <w:r w:rsidRPr="00671E8F">
        <w:rPr>
          <w:rFonts w:ascii="Calibri" w:eastAsia="Calibri" w:hAnsi="Calibri" w:cs="Calibri"/>
          <w:bCs/>
          <w:szCs w:val="72"/>
        </w:rPr>
        <w:t xml:space="preserve">Ову </w:t>
      </w:r>
      <w:r w:rsidR="00CB1977" w:rsidRPr="00671E8F">
        <w:rPr>
          <w:rFonts w:cstheme="minorHAnsi"/>
          <w:bCs/>
          <w:szCs w:val="72"/>
        </w:rPr>
        <w:t>ревидирану</w:t>
      </w:r>
      <w:r w:rsidR="00CB1977" w:rsidRPr="00671E8F">
        <w:rPr>
          <w:rFonts w:ascii="Calibri" w:eastAsia="Calibri" w:hAnsi="Calibri" w:cs="Calibri"/>
          <w:bCs/>
          <w:szCs w:val="72"/>
        </w:rPr>
        <w:t xml:space="preserve"> Ф</w:t>
      </w:r>
      <w:r w:rsidRPr="00671E8F">
        <w:rPr>
          <w:rFonts w:ascii="Calibri" w:eastAsia="Calibri" w:hAnsi="Calibri" w:cs="Calibri"/>
          <w:bCs/>
          <w:szCs w:val="72"/>
        </w:rPr>
        <w:t>искалну стратегију доставити одбору Народне скупштине надлежном за финансије, републички буџет и контролу трошења јавних средстава и Министарству финансија.</w:t>
      </w:r>
    </w:p>
    <w:p w14:paraId="6F24A039" w14:textId="77777777" w:rsidR="00CB1977" w:rsidRPr="00671E8F" w:rsidRDefault="00CB1977" w:rsidP="00CB1977">
      <w:pPr>
        <w:ind w:firstLine="720"/>
      </w:pPr>
      <w:r w:rsidRPr="00671E8F">
        <w:rPr>
          <w:rFonts w:cstheme="minorHAnsi"/>
          <w:bCs/>
          <w:szCs w:val="72"/>
        </w:rPr>
        <w:t>Ову ревидирану Фискалну стратегију објавити у „Службеном гласнику Републике Србије” и на интернет страници Владе и Министарства финансија.</w:t>
      </w:r>
    </w:p>
    <w:p w14:paraId="0C69099E" w14:textId="77777777" w:rsidR="00D96A25" w:rsidRPr="00671E8F" w:rsidRDefault="00D96A25" w:rsidP="00427829">
      <w:pPr>
        <w:spacing w:after="0"/>
        <w:jc w:val="right"/>
        <w:rPr>
          <w:rFonts w:cstheme="minorHAnsi"/>
          <w:bCs/>
          <w:color w:val="FF0000"/>
          <w:szCs w:val="72"/>
        </w:rPr>
      </w:pPr>
    </w:p>
    <w:p w14:paraId="34A29C0F" w14:textId="77777777" w:rsidR="00D96A25" w:rsidRPr="00671E8F" w:rsidRDefault="00D96A25" w:rsidP="00427829">
      <w:pPr>
        <w:spacing w:after="0"/>
        <w:jc w:val="right"/>
        <w:rPr>
          <w:rFonts w:cstheme="minorHAnsi"/>
          <w:bCs/>
          <w:color w:val="FF0000"/>
          <w:szCs w:val="72"/>
        </w:rPr>
      </w:pPr>
    </w:p>
    <w:p w14:paraId="5D49C4FD" w14:textId="4EC7C4A8" w:rsidR="00D96A25" w:rsidRPr="008C094D" w:rsidRDefault="00D96A25" w:rsidP="00B51BEB">
      <w:pPr>
        <w:tabs>
          <w:tab w:val="left" w:pos="1189"/>
        </w:tabs>
        <w:spacing w:after="0"/>
        <w:rPr>
          <w:rFonts w:cstheme="minorHAnsi"/>
          <w:bCs/>
          <w:color w:val="auto"/>
          <w:szCs w:val="72"/>
          <w:lang w:val="sr-Cyrl-RS"/>
        </w:rPr>
      </w:pPr>
      <w:r w:rsidRPr="00671E8F">
        <w:rPr>
          <w:rFonts w:ascii="Calibri" w:eastAsia="Calibri" w:hAnsi="Calibri" w:cs="Calibri"/>
          <w:bCs/>
          <w:szCs w:val="72"/>
        </w:rPr>
        <w:t>05 Број:</w:t>
      </w:r>
      <w:r w:rsidRPr="00671E8F">
        <w:rPr>
          <w:rFonts w:cstheme="minorHAnsi"/>
          <w:bCs/>
          <w:color w:val="FF0000"/>
          <w:szCs w:val="72"/>
        </w:rPr>
        <w:t xml:space="preserve"> </w:t>
      </w:r>
      <w:r w:rsidR="008C094D">
        <w:rPr>
          <w:rFonts w:cstheme="minorHAnsi"/>
          <w:bCs/>
          <w:color w:val="auto"/>
          <w:szCs w:val="72"/>
          <w:lang w:val="sr-Cyrl-RS"/>
        </w:rPr>
        <w:t>400-10551/2024-1</w:t>
      </w:r>
    </w:p>
    <w:p w14:paraId="76846E69" w14:textId="6915210F" w:rsidR="00D96A25" w:rsidRPr="00671E8F" w:rsidRDefault="00D96A25" w:rsidP="00935B46">
      <w:pPr>
        <w:spacing w:after="0"/>
        <w:rPr>
          <w:rFonts w:cstheme="minorHAnsi"/>
          <w:bCs/>
          <w:color w:val="FF0000"/>
          <w:szCs w:val="72"/>
        </w:rPr>
      </w:pPr>
      <w:r w:rsidRPr="00671E8F">
        <w:rPr>
          <w:rFonts w:ascii="Calibri" w:eastAsia="Calibri" w:hAnsi="Calibri" w:cs="Calibri"/>
          <w:bCs/>
          <w:szCs w:val="72"/>
        </w:rPr>
        <w:t>У Београду,</w:t>
      </w:r>
      <w:r w:rsidR="00351B52" w:rsidRPr="00671E8F">
        <w:rPr>
          <w:rFonts w:ascii="Calibri" w:eastAsia="Calibri" w:hAnsi="Calibri" w:cs="Calibri"/>
          <w:bCs/>
          <w:szCs w:val="72"/>
        </w:rPr>
        <w:t xml:space="preserve"> </w:t>
      </w:r>
      <w:r w:rsidR="008C094D">
        <w:rPr>
          <w:rFonts w:ascii="Calibri" w:eastAsia="Calibri" w:hAnsi="Calibri" w:cs="Calibri"/>
          <w:bCs/>
          <w:szCs w:val="72"/>
          <w:lang w:val="sr-Cyrl-RS"/>
        </w:rPr>
        <w:t xml:space="preserve">31. </w:t>
      </w:r>
      <w:r w:rsidR="00935B46" w:rsidRPr="00671E8F">
        <w:rPr>
          <w:rFonts w:ascii="Calibri" w:eastAsia="Calibri" w:hAnsi="Calibri" w:cs="Calibri"/>
          <w:bCs/>
          <w:szCs w:val="72"/>
        </w:rPr>
        <w:t>октобра 2024. године</w:t>
      </w:r>
    </w:p>
    <w:p w14:paraId="65A0BDFC" w14:textId="77777777" w:rsidR="00935B46" w:rsidRPr="00671E8F" w:rsidRDefault="00935B46" w:rsidP="00935B46">
      <w:pPr>
        <w:spacing w:after="0"/>
        <w:rPr>
          <w:rFonts w:cstheme="minorHAnsi"/>
          <w:bCs/>
          <w:color w:val="FF0000"/>
          <w:szCs w:val="72"/>
        </w:rPr>
      </w:pPr>
    </w:p>
    <w:p w14:paraId="518CA54F" w14:textId="77777777" w:rsidR="00D96A25" w:rsidRPr="00671E8F" w:rsidRDefault="00D96A25" w:rsidP="00B51BEB">
      <w:pPr>
        <w:spacing w:after="0"/>
        <w:jc w:val="center"/>
        <w:rPr>
          <w:rFonts w:ascii="Calibri" w:eastAsia="Calibri" w:hAnsi="Calibri" w:cs="Calibri"/>
          <w:bCs/>
          <w:szCs w:val="72"/>
        </w:rPr>
      </w:pPr>
      <w:r w:rsidRPr="00671E8F">
        <w:rPr>
          <w:rFonts w:ascii="Calibri" w:eastAsia="Calibri" w:hAnsi="Calibri" w:cs="Calibri"/>
          <w:bCs/>
          <w:szCs w:val="72"/>
        </w:rPr>
        <w:t>В Л А Д А</w:t>
      </w:r>
    </w:p>
    <w:p w14:paraId="1BAEA896" w14:textId="77777777" w:rsidR="00D96A25" w:rsidRPr="00671E8F" w:rsidRDefault="00D96A25" w:rsidP="00B51BEB">
      <w:pPr>
        <w:spacing w:after="0"/>
        <w:jc w:val="right"/>
        <w:rPr>
          <w:rFonts w:ascii="Calibri" w:eastAsia="Calibri" w:hAnsi="Calibri" w:cs="Calibri"/>
          <w:bCs/>
          <w:szCs w:val="72"/>
        </w:rPr>
      </w:pPr>
    </w:p>
    <w:p w14:paraId="168630A7" w14:textId="5B36DC00" w:rsidR="00D96A25" w:rsidRPr="00671E8F" w:rsidRDefault="00984A71" w:rsidP="00B51BEB">
      <w:pPr>
        <w:spacing w:after="0"/>
        <w:jc w:val="left"/>
        <w:rPr>
          <w:rFonts w:ascii="Calibri" w:eastAsia="Calibri" w:hAnsi="Calibri" w:cs="Calibri"/>
          <w:bCs/>
          <w:szCs w:val="72"/>
        </w:rPr>
      </w:pPr>
      <w:r w:rsidRPr="00671E8F">
        <w:rPr>
          <w:rFonts w:ascii="Calibri" w:eastAsia="Calibri" w:hAnsi="Calibri" w:cs="Calibri"/>
          <w:bCs/>
          <w:szCs w:val="72"/>
        </w:rPr>
        <w:t xml:space="preserve">                                                                                     </w:t>
      </w:r>
      <w:r w:rsidR="00D96A25" w:rsidRPr="00671E8F">
        <w:rPr>
          <w:rFonts w:ascii="Calibri" w:eastAsia="Calibri" w:hAnsi="Calibri" w:cs="Calibri"/>
          <w:bCs/>
          <w:szCs w:val="72"/>
        </w:rPr>
        <w:t xml:space="preserve"> </w:t>
      </w:r>
      <w:r w:rsidR="002A3CAC" w:rsidRPr="00671E8F">
        <w:rPr>
          <w:rFonts w:ascii="Calibri" w:eastAsia="Calibri" w:hAnsi="Calibri" w:cs="Calibri"/>
          <w:bCs/>
          <w:szCs w:val="72"/>
        </w:rPr>
        <w:t xml:space="preserve">                                                                                         </w:t>
      </w:r>
      <w:r w:rsidR="00D96A25" w:rsidRPr="00671E8F">
        <w:rPr>
          <w:rFonts w:ascii="Calibri" w:eastAsia="Calibri" w:hAnsi="Calibri" w:cs="Calibri"/>
          <w:bCs/>
          <w:szCs w:val="72"/>
        </w:rPr>
        <w:t>ПРЕДСЕДНИК</w:t>
      </w:r>
    </w:p>
    <w:p w14:paraId="350525F3" w14:textId="77777777" w:rsidR="00D96A25" w:rsidRPr="00671E8F" w:rsidRDefault="00D96A25" w:rsidP="00B51BEB">
      <w:pPr>
        <w:spacing w:after="0"/>
        <w:rPr>
          <w:rFonts w:ascii="Calibri" w:eastAsia="Calibri" w:hAnsi="Calibri" w:cs="Calibri"/>
          <w:bCs/>
          <w:szCs w:val="72"/>
        </w:rPr>
      </w:pPr>
    </w:p>
    <w:p w14:paraId="218DA65C" w14:textId="7DFAAFD1" w:rsidR="00D96A25" w:rsidRPr="00671E8F" w:rsidRDefault="00351B52" w:rsidP="00351B52">
      <w:pPr>
        <w:spacing w:after="0"/>
        <w:jc w:val="center"/>
        <w:rPr>
          <w:rFonts w:ascii="Calibri" w:eastAsia="Calibri" w:hAnsi="Calibri" w:cs="Calibri"/>
          <w:bCs/>
          <w:szCs w:val="72"/>
        </w:rPr>
      </w:pPr>
      <w:r w:rsidRPr="00671E8F">
        <w:rPr>
          <w:rFonts w:ascii="Calibri" w:eastAsia="Calibri" w:hAnsi="Calibri" w:cs="Calibri"/>
          <w:bCs/>
          <w:szCs w:val="72"/>
        </w:rPr>
        <w:t xml:space="preserve">                                                                                                                                                                          </w:t>
      </w:r>
      <w:r w:rsidR="00C30334" w:rsidRPr="00671E8F">
        <w:rPr>
          <w:rFonts w:ascii="Calibri" w:eastAsia="Calibri" w:hAnsi="Calibri" w:cs="Calibri"/>
          <w:bCs/>
          <w:szCs w:val="72"/>
        </w:rPr>
        <w:t>Милош Вучевић</w:t>
      </w:r>
    </w:p>
    <w:p w14:paraId="5233CB0C" w14:textId="77777777" w:rsidR="00D96A25" w:rsidRPr="00671E8F" w:rsidRDefault="00D96A25" w:rsidP="00B51BEB">
      <w:pPr>
        <w:spacing w:after="0"/>
        <w:jc w:val="right"/>
        <w:rPr>
          <w:rFonts w:ascii="Calibri" w:eastAsia="Calibri" w:hAnsi="Calibri" w:cs="Calibri"/>
          <w:bCs/>
          <w:szCs w:val="72"/>
        </w:rPr>
      </w:pPr>
    </w:p>
    <w:p w14:paraId="28016AF8" w14:textId="77777777" w:rsidR="00D96A25" w:rsidRPr="00671E8F" w:rsidRDefault="00D96A25" w:rsidP="00427829">
      <w:pPr>
        <w:spacing w:after="0"/>
        <w:jc w:val="right"/>
        <w:rPr>
          <w:rFonts w:cstheme="minorHAnsi"/>
          <w:bCs/>
          <w:szCs w:val="72"/>
        </w:rPr>
      </w:pPr>
    </w:p>
    <w:p w14:paraId="59717D3D" w14:textId="77777777" w:rsidR="00D96A25" w:rsidRPr="00671E8F" w:rsidRDefault="00D96A25" w:rsidP="00B51BEB"/>
    <w:p w14:paraId="71DE827F" w14:textId="77777777" w:rsidR="00D96A25" w:rsidRPr="00671E8F" w:rsidRDefault="00D96A25" w:rsidP="00B51BEB">
      <w:pPr>
        <w:rPr>
          <w:spacing w:val="-2"/>
        </w:rPr>
      </w:pPr>
    </w:p>
    <w:p w14:paraId="00412D37" w14:textId="77777777" w:rsidR="00D96A25" w:rsidRPr="00671E8F" w:rsidRDefault="00D96A25" w:rsidP="00B51BEB">
      <w:pPr>
        <w:rPr>
          <w:spacing w:val="-2"/>
        </w:rPr>
      </w:pPr>
    </w:p>
    <w:p w14:paraId="5F7039D2" w14:textId="77777777" w:rsidR="00D96A25" w:rsidRPr="00671E8F" w:rsidRDefault="00D96A25" w:rsidP="00B51BEB"/>
    <w:p w14:paraId="6F6718E3" w14:textId="77777777" w:rsidR="00D96A25" w:rsidRPr="00671E8F" w:rsidRDefault="00D96A25">
      <w:pPr>
        <w:jc w:val="left"/>
        <w:rPr>
          <w:rFonts w:ascii="Calibri" w:eastAsia="Calibri" w:hAnsi="Calibri" w:cs="Calibri"/>
          <w:color w:val="44546A"/>
        </w:rPr>
      </w:pPr>
      <w:r w:rsidRPr="00671E8F">
        <w:rPr>
          <w:rFonts w:ascii="Calibri" w:eastAsia="Calibri" w:hAnsi="Calibri" w:cs="Calibri"/>
          <w:color w:val="44546A"/>
        </w:rPr>
        <w:br w:type="page"/>
      </w:r>
    </w:p>
    <w:p w14:paraId="173F7141" w14:textId="77777777" w:rsidR="009367BB" w:rsidRPr="00671E8F" w:rsidRDefault="009367BB" w:rsidP="00953528">
      <w:pPr>
        <w:pStyle w:val="Heading1"/>
        <w:spacing w:after="160"/>
        <w:rPr>
          <w:rFonts w:asciiTheme="minorHAnsi" w:hAnsiTheme="minorHAnsi" w:cstheme="minorHAnsi"/>
          <w:color w:val="002060"/>
          <w:sz w:val="24"/>
          <w:szCs w:val="26"/>
        </w:rPr>
      </w:pPr>
      <w:bookmarkStart w:id="86" w:name="_Toc181190975"/>
      <w:bookmarkStart w:id="87" w:name="_Toc146277923"/>
      <w:bookmarkStart w:id="88" w:name="_Toc148431276"/>
      <w:bookmarkStart w:id="89" w:name="_Toc119654152"/>
      <w:bookmarkStart w:id="90" w:name="_Toc135994509"/>
      <w:bookmarkStart w:id="91" w:name="_Toc86923730"/>
      <w:bookmarkStart w:id="92" w:name="_Toc23342474"/>
      <w:bookmarkStart w:id="93" w:name="_Toc530635112"/>
      <w:r w:rsidRPr="00671E8F">
        <w:rPr>
          <w:rFonts w:asciiTheme="minorHAnsi" w:hAnsiTheme="minorHAnsi" w:cstheme="minorHAnsi"/>
          <w:color w:val="002060"/>
          <w:sz w:val="24"/>
          <w:szCs w:val="26"/>
        </w:rPr>
        <w:lastRenderedPageBreak/>
        <w:t>Прилог 1 – Пројекција основних макроекономских индикатора</w:t>
      </w:r>
      <w:bookmarkEnd w:id="86"/>
    </w:p>
    <w:tbl>
      <w:tblPr>
        <w:tblStyle w:val="TableGrid1"/>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8"/>
        <w:gridCol w:w="1129"/>
        <w:gridCol w:w="1131"/>
        <w:gridCol w:w="1129"/>
        <w:gridCol w:w="1123"/>
      </w:tblGrid>
      <w:tr w:rsidR="000D5CCA" w:rsidRPr="00671E8F" w14:paraId="5724EC58" w14:textId="77777777" w:rsidTr="00953528">
        <w:trPr>
          <w:trHeight w:val="551"/>
          <w:jc w:val="center"/>
        </w:trPr>
        <w:tc>
          <w:tcPr>
            <w:tcW w:w="2590" w:type="pct"/>
            <w:tcBorders>
              <w:top w:val="single" w:sz="4" w:space="0" w:color="002060"/>
              <w:bottom w:val="single" w:sz="4" w:space="0" w:color="002060"/>
            </w:tcBorders>
            <w:vAlign w:val="center"/>
            <w:hideMark/>
          </w:tcPr>
          <w:p w14:paraId="77E89709" w14:textId="77777777" w:rsidR="009367BB" w:rsidRPr="00671E8F" w:rsidRDefault="009367BB" w:rsidP="00953528">
            <w:pPr>
              <w:rPr>
                <w:rFonts w:eastAsia="Calibri" w:cstheme="minorHAnsi"/>
                <w:iCs/>
                <w:color w:val="002060"/>
                <w:sz w:val="18"/>
                <w:szCs w:val="18"/>
              </w:rPr>
            </w:pPr>
          </w:p>
        </w:tc>
        <w:tc>
          <w:tcPr>
            <w:tcW w:w="603" w:type="pct"/>
            <w:tcBorders>
              <w:top w:val="single" w:sz="4" w:space="0" w:color="002060"/>
              <w:bottom w:val="single" w:sz="4" w:space="0" w:color="002060"/>
            </w:tcBorders>
            <w:noWrap/>
            <w:vAlign w:val="center"/>
          </w:tcPr>
          <w:p w14:paraId="30F73EF7" w14:textId="77777777" w:rsidR="009367BB" w:rsidRPr="00671E8F" w:rsidRDefault="009367BB" w:rsidP="00953528">
            <w:pPr>
              <w:jc w:val="center"/>
              <w:rPr>
                <w:rFonts w:eastAsia="Calibri" w:cstheme="minorHAnsi"/>
                <w:iCs/>
                <w:color w:val="002060"/>
                <w:szCs w:val="18"/>
              </w:rPr>
            </w:pPr>
            <w:r w:rsidRPr="00671E8F">
              <w:rPr>
                <w:rFonts w:eastAsia="Calibri" w:cstheme="minorHAnsi"/>
                <w:iCs/>
                <w:color w:val="002060"/>
                <w:szCs w:val="18"/>
              </w:rPr>
              <w:t>2024</w:t>
            </w:r>
          </w:p>
        </w:tc>
        <w:tc>
          <w:tcPr>
            <w:tcW w:w="604" w:type="pct"/>
            <w:tcBorders>
              <w:top w:val="single" w:sz="4" w:space="0" w:color="002060"/>
              <w:bottom w:val="single" w:sz="4" w:space="0" w:color="002060"/>
            </w:tcBorders>
            <w:noWrap/>
            <w:vAlign w:val="center"/>
            <w:hideMark/>
          </w:tcPr>
          <w:p w14:paraId="1837459A" w14:textId="77777777" w:rsidR="009367BB" w:rsidRPr="00671E8F" w:rsidRDefault="009367BB" w:rsidP="00953528">
            <w:pPr>
              <w:jc w:val="center"/>
              <w:rPr>
                <w:rFonts w:eastAsia="Calibri" w:cstheme="minorHAnsi"/>
                <w:iCs/>
                <w:color w:val="002060"/>
                <w:sz w:val="18"/>
                <w:szCs w:val="18"/>
              </w:rPr>
            </w:pPr>
            <w:r w:rsidRPr="00671E8F">
              <w:rPr>
                <w:color w:val="002060"/>
              </w:rPr>
              <w:t>2025</w:t>
            </w:r>
          </w:p>
        </w:tc>
        <w:tc>
          <w:tcPr>
            <w:tcW w:w="603" w:type="pct"/>
            <w:tcBorders>
              <w:top w:val="single" w:sz="4" w:space="0" w:color="002060"/>
              <w:bottom w:val="single" w:sz="4" w:space="0" w:color="002060"/>
            </w:tcBorders>
            <w:noWrap/>
            <w:vAlign w:val="center"/>
            <w:hideMark/>
          </w:tcPr>
          <w:p w14:paraId="1B75DD72" w14:textId="77777777" w:rsidR="009367BB" w:rsidRPr="00671E8F" w:rsidRDefault="009367BB" w:rsidP="00953528">
            <w:pPr>
              <w:jc w:val="center"/>
              <w:rPr>
                <w:rFonts w:eastAsia="Calibri" w:cstheme="minorHAnsi"/>
                <w:iCs/>
                <w:color w:val="002060"/>
                <w:sz w:val="18"/>
                <w:szCs w:val="18"/>
              </w:rPr>
            </w:pPr>
            <w:r w:rsidRPr="00671E8F">
              <w:rPr>
                <w:color w:val="002060"/>
              </w:rPr>
              <w:t>2026</w:t>
            </w:r>
          </w:p>
        </w:tc>
        <w:tc>
          <w:tcPr>
            <w:tcW w:w="600" w:type="pct"/>
            <w:tcBorders>
              <w:top w:val="single" w:sz="4" w:space="0" w:color="002060"/>
              <w:bottom w:val="single" w:sz="4" w:space="0" w:color="002060"/>
            </w:tcBorders>
            <w:noWrap/>
            <w:vAlign w:val="center"/>
            <w:hideMark/>
          </w:tcPr>
          <w:p w14:paraId="13BD103F" w14:textId="77777777" w:rsidR="009367BB" w:rsidRPr="00671E8F" w:rsidRDefault="009367BB" w:rsidP="00953528">
            <w:pPr>
              <w:jc w:val="center"/>
              <w:rPr>
                <w:rFonts w:eastAsia="Calibri" w:cstheme="minorHAnsi"/>
                <w:iCs/>
                <w:color w:val="002060"/>
                <w:sz w:val="18"/>
                <w:szCs w:val="18"/>
              </w:rPr>
            </w:pPr>
            <w:r w:rsidRPr="00671E8F">
              <w:rPr>
                <w:color w:val="002060"/>
              </w:rPr>
              <w:t>2027</w:t>
            </w:r>
          </w:p>
        </w:tc>
      </w:tr>
      <w:tr w:rsidR="000D5CCA" w:rsidRPr="00671E8F" w14:paraId="539F24CD" w14:textId="77777777" w:rsidTr="009367BB">
        <w:trPr>
          <w:trHeight w:val="281"/>
          <w:jc w:val="center"/>
        </w:trPr>
        <w:tc>
          <w:tcPr>
            <w:tcW w:w="2590" w:type="pct"/>
            <w:tcBorders>
              <w:top w:val="single" w:sz="4" w:space="0" w:color="002060"/>
            </w:tcBorders>
            <w:noWrap/>
            <w:vAlign w:val="center"/>
            <w:hideMark/>
          </w:tcPr>
          <w:p w14:paraId="3E8BD34C" w14:textId="77777777" w:rsidR="000D5CCA" w:rsidRPr="00671E8F" w:rsidRDefault="000D5CCA" w:rsidP="000D5CCA">
            <w:pPr>
              <w:jc w:val="left"/>
              <w:rPr>
                <w:rFonts w:eastAsia="Calibri" w:cstheme="minorHAnsi"/>
                <w:color w:val="002060"/>
                <w:sz w:val="18"/>
                <w:szCs w:val="18"/>
              </w:rPr>
            </w:pPr>
            <w:r w:rsidRPr="00671E8F">
              <w:rPr>
                <w:rFonts w:eastAsia="Calibri" w:cstheme="minorHAnsi"/>
                <w:color w:val="002060"/>
                <w:sz w:val="18"/>
                <w:szCs w:val="18"/>
              </w:rPr>
              <w:t>Стопа реалног раста БДП, %</w:t>
            </w:r>
          </w:p>
        </w:tc>
        <w:tc>
          <w:tcPr>
            <w:tcW w:w="603" w:type="pct"/>
            <w:tcBorders>
              <w:top w:val="nil"/>
              <w:left w:val="nil"/>
              <w:bottom w:val="nil"/>
              <w:right w:val="nil"/>
            </w:tcBorders>
            <w:shd w:val="clear" w:color="auto" w:fill="auto"/>
            <w:noWrap/>
            <w:vAlign w:val="center"/>
          </w:tcPr>
          <w:p w14:paraId="1535D098" w14:textId="008B23C6"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3.8</w:t>
            </w:r>
          </w:p>
        </w:tc>
        <w:tc>
          <w:tcPr>
            <w:tcW w:w="604" w:type="pct"/>
            <w:tcBorders>
              <w:top w:val="nil"/>
              <w:left w:val="nil"/>
              <w:bottom w:val="nil"/>
              <w:right w:val="nil"/>
            </w:tcBorders>
            <w:shd w:val="clear" w:color="auto" w:fill="auto"/>
            <w:noWrap/>
            <w:vAlign w:val="center"/>
          </w:tcPr>
          <w:p w14:paraId="4C9023B8" w14:textId="0674082D"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4.2</w:t>
            </w:r>
          </w:p>
        </w:tc>
        <w:tc>
          <w:tcPr>
            <w:tcW w:w="603" w:type="pct"/>
            <w:tcBorders>
              <w:top w:val="nil"/>
              <w:left w:val="nil"/>
              <w:bottom w:val="nil"/>
              <w:right w:val="nil"/>
            </w:tcBorders>
            <w:shd w:val="clear" w:color="auto" w:fill="auto"/>
            <w:noWrap/>
            <w:vAlign w:val="center"/>
          </w:tcPr>
          <w:p w14:paraId="50B73524" w14:textId="0469E355"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4.0</w:t>
            </w:r>
          </w:p>
        </w:tc>
        <w:tc>
          <w:tcPr>
            <w:tcW w:w="600" w:type="pct"/>
            <w:tcBorders>
              <w:top w:val="nil"/>
              <w:left w:val="nil"/>
              <w:bottom w:val="nil"/>
              <w:right w:val="nil"/>
            </w:tcBorders>
            <w:shd w:val="clear" w:color="auto" w:fill="auto"/>
            <w:noWrap/>
            <w:vAlign w:val="center"/>
          </w:tcPr>
          <w:p w14:paraId="1F7E841E" w14:textId="3A2E25AE"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5.0</w:t>
            </w:r>
          </w:p>
        </w:tc>
      </w:tr>
      <w:tr w:rsidR="000D5CCA" w:rsidRPr="00671E8F" w14:paraId="6AFE6E44" w14:textId="77777777" w:rsidTr="009367BB">
        <w:trPr>
          <w:trHeight w:val="281"/>
          <w:jc w:val="center"/>
        </w:trPr>
        <w:tc>
          <w:tcPr>
            <w:tcW w:w="2590" w:type="pct"/>
            <w:noWrap/>
            <w:vAlign w:val="center"/>
            <w:hideMark/>
          </w:tcPr>
          <w:p w14:paraId="1B53A544" w14:textId="77777777" w:rsidR="000D5CCA" w:rsidRPr="00671E8F" w:rsidRDefault="000D5CCA" w:rsidP="000D5CCA">
            <w:pPr>
              <w:jc w:val="left"/>
              <w:rPr>
                <w:rFonts w:eastAsia="Calibri" w:cstheme="minorHAnsi"/>
                <w:bCs/>
                <w:color w:val="002060"/>
                <w:sz w:val="18"/>
                <w:szCs w:val="18"/>
              </w:rPr>
            </w:pPr>
            <w:r w:rsidRPr="00671E8F">
              <w:rPr>
                <w:rFonts w:eastAsia="Calibri" w:cstheme="minorHAnsi"/>
                <w:color w:val="002060"/>
                <w:sz w:val="18"/>
                <w:szCs w:val="18"/>
              </w:rPr>
              <w:t>БДП у текућим тржишним ценама (у млрд динара)</w:t>
            </w:r>
          </w:p>
        </w:tc>
        <w:tc>
          <w:tcPr>
            <w:tcW w:w="603" w:type="pct"/>
            <w:tcBorders>
              <w:top w:val="nil"/>
              <w:left w:val="nil"/>
              <w:bottom w:val="nil"/>
              <w:right w:val="nil"/>
            </w:tcBorders>
            <w:shd w:val="clear" w:color="auto" w:fill="auto"/>
            <w:noWrap/>
            <w:vAlign w:val="center"/>
          </w:tcPr>
          <w:p w14:paraId="72F7DE8B" w14:textId="19856F0E"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9,604.8</w:t>
            </w:r>
          </w:p>
        </w:tc>
        <w:tc>
          <w:tcPr>
            <w:tcW w:w="604" w:type="pct"/>
            <w:tcBorders>
              <w:top w:val="nil"/>
              <w:left w:val="nil"/>
              <w:bottom w:val="nil"/>
              <w:right w:val="nil"/>
            </w:tcBorders>
            <w:shd w:val="clear" w:color="auto" w:fill="auto"/>
            <w:noWrap/>
            <w:vAlign w:val="center"/>
          </w:tcPr>
          <w:p w14:paraId="2A216738" w14:textId="7EACF28D"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10,328.9</w:t>
            </w:r>
          </w:p>
        </w:tc>
        <w:tc>
          <w:tcPr>
            <w:tcW w:w="603" w:type="pct"/>
            <w:tcBorders>
              <w:top w:val="nil"/>
              <w:left w:val="nil"/>
              <w:bottom w:val="nil"/>
              <w:right w:val="nil"/>
            </w:tcBorders>
            <w:shd w:val="clear" w:color="auto" w:fill="auto"/>
            <w:noWrap/>
            <w:vAlign w:val="center"/>
          </w:tcPr>
          <w:p w14:paraId="5E819866" w14:textId="39812A7C"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11,087.6</w:t>
            </w:r>
          </w:p>
        </w:tc>
        <w:tc>
          <w:tcPr>
            <w:tcW w:w="600" w:type="pct"/>
            <w:tcBorders>
              <w:top w:val="nil"/>
              <w:left w:val="nil"/>
              <w:bottom w:val="nil"/>
              <w:right w:val="nil"/>
            </w:tcBorders>
            <w:shd w:val="clear" w:color="auto" w:fill="auto"/>
            <w:noWrap/>
            <w:vAlign w:val="center"/>
          </w:tcPr>
          <w:p w14:paraId="2CC05EB7" w14:textId="76180021" w:rsidR="000D5CCA" w:rsidRPr="00671E8F" w:rsidRDefault="000D5CCA" w:rsidP="000D5CCA">
            <w:pPr>
              <w:jc w:val="center"/>
              <w:rPr>
                <w:rFonts w:cstheme="minorHAnsi"/>
                <w:color w:val="002060"/>
                <w:sz w:val="18"/>
                <w:szCs w:val="18"/>
              </w:rPr>
            </w:pPr>
            <w:r w:rsidRPr="00671E8F">
              <w:rPr>
                <w:rFonts w:ascii="Calibri" w:hAnsi="Calibri" w:cs="Calibri"/>
                <w:color w:val="002060"/>
                <w:sz w:val="18"/>
                <w:szCs w:val="18"/>
              </w:rPr>
              <w:t>11,993.1</w:t>
            </w:r>
          </w:p>
        </w:tc>
      </w:tr>
      <w:tr w:rsidR="000D5CCA" w:rsidRPr="00671E8F" w14:paraId="7563C044" w14:textId="77777777" w:rsidTr="009367BB">
        <w:trPr>
          <w:trHeight w:val="281"/>
          <w:jc w:val="center"/>
        </w:trPr>
        <w:tc>
          <w:tcPr>
            <w:tcW w:w="2590" w:type="pct"/>
            <w:shd w:val="clear" w:color="auto" w:fill="E7E6E6" w:themeFill="background2"/>
            <w:noWrap/>
            <w:vAlign w:val="center"/>
            <w:hideMark/>
          </w:tcPr>
          <w:p w14:paraId="3DD91419" w14:textId="77777777" w:rsidR="000D5CCA" w:rsidRPr="00671E8F" w:rsidRDefault="000D5CCA" w:rsidP="000D5CCA">
            <w:pPr>
              <w:jc w:val="left"/>
              <w:rPr>
                <w:rFonts w:eastAsia="Calibri" w:cstheme="minorHAnsi"/>
                <w:bCs/>
                <w:color w:val="002060"/>
                <w:sz w:val="18"/>
                <w:szCs w:val="18"/>
              </w:rPr>
            </w:pPr>
            <w:r w:rsidRPr="00671E8F">
              <w:rPr>
                <w:rFonts w:eastAsia="Calibri" w:cstheme="minorHAnsi"/>
                <w:iCs/>
                <w:color w:val="002060"/>
                <w:sz w:val="18"/>
                <w:szCs w:val="18"/>
              </w:rPr>
              <w:t xml:space="preserve">Извори раста: процентне промене у </w:t>
            </w:r>
            <w:r w:rsidRPr="00671E8F">
              <w:rPr>
                <w:rFonts w:eastAsia="Calibri" w:cstheme="minorHAnsi"/>
                <w:bCs/>
                <w:iCs/>
                <w:color w:val="002060"/>
                <w:sz w:val="18"/>
                <w:szCs w:val="18"/>
              </w:rPr>
              <w:t>сталним</w:t>
            </w:r>
            <w:r w:rsidRPr="00671E8F">
              <w:rPr>
                <w:rFonts w:eastAsia="Calibri" w:cstheme="minorHAnsi"/>
                <w:iCs/>
                <w:color w:val="002060"/>
                <w:sz w:val="18"/>
                <w:szCs w:val="18"/>
              </w:rPr>
              <w:t xml:space="preserve"> ценама</w:t>
            </w:r>
          </w:p>
        </w:tc>
        <w:tc>
          <w:tcPr>
            <w:tcW w:w="603" w:type="pct"/>
            <w:tcBorders>
              <w:top w:val="nil"/>
              <w:left w:val="nil"/>
              <w:bottom w:val="nil"/>
              <w:right w:val="nil"/>
            </w:tcBorders>
            <w:shd w:val="clear" w:color="000000" w:fill="E7E6E6"/>
            <w:vAlign w:val="center"/>
          </w:tcPr>
          <w:p w14:paraId="4BE4E46A" w14:textId="08F30F48"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vAlign w:val="center"/>
          </w:tcPr>
          <w:p w14:paraId="271B8E7A" w14:textId="19A0E2F7"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vAlign w:val="center"/>
          </w:tcPr>
          <w:p w14:paraId="67359B3C" w14:textId="639BD75A"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vAlign w:val="center"/>
          </w:tcPr>
          <w:p w14:paraId="0E91407D" w14:textId="0BE0402A"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r>
      <w:tr w:rsidR="000D5CCA" w:rsidRPr="00671E8F" w14:paraId="553332C4" w14:textId="77777777" w:rsidTr="009367BB">
        <w:trPr>
          <w:trHeight w:val="281"/>
          <w:jc w:val="center"/>
        </w:trPr>
        <w:tc>
          <w:tcPr>
            <w:tcW w:w="2590" w:type="pct"/>
            <w:noWrap/>
            <w:vAlign w:val="center"/>
            <w:hideMark/>
          </w:tcPr>
          <w:p w14:paraId="0ED3EE23"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Лична потрошња</w:t>
            </w:r>
          </w:p>
        </w:tc>
        <w:tc>
          <w:tcPr>
            <w:tcW w:w="603" w:type="pct"/>
            <w:tcBorders>
              <w:top w:val="nil"/>
              <w:left w:val="nil"/>
              <w:bottom w:val="nil"/>
              <w:right w:val="nil"/>
            </w:tcBorders>
            <w:shd w:val="clear" w:color="auto" w:fill="auto"/>
            <w:noWrap/>
            <w:vAlign w:val="center"/>
          </w:tcPr>
          <w:p w14:paraId="73636AE3" w14:textId="6634F709" w:rsidR="000D5CCA" w:rsidRPr="00671E8F" w:rsidRDefault="000D5CCA" w:rsidP="000D5CCA">
            <w:pPr>
              <w:jc w:val="center"/>
              <w:rPr>
                <w:color w:val="002060"/>
                <w:sz w:val="18"/>
              </w:rPr>
            </w:pPr>
            <w:r w:rsidRPr="00671E8F">
              <w:rPr>
                <w:rFonts w:ascii="Calibri" w:hAnsi="Calibri" w:cs="Calibri"/>
                <w:color w:val="002060"/>
                <w:sz w:val="18"/>
                <w:szCs w:val="18"/>
              </w:rPr>
              <w:t>4.5</w:t>
            </w:r>
          </w:p>
        </w:tc>
        <w:tc>
          <w:tcPr>
            <w:tcW w:w="604" w:type="pct"/>
            <w:tcBorders>
              <w:top w:val="nil"/>
              <w:left w:val="nil"/>
              <w:bottom w:val="nil"/>
              <w:right w:val="nil"/>
            </w:tcBorders>
            <w:shd w:val="clear" w:color="auto" w:fill="auto"/>
            <w:noWrap/>
            <w:vAlign w:val="center"/>
          </w:tcPr>
          <w:p w14:paraId="48086CD1" w14:textId="2F26A98D" w:rsidR="000D5CCA" w:rsidRPr="00671E8F" w:rsidRDefault="000D5CCA" w:rsidP="000D5CCA">
            <w:pPr>
              <w:jc w:val="center"/>
              <w:rPr>
                <w:color w:val="002060"/>
                <w:sz w:val="18"/>
              </w:rPr>
            </w:pPr>
            <w:r w:rsidRPr="00671E8F">
              <w:rPr>
                <w:rFonts w:ascii="Calibri" w:hAnsi="Calibri" w:cs="Calibri"/>
                <w:color w:val="002060"/>
                <w:sz w:val="18"/>
                <w:szCs w:val="18"/>
              </w:rPr>
              <w:t>4.1</w:t>
            </w:r>
          </w:p>
        </w:tc>
        <w:tc>
          <w:tcPr>
            <w:tcW w:w="603" w:type="pct"/>
            <w:tcBorders>
              <w:top w:val="nil"/>
              <w:left w:val="nil"/>
              <w:bottom w:val="nil"/>
              <w:right w:val="nil"/>
            </w:tcBorders>
            <w:shd w:val="clear" w:color="auto" w:fill="auto"/>
            <w:noWrap/>
            <w:vAlign w:val="center"/>
          </w:tcPr>
          <w:p w14:paraId="06436C90" w14:textId="25A43BB3" w:rsidR="000D5CCA" w:rsidRPr="00671E8F" w:rsidRDefault="000D5CCA" w:rsidP="000D5CCA">
            <w:pPr>
              <w:jc w:val="center"/>
              <w:rPr>
                <w:color w:val="002060"/>
                <w:sz w:val="18"/>
              </w:rPr>
            </w:pPr>
            <w:r w:rsidRPr="00671E8F">
              <w:rPr>
                <w:rFonts w:ascii="Calibri" w:hAnsi="Calibri" w:cs="Calibri"/>
                <w:color w:val="002060"/>
                <w:sz w:val="18"/>
                <w:szCs w:val="18"/>
              </w:rPr>
              <w:t>3.2</w:t>
            </w:r>
          </w:p>
        </w:tc>
        <w:tc>
          <w:tcPr>
            <w:tcW w:w="600" w:type="pct"/>
            <w:tcBorders>
              <w:top w:val="nil"/>
              <w:left w:val="nil"/>
              <w:bottom w:val="nil"/>
              <w:right w:val="nil"/>
            </w:tcBorders>
            <w:shd w:val="clear" w:color="auto" w:fill="auto"/>
            <w:noWrap/>
            <w:vAlign w:val="center"/>
          </w:tcPr>
          <w:p w14:paraId="63A89399" w14:textId="2948A2E2" w:rsidR="000D5CCA" w:rsidRPr="00671E8F" w:rsidRDefault="000D5CCA" w:rsidP="000D5CCA">
            <w:pPr>
              <w:jc w:val="center"/>
              <w:rPr>
                <w:color w:val="002060"/>
                <w:sz w:val="18"/>
              </w:rPr>
            </w:pPr>
            <w:r w:rsidRPr="00671E8F">
              <w:rPr>
                <w:rFonts w:ascii="Calibri" w:hAnsi="Calibri" w:cs="Calibri"/>
                <w:color w:val="002060"/>
                <w:sz w:val="18"/>
                <w:szCs w:val="18"/>
              </w:rPr>
              <w:t>2.9</w:t>
            </w:r>
          </w:p>
        </w:tc>
      </w:tr>
      <w:tr w:rsidR="000D5CCA" w:rsidRPr="00671E8F" w14:paraId="2459D9C1" w14:textId="77777777" w:rsidTr="009367BB">
        <w:trPr>
          <w:trHeight w:val="281"/>
          <w:jc w:val="center"/>
        </w:trPr>
        <w:tc>
          <w:tcPr>
            <w:tcW w:w="2590" w:type="pct"/>
            <w:noWrap/>
            <w:vAlign w:val="center"/>
            <w:hideMark/>
          </w:tcPr>
          <w:p w14:paraId="282F6F68"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Државна потрошња</w:t>
            </w:r>
          </w:p>
        </w:tc>
        <w:tc>
          <w:tcPr>
            <w:tcW w:w="603" w:type="pct"/>
            <w:tcBorders>
              <w:top w:val="nil"/>
              <w:left w:val="nil"/>
              <w:bottom w:val="nil"/>
              <w:right w:val="nil"/>
            </w:tcBorders>
            <w:shd w:val="clear" w:color="auto" w:fill="auto"/>
            <w:noWrap/>
            <w:vAlign w:val="center"/>
          </w:tcPr>
          <w:p w14:paraId="3ED1B954" w14:textId="4CE7166B" w:rsidR="000D5CCA" w:rsidRPr="00671E8F" w:rsidRDefault="000D5CCA" w:rsidP="000D5CCA">
            <w:pPr>
              <w:jc w:val="center"/>
              <w:rPr>
                <w:color w:val="002060"/>
                <w:sz w:val="18"/>
              </w:rPr>
            </w:pPr>
            <w:r w:rsidRPr="00671E8F">
              <w:rPr>
                <w:rFonts w:ascii="Calibri" w:hAnsi="Calibri" w:cs="Calibri"/>
                <w:color w:val="002060"/>
                <w:sz w:val="18"/>
                <w:szCs w:val="18"/>
              </w:rPr>
              <w:t>3.1</w:t>
            </w:r>
          </w:p>
        </w:tc>
        <w:tc>
          <w:tcPr>
            <w:tcW w:w="604" w:type="pct"/>
            <w:tcBorders>
              <w:top w:val="nil"/>
              <w:left w:val="nil"/>
              <w:bottom w:val="nil"/>
              <w:right w:val="nil"/>
            </w:tcBorders>
            <w:shd w:val="clear" w:color="auto" w:fill="auto"/>
            <w:noWrap/>
            <w:vAlign w:val="center"/>
          </w:tcPr>
          <w:p w14:paraId="0EBFAF79" w14:textId="26C36210" w:rsidR="000D5CCA" w:rsidRPr="00671E8F" w:rsidRDefault="000D5CCA" w:rsidP="000D5CCA">
            <w:pPr>
              <w:jc w:val="center"/>
              <w:rPr>
                <w:color w:val="002060"/>
                <w:sz w:val="18"/>
              </w:rPr>
            </w:pPr>
            <w:r w:rsidRPr="00671E8F">
              <w:rPr>
                <w:rFonts w:ascii="Calibri" w:hAnsi="Calibri" w:cs="Calibri"/>
                <w:color w:val="002060"/>
                <w:sz w:val="18"/>
                <w:szCs w:val="18"/>
              </w:rPr>
              <w:t>2.2</w:t>
            </w:r>
          </w:p>
        </w:tc>
        <w:tc>
          <w:tcPr>
            <w:tcW w:w="603" w:type="pct"/>
            <w:tcBorders>
              <w:top w:val="nil"/>
              <w:left w:val="nil"/>
              <w:bottom w:val="nil"/>
              <w:right w:val="nil"/>
            </w:tcBorders>
            <w:shd w:val="clear" w:color="auto" w:fill="auto"/>
            <w:noWrap/>
            <w:vAlign w:val="center"/>
          </w:tcPr>
          <w:p w14:paraId="6ABB7445" w14:textId="7F757137" w:rsidR="000D5CCA" w:rsidRPr="00671E8F" w:rsidRDefault="000D5CCA" w:rsidP="000D5CCA">
            <w:pPr>
              <w:jc w:val="center"/>
              <w:rPr>
                <w:color w:val="002060"/>
                <w:sz w:val="18"/>
              </w:rPr>
            </w:pPr>
            <w:r w:rsidRPr="00671E8F">
              <w:rPr>
                <w:rFonts w:ascii="Calibri" w:hAnsi="Calibri" w:cs="Calibri"/>
                <w:color w:val="002060"/>
                <w:sz w:val="18"/>
                <w:szCs w:val="18"/>
              </w:rPr>
              <w:t>2.2</w:t>
            </w:r>
          </w:p>
        </w:tc>
        <w:tc>
          <w:tcPr>
            <w:tcW w:w="600" w:type="pct"/>
            <w:tcBorders>
              <w:top w:val="nil"/>
              <w:left w:val="nil"/>
              <w:bottom w:val="nil"/>
              <w:right w:val="nil"/>
            </w:tcBorders>
            <w:shd w:val="clear" w:color="auto" w:fill="auto"/>
            <w:noWrap/>
            <w:vAlign w:val="center"/>
          </w:tcPr>
          <w:p w14:paraId="34686790" w14:textId="30D88DDB" w:rsidR="000D5CCA" w:rsidRPr="00671E8F" w:rsidRDefault="000D5CCA" w:rsidP="000D5CCA">
            <w:pPr>
              <w:jc w:val="center"/>
              <w:rPr>
                <w:color w:val="002060"/>
                <w:sz w:val="18"/>
              </w:rPr>
            </w:pPr>
            <w:r w:rsidRPr="00671E8F">
              <w:rPr>
                <w:rFonts w:ascii="Calibri" w:hAnsi="Calibri" w:cs="Calibri"/>
                <w:color w:val="002060"/>
                <w:sz w:val="18"/>
                <w:szCs w:val="18"/>
              </w:rPr>
              <w:t>2.0</w:t>
            </w:r>
          </w:p>
        </w:tc>
      </w:tr>
      <w:tr w:rsidR="000D5CCA" w:rsidRPr="00671E8F" w14:paraId="76F1EE49" w14:textId="77777777" w:rsidTr="009367BB">
        <w:trPr>
          <w:trHeight w:val="281"/>
          <w:jc w:val="center"/>
        </w:trPr>
        <w:tc>
          <w:tcPr>
            <w:tcW w:w="2590" w:type="pct"/>
            <w:noWrap/>
            <w:vAlign w:val="center"/>
            <w:hideMark/>
          </w:tcPr>
          <w:p w14:paraId="26037DCF"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Инвестиције у основна средства</w:t>
            </w:r>
          </w:p>
        </w:tc>
        <w:tc>
          <w:tcPr>
            <w:tcW w:w="603" w:type="pct"/>
            <w:tcBorders>
              <w:top w:val="nil"/>
              <w:left w:val="nil"/>
              <w:bottom w:val="nil"/>
              <w:right w:val="nil"/>
            </w:tcBorders>
            <w:shd w:val="clear" w:color="auto" w:fill="auto"/>
            <w:noWrap/>
            <w:vAlign w:val="center"/>
          </w:tcPr>
          <w:p w14:paraId="6EFE269E" w14:textId="2CB9AB4F" w:rsidR="000D5CCA" w:rsidRPr="00671E8F" w:rsidRDefault="000D5CCA" w:rsidP="000D5CCA">
            <w:pPr>
              <w:jc w:val="center"/>
              <w:rPr>
                <w:color w:val="002060"/>
                <w:sz w:val="18"/>
              </w:rPr>
            </w:pPr>
            <w:r w:rsidRPr="00671E8F">
              <w:rPr>
                <w:rFonts w:ascii="Calibri" w:hAnsi="Calibri" w:cs="Calibri"/>
                <w:color w:val="002060"/>
                <w:sz w:val="18"/>
                <w:szCs w:val="18"/>
              </w:rPr>
              <w:t>9.2</w:t>
            </w:r>
          </w:p>
        </w:tc>
        <w:tc>
          <w:tcPr>
            <w:tcW w:w="604" w:type="pct"/>
            <w:tcBorders>
              <w:top w:val="nil"/>
              <w:left w:val="nil"/>
              <w:bottom w:val="nil"/>
              <w:right w:val="nil"/>
            </w:tcBorders>
            <w:shd w:val="clear" w:color="auto" w:fill="auto"/>
            <w:noWrap/>
            <w:vAlign w:val="center"/>
          </w:tcPr>
          <w:p w14:paraId="271C72FC" w14:textId="61B304A6" w:rsidR="000D5CCA" w:rsidRPr="00671E8F" w:rsidRDefault="000D5CCA" w:rsidP="000D5CCA">
            <w:pPr>
              <w:jc w:val="center"/>
              <w:rPr>
                <w:color w:val="002060"/>
                <w:sz w:val="18"/>
              </w:rPr>
            </w:pPr>
            <w:r w:rsidRPr="00671E8F">
              <w:rPr>
                <w:rFonts w:ascii="Calibri" w:hAnsi="Calibri" w:cs="Calibri"/>
                <w:color w:val="002060"/>
                <w:sz w:val="18"/>
                <w:szCs w:val="18"/>
              </w:rPr>
              <w:t>7.7</w:t>
            </w:r>
          </w:p>
        </w:tc>
        <w:tc>
          <w:tcPr>
            <w:tcW w:w="603" w:type="pct"/>
            <w:tcBorders>
              <w:top w:val="nil"/>
              <w:left w:val="nil"/>
              <w:bottom w:val="nil"/>
              <w:right w:val="nil"/>
            </w:tcBorders>
            <w:shd w:val="clear" w:color="auto" w:fill="auto"/>
            <w:noWrap/>
            <w:vAlign w:val="center"/>
          </w:tcPr>
          <w:p w14:paraId="0974037E" w14:textId="7190DD50" w:rsidR="000D5CCA" w:rsidRPr="00671E8F" w:rsidRDefault="000D5CCA" w:rsidP="000D5CCA">
            <w:pPr>
              <w:jc w:val="center"/>
              <w:rPr>
                <w:color w:val="002060"/>
                <w:sz w:val="18"/>
              </w:rPr>
            </w:pPr>
            <w:r w:rsidRPr="00671E8F">
              <w:rPr>
                <w:rFonts w:ascii="Calibri" w:hAnsi="Calibri" w:cs="Calibri"/>
                <w:color w:val="002060"/>
                <w:sz w:val="18"/>
                <w:szCs w:val="18"/>
              </w:rPr>
              <w:t>7.5</w:t>
            </w:r>
          </w:p>
        </w:tc>
        <w:tc>
          <w:tcPr>
            <w:tcW w:w="600" w:type="pct"/>
            <w:tcBorders>
              <w:top w:val="nil"/>
              <w:left w:val="nil"/>
              <w:bottom w:val="nil"/>
              <w:right w:val="nil"/>
            </w:tcBorders>
            <w:shd w:val="clear" w:color="auto" w:fill="auto"/>
            <w:noWrap/>
            <w:vAlign w:val="center"/>
          </w:tcPr>
          <w:p w14:paraId="42B6B95D" w14:textId="259A5EC0" w:rsidR="000D5CCA" w:rsidRPr="00671E8F" w:rsidRDefault="000D5CCA" w:rsidP="000D5CCA">
            <w:pPr>
              <w:jc w:val="center"/>
              <w:rPr>
                <w:color w:val="002060"/>
                <w:sz w:val="18"/>
              </w:rPr>
            </w:pPr>
            <w:r w:rsidRPr="00671E8F">
              <w:rPr>
                <w:rFonts w:ascii="Calibri" w:hAnsi="Calibri" w:cs="Calibri"/>
                <w:color w:val="002060"/>
                <w:sz w:val="18"/>
                <w:szCs w:val="18"/>
              </w:rPr>
              <w:t>7.0</w:t>
            </w:r>
          </w:p>
        </w:tc>
      </w:tr>
      <w:tr w:rsidR="000D5CCA" w:rsidRPr="00671E8F" w14:paraId="61CB4432" w14:textId="77777777" w:rsidTr="009367BB">
        <w:trPr>
          <w:trHeight w:val="281"/>
          <w:jc w:val="center"/>
        </w:trPr>
        <w:tc>
          <w:tcPr>
            <w:tcW w:w="2590" w:type="pct"/>
            <w:noWrap/>
            <w:vAlign w:val="center"/>
            <w:hideMark/>
          </w:tcPr>
          <w:p w14:paraId="3A4F6DFE"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Извоз робе и услуга</w:t>
            </w:r>
          </w:p>
        </w:tc>
        <w:tc>
          <w:tcPr>
            <w:tcW w:w="603" w:type="pct"/>
            <w:tcBorders>
              <w:top w:val="nil"/>
              <w:left w:val="nil"/>
              <w:bottom w:val="nil"/>
              <w:right w:val="nil"/>
            </w:tcBorders>
            <w:shd w:val="clear" w:color="auto" w:fill="auto"/>
            <w:noWrap/>
            <w:vAlign w:val="center"/>
          </w:tcPr>
          <w:p w14:paraId="143B6C56" w14:textId="4450FC3B" w:rsidR="000D5CCA" w:rsidRPr="00671E8F" w:rsidRDefault="000D5CCA" w:rsidP="000D5CCA">
            <w:pPr>
              <w:jc w:val="center"/>
              <w:rPr>
                <w:color w:val="002060"/>
                <w:sz w:val="18"/>
              </w:rPr>
            </w:pPr>
            <w:r w:rsidRPr="00671E8F">
              <w:rPr>
                <w:rFonts w:ascii="Calibri" w:hAnsi="Calibri" w:cs="Calibri"/>
                <w:color w:val="002060"/>
                <w:sz w:val="18"/>
                <w:szCs w:val="18"/>
              </w:rPr>
              <w:t>4.4</w:t>
            </w:r>
          </w:p>
        </w:tc>
        <w:tc>
          <w:tcPr>
            <w:tcW w:w="604" w:type="pct"/>
            <w:tcBorders>
              <w:top w:val="nil"/>
              <w:left w:val="nil"/>
              <w:bottom w:val="nil"/>
              <w:right w:val="nil"/>
            </w:tcBorders>
            <w:shd w:val="clear" w:color="auto" w:fill="auto"/>
            <w:noWrap/>
            <w:vAlign w:val="center"/>
          </w:tcPr>
          <w:p w14:paraId="46B7E886" w14:textId="190938D3" w:rsidR="000D5CCA" w:rsidRPr="00671E8F" w:rsidRDefault="000D5CCA" w:rsidP="000D5CCA">
            <w:pPr>
              <w:jc w:val="center"/>
              <w:rPr>
                <w:color w:val="002060"/>
                <w:sz w:val="18"/>
              </w:rPr>
            </w:pPr>
            <w:r w:rsidRPr="00671E8F">
              <w:rPr>
                <w:rFonts w:ascii="Calibri" w:hAnsi="Calibri" w:cs="Calibri"/>
                <w:color w:val="002060"/>
                <w:sz w:val="18"/>
                <w:szCs w:val="18"/>
              </w:rPr>
              <w:t>5.9</w:t>
            </w:r>
          </w:p>
        </w:tc>
        <w:tc>
          <w:tcPr>
            <w:tcW w:w="603" w:type="pct"/>
            <w:tcBorders>
              <w:top w:val="nil"/>
              <w:left w:val="nil"/>
              <w:bottom w:val="nil"/>
              <w:right w:val="nil"/>
            </w:tcBorders>
            <w:shd w:val="clear" w:color="auto" w:fill="auto"/>
            <w:noWrap/>
            <w:vAlign w:val="center"/>
          </w:tcPr>
          <w:p w14:paraId="186028E2" w14:textId="4DE3BA8A" w:rsidR="000D5CCA" w:rsidRPr="00671E8F" w:rsidRDefault="000D5CCA" w:rsidP="000D5CCA">
            <w:pPr>
              <w:jc w:val="center"/>
              <w:rPr>
                <w:color w:val="002060"/>
                <w:sz w:val="18"/>
              </w:rPr>
            </w:pPr>
            <w:r w:rsidRPr="00671E8F">
              <w:rPr>
                <w:rFonts w:ascii="Calibri" w:hAnsi="Calibri" w:cs="Calibri"/>
                <w:color w:val="002060"/>
                <w:sz w:val="18"/>
                <w:szCs w:val="18"/>
              </w:rPr>
              <w:t>6.9</w:t>
            </w:r>
          </w:p>
        </w:tc>
        <w:tc>
          <w:tcPr>
            <w:tcW w:w="600" w:type="pct"/>
            <w:tcBorders>
              <w:top w:val="nil"/>
              <w:left w:val="nil"/>
              <w:bottom w:val="nil"/>
              <w:right w:val="nil"/>
            </w:tcBorders>
            <w:shd w:val="clear" w:color="auto" w:fill="auto"/>
            <w:noWrap/>
            <w:vAlign w:val="center"/>
          </w:tcPr>
          <w:p w14:paraId="3C0D3587" w14:textId="7D1947AE" w:rsidR="000D5CCA" w:rsidRPr="00671E8F" w:rsidRDefault="000D5CCA" w:rsidP="000D5CCA">
            <w:pPr>
              <w:jc w:val="center"/>
              <w:rPr>
                <w:color w:val="002060"/>
                <w:sz w:val="18"/>
              </w:rPr>
            </w:pPr>
            <w:r w:rsidRPr="00671E8F">
              <w:rPr>
                <w:rFonts w:ascii="Calibri" w:hAnsi="Calibri" w:cs="Calibri"/>
                <w:color w:val="002060"/>
                <w:sz w:val="18"/>
                <w:szCs w:val="18"/>
              </w:rPr>
              <w:t>9.9</w:t>
            </w:r>
          </w:p>
        </w:tc>
      </w:tr>
      <w:tr w:rsidR="000D5CCA" w:rsidRPr="00671E8F" w14:paraId="2DC1C6BC" w14:textId="77777777" w:rsidTr="009367BB">
        <w:trPr>
          <w:trHeight w:val="281"/>
          <w:jc w:val="center"/>
        </w:trPr>
        <w:tc>
          <w:tcPr>
            <w:tcW w:w="2590" w:type="pct"/>
            <w:noWrap/>
            <w:vAlign w:val="center"/>
          </w:tcPr>
          <w:p w14:paraId="4E042F4B"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bCs/>
                <w:color w:val="002060"/>
                <w:sz w:val="18"/>
                <w:szCs w:val="18"/>
              </w:rPr>
              <w:t>Увоз робе и услуга</w:t>
            </w:r>
          </w:p>
        </w:tc>
        <w:tc>
          <w:tcPr>
            <w:tcW w:w="603" w:type="pct"/>
            <w:tcBorders>
              <w:top w:val="nil"/>
              <w:left w:val="nil"/>
              <w:bottom w:val="nil"/>
              <w:right w:val="nil"/>
            </w:tcBorders>
            <w:shd w:val="clear" w:color="auto" w:fill="auto"/>
            <w:noWrap/>
            <w:vAlign w:val="center"/>
          </w:tcPr>
          <w:p w14:paraId="11973720" w14:textId="1EE32B96" w:rsidR="000D5CCA" w:rsidRPr="00671E8F" w:rsidRDefault="000D5CCA" w:rsidP="000D5CCA">
            <w:pPr>
              <w:jc w:val="center"/>
              <w:rPr>
                <w:color w:val="002060"/>
                <w:sz w:val="18"/>
              </w:rPr>
            </w:pPr>
            <w:r w:rsidRPr="00671E8F">
              <w:rPr>
                <w:rFonts w:ascii="Calibri" w:hAnsi="Calibri" w:cs="Calibri"/>
                <w:color w:val="002060"/>
                <w:sz w:val="18"/>
                <w:szCs w:val="18"/>
              </w:rPr>
              <w:t>8.0</w:t>
            </w:r>
          </w:p>
        </w:tc>
        <w:tc>
          <w:tcPr>
            <w:tcW w:w="604" w:type="pct"/>
            <w:tcBorders>
              <w:top w:val="nil"/>
              <w:left w:val="nil"/>
              <w:bottom w:val="nil"/>
              <w:right w:val="nil"/>
            </w:tcBorders>
            <w:shd w:val="clear" w:color="auto" w:fill="auto"/>
            <w:noWrap/>
            <w:vAlign w:val="center"/>
          </w:tcPr>
          <w:p w14:paraId="712A8929" w14:textId="3F01D264" w:rsidR="000D5CCA" w:rsidRPr="00671E8F" w:rsidRDefault="000D5CCA" w:rsidP="000D5CCA">
            <w:pPr>
              <w:jc w:val="center"/>
              <w:rPr>
                <w:color w:val="002060"/>
                <w:sz w:val="18"/>
              </w:rPr>
            </w:pPr>
            <w:r w:rsidRPr="00671E8F">
              <w:rPr>
                <w:rFonts w:ascii="Calibri" w:hAnsi="Calibri" w:cs="Calibri"/>
                <w:color w:val="002060"/>
                <w:sz w:val="18"/>
                <w:szCs w:val="18"/>
              </w:rPr>
              <w:t>6.5</w:t>
            </w:r>
          </w:p>
        </w:tc>
        <w:tc>
          <w:tcPr>
            <w:tcW w:w="603" w:type="pct"/>
            <w:tcBorders>
              <w:top w:val="nil"/>
              <w:left w:val="nil"/>
              <w:bottom w:val="nil"/>
              <w:right w:val="nil"/>
            </w:tcBorders>
            <w:shd w:val="clear" w:color="auto" w:fill="auto"/>
            <w:noWrap/>
            <w:vAlign w:val="center"/>
          </w:tcPr>
          <w:p w14:paraId="07DCCF20" w14:textId="1418870C" w:rsidR="000D5CCA" w:rsidRPr="00671E8F" w:rsidRDefault="000D5CCA" w:rsidP="000D5CCA">
            <w:pPr>
              <w:jc w:val="center"/>
              <w:rPr>
                <w:color w:val="002060"/>
                <w:sz w:val="18"/>
              </w:rPr>
            </w:pPr>
            <w:r w:rsidRPr="00671E8F">
              <w:rPr>
                <w:rFonts w:ascii="Calibri" w:hAnsi="Calibri" w:cs="Calibri"/>
                <w:color w:val="002060"/>
                <w:sz w:val="18"/>
                <w:szCs w:val="18"/>
              </w:rPr>
              <w:t>6.8</w:t>
            </w:r>
          </w:p>
        </w:tc>
        <w:tc>
          <w:tcPr>
            <w:tcW w:w="600" w:type="pct"/>
            <w:tcBorders>
              <w:top w:val="nil"/>
              <w:left w:val="nil"/>
              <w:bottom w:val="nil"/>
              <w:right w:val="nil"/>
            </w:tcBorders>
            <w:shd w:val="clear" w:color="auto" w:fill="auto"/>
            <w:noWrap/>
            <w:vAlign w:val="center"/>
          </w:tcPr>
          <w:p w14:paraId="3D02C163" w14:textId="32D05E90" w:rsidR="000D5CCA" w:rsidRPr="00671E8F" w:rsidRDefault="000D5CCA" w:rsidP="000D5CCA">
            <w:pPr>
              <w:jc w:val="center"/>
              <w:rPr>
                <w:color w:val="002060"/>
                <w:sz w:val="18"/>
              </w:rPr>
            </w:pPr>
            <w:r w:rsidRPr="00671E8F">
              <w:rPr>
                <w:rFonts w:ascii="Calibri" w:hAnsi="Calibri" w:cs="Calibri"/>
                <w:color w:val="002060"/>
                <w:sz w:val="18"/>
                <w:szCs w:val="18"/>
              </w:rPr>
              <w:t>7.4</w:t>
            </w:r>
          </w:p>
        </w:tc>
      </w:tr>
      <w:tr w:rsidR="000D5CCA" w:rsidRPr="00671E8F" w14:paraId="379C9BDA" w14:textId="77777777" w:rsidTr="009367BB">
        <w:trPr>
          <w:trHeight w:val="281"/>
          <w:jc w:val="center"/>
        </w:trPr>
        <w:tc>
          <w:tcPr>
            <w:tcW w:w="2590" w:type="pct"/>
            <w:shd w:val="clear" w:color="auto" w:fill="E7E6E6" w:themeFill="background2"/>
            <w:noWrap/>
            <w:vAlign w:val="center"/>
            <w:hideMark/>
          </w:tcPr>
          <w:p w14:paraId="7DF1F6FB" w14:textId="77777777" w:rsidR="000D5CCA" w:rsidRPr="00671E8F" w:rsidRDefault="000D5CCA" w:rsidP="000D5CCA">
            <w:pPr>
              <w:jc w:val="left"/>
              <w:rPr>
                <w:rFonts w:eastAsia="Calibri" w:cstheme="minorHAnsi"/>
                <w:bCs/>
                <w:iCs/>
                <w:color w:val="002060"/>
                <w:sz w:val="18"/>
                <w:szCs w:val="18"/>
              </w:rPr>
            </w:pPr>
            <w:r w:rsidRPr="00671E8F">
              <w:rPr>
                <w:rFonts w:eastAsia="Calibri" w:cstheme="minorHAnsi"/>
                <w:iCs/>
                <w:color w:val="002060"/>
                <w:sz w:val="18"/>
                <w:szCs w:val="18"/>
              </w:rPr>
              <w:t>Допринос расту БДП</w:t>
            </w:r>
            <w:r w:rsidRPr="00671E8F">
              <w:rPr>
                <w:rFonts w:eastAsia="Calibri" w:cstheme="minorHAnsi"/>
                <w:bCs/>
                <w:iCs/>
                <w:color w:val="002060"/>
                <w:sz w:val="18"/>
                <w:szCs w:val="18"/>
              </w:rPr>
              <w:t>, процентни поени</w:t>
            </w:r>
          </w:p>
        </w:tc>
        <w:tc>
          <w:tcPr>
            <w:tcW w:w="603" w:type="pct"/>
            <w:tcBorders>
              <w:top w:val="nil"/>
              <w:left w:val="nil"/>
              <w:bottom w:val="nil"/>
              <w:right w:val="nil"/>
            </w:tcBorders>
            <w:shd w:val="clear" w:color="000000" w:fill="E7E6E6"/>
            <w:noWrap/>
            <w:vAlign w:val="center"/>
          </w:tcPr>
          <w:p w14:paraId="469CEF79" w14:textId="6BDABC86" w:rsidR="000D5CCA" w:rsidRPr="00671E8F" w:rsidRDefault="000D5CCA" w:rsidP="000D5CCA">
            <w:pPr>
              <w:jc w:val="center"/>
              <w:rPr>
                <w:rFonts w:eastAsia="Calibri" w:cstheme="minorHAnsi"/>
                <w:i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noWrap/>
            <w:vAlign w:val="center"/>
          </w:tcPr>
          <w:p w14:paraId="0D9BCB34" w14:textId="4D615F1C"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noWrap/>
            <w:vAlign w:val="center"/>
          </w:tcPr>
          <w:p w14:paraId="2CCF3FFE" w14:textId="7CBA21FA"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noWrap/>
            <w:vAlign w:val="center"/>
          </w:tcPr>
          <w:p w14:paraId="25D6AC4C" w14:textId="6E889ECA"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r>
      <w:tr w:rsidR="000D5CCA" w:rsidRPr="00671E8F" w14:paraId="04891778" w14:textId="77777777" w:rsidTr="009367BB">
        <w:trPr>
          <w:trHeight w:val="281"/>
          <w:jc w:val="center"/>
        </w:trPr>
        <w:tc>
          <w:tcPr>
            <w:tcW w:w="2590" w:type="pct"/>
            <w:noWrap/>
            <w:vAlign w:val="center"/>
            <w:hideMark/>
          </w:tcPr>
          <w:p w14:paraId="0E13D589"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Домаћа тражња</w:t>
            </w:r>
          </w:p>
        </w:tc>
        <w:tc>
          <w:tcPr>
            <w:tcW w:w="603" w:type="pct"/>
            <w:tcBorders>
              <w:top w:val="nil"/>
              <w:left w:val="nil"/>
              <w:bottom w:val="nil"/>
              <w:right w:val="nil"/>
            </w:tcBorders>
            <w:shd w:val="clear" w:color="auto" w:fill="auto"/>
            <w:noWrap/>
            <w:vAlign w:val="center"/>
          </w:tcPr>
          <w:p w14:paraId="29F3AC5B" w14:textId="69B0BD1A" w:rsidR="000D5CCA" w:rsidRPr="00671E8F" w:rsidRDefault="000D5CCA" w:rsidP="000D5CCA">
            <w:pPr>
              <w:jc w:val="center"/>
              <w:rPr>
                <w:color w:val="002060"/>
                <w:sz w:val="18"/>
              </w:rPr>
            </w:pPr>
            <w:r w:rsidRPr="00671E8F">
              <w:rPr>
                <w:rFonts w:ascii="Calibri" w:hAnsi="Calibri" w:cs="Calibri"/>
                <w:color w:val="002060"/>
                <w:sz w:val="18"/>
                <w:szCs w:val="18"/>
              </w:rPr>
              <w:t>6.3</w:t>
            </w:r>
          </w:p>
        </w:tc>
        <w:tc>
          <w:tcPr>
            <w:tcW w:w="604" w:type="pct"/>
            <w:tcBorders>
              <w:top w:val="nil"/>
              <w:left w:val="nil"/>
              <w:bottom w:val="nil"/>
              <w:right w:val="nil"/>
            </w:tcBorders>
            <w:shd w:val="clear" w:color="auto" w:fill="auto"/>
            <w:noWrap/>
            <w:vAlign w:val="center"/>
          </w:tcPr>
          <w:p w14:paraId="0427F2C2" w14:textId="6AE7FB3E" w:rsidR="000D5CCA" w:rsidRPr="00671E8F" w:rsidRDefault="000D5CCA" w:rsidP="000D5CCA">
            <w:pPr>
              <w:jc w:val="center"/>
              <w:rPr>
                <w:color w:val="002060"/>
                <w:sz w:val="18"/>
              </w:rPr>
            </w:pPr>
            <w:r w:rsidRPr="00671E8F">
              <w:rPr>
                <w:rFonts w:ascii="Calibri" w:hAnsi="Calibri" w:cs="Calibri"/>
                <w:color w:val="002060"/>
                <w:sz w:val="18"/>
                <w:szCs w:val="18"/>
              </w:rPr>
              <w:t>5.0</w:t>
            </w:r>
          </w:p>
        </w:tc>
        <w:tc>
          <w:tcPr>
            <w:tcW w:w="603" w:type="pct"/>
            <w:tcBorders>
              <w:top w:val="nil"/>
              <w:left w:val="nil"/>
              <w:bottom w:val="nil"/>
              <w:right w:val="nil"/>
            </w:tcBorders>
            <w:shd w:val="clear" w:color="auto" w:fill="auto"/>
            <w:noWrap/>
            <w:vAlign w:val="center"/>
          </w:tcPr>
          <w:p w14:paraId="0B98ABD6" w14:textId="3AA806A1" w:rsidR="000D5CCA" w:rsidRPr="00671E8F" w:rsidRDefault="000D5CCA" w:rsidP="000D5CCA">
            <w:pPr>
              <w:jc w:val="center"/>
              <w:rPr>
                <w:color w:val="002060"/>
                <w:sz w:val="18"/>
              </w:rPr>
            </w:pPr>
            <w:r w:rsidRPr="00671E8F">
              <w:rPr>
                <w:rFonts w:ascii="Calibri" w:hAnsi="Calibri" w:cs="Calibri"/>
                <w:color w:val="002060"/>
                <w:sz w:val="18"/>
                <w:szCs w:val="18"/>
              </w:rPr>
              <w:t>4.5</w:t>
            </w:r>
          </w:p>
        </w:tc>
        <w:tc>
          <w:tcPr>
            <w:tcW w:w="600" w:type="pct"/>
            <w:tcBorders>
              <w:top w:val="nil"/>
              <w:left w:val="nil"/>
              <w:bottom w:val="nil"/>
              <w:right w:val="nil"/>
            </w:tcBorders>
            <w:shd w:val="clear" w:color="auto" w:fill="auto"/>
            <w:noWrap/>
            <w:vAlign w:val="center"/>
          </w:tcPr>
          <w:p w14:paraId="7B04DC6C" w14:textId="0AC7FBA1" w:rsidR="000D5CCA" w:rsidRPr="00671E8F" w:rsidRDefault="000D5CCA" w:rsidP="000D5CCA">
            <w:pPr>
              <w:jc w:val="center"/>
              <w:rPr>
                <w:color w:val="002060"/>
                <w:sz w:val="18"/>
              </w:rPr>
            </w:pPr>
            <w:r w:rsidRPr="00671E8F">
              <w:rPr>
                <w:rFonts w:ascii="Calibri" w:hAnsi="Calibri" w:cs="Calibri"/>
                <w:color w:val="002060"/>
                <w:sz w:val="18"/>
                <w:szCs w:val="18"/>
              </w:rPr>
              <w:t>4.0</w:t>
            </w:r>
          </w:p>
        </w:tc>
      </w:tr>
      <w:tr w:rsidR="000D5CCA" w:rsidRPr="00671E8F" w14:paraId="0878DDB4" w14:textId="77777777" w:rsidTr="009367BB">
        <w:trPr>
          <w:trHeight w:val="281"/>
          <w:jc w:val="center"/>
        </w:trPr>
        <w:tc>
          <w:tcPr>
            <w:tcW w:w="2590" w:type="pct"/>
            <w:noWrap/>
            <w:vAlign w:val="center"/>
            <w:hideMark/>
          </w:tcPr>
          <w:p w14:paraId="1A56105E"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Лична потрошња</w:t>
            </w:r>
          </w:p>
        </w:tc>
        <w:tc>
          <w:tcPr>
            <w:tcW w:w="603" w:type="pct"/>
            <w:tcBorders>
              <w:top w:val="nil"/>
              <w:left w:val="nil"/>
              <w:bottom w:val="nil"/>
              <w:right w:val="nil"/>
            </w:tcBorders>
            <w:shd w:val="clear" w:color="auto" w:fill="auto"/>
            <w:noWrap/>
            <w:vAlign w:val="center"/>
          </w:tcPr>
          <w:p w14:paraId="72BE9B58" w14:textId="4EB0757B" w:rsidR="000D5CCA" w:rsidRPr="00671E8F" w:rsidRDefault="000D5CCA" w:rsidP="000D5CCA">
            <w:pPr>
              <w:jc w:val="center"/>
              <w:rPr>
                <w:color w:val="002060"/>
                <w:sz w:val="18"/>
              </w:rPr>
            </w:pPr>
            <w:r w:rsidRPr="00671E8F">
              <w:rPr>
                <w:rFonts w:ascii="Calibri" w:hAnsi="Calibri" w:cs="Calibri"/>
                <w:color w:val="002060"/>
                <w:sz w:val="18"/>
                <w:szCs w:val="18"/>
              </w:rPr>
              <w:t>2.8</w:t>
            </w:r>
          </w:p>
        </w:tc>
        <w:tc>
          <w:tcPr>
            <w:tcW w:w="604" w:type="pct"/>
            <w:tcBorders>
              <w:top w:val="nil"/>
              <w:left w:val="nil"/>
              <w:bottom w:val="nil"/>
              <w:right w:val="nil"/>
            </w:tcBorders>
            <w:shd w:val="clear" w:color="auto" w:fill="auto"/>
            <w:noWrap/>
            <w:vAlign w:val="center"/>
          </w:tcPr>
          <w:p w14:paraId="155A7DD3" w14:textId="745188E4" w:rsidR="000D5CCA" w:rsidRPr="00671E8F" w:rsidRDefault="000D5CCA" w:rsidP="000D5CCA">
            <w:pPr>
              <w:jc w:val="center"/>
              <w:rPr>
                <w:color w:val="002060"/>
                <w:sz w:val="18"/>
              </w:rPr>
            </w:pPr>
            <w:r w:rsidRPr="00671E8F">
              <w:rPr>
                <w:rFonts w:ascii="Calibri" w:hAnsi="Calibri" w:cs="Calibri"/>
                <w:color w:val="002060"/>
                <w:sz w:val="18"/>
                <w:szCs w:val="18"/>
              </w:rPr>
              <w:t>2.6</w:t>
            </w:r>
          </w:p>
        </w:tc>
        <w:tc>
          <w:tcPr>
            <w:tcW w:w="603" w:type="pct"/>
            <w:tcBorders>
              <w:top w:val="nil"/>
              <w:left w:val="nil"/>
              <w:bottom w:val="nil"/>
              <w:right w:val="nil"/>
            </w:tcBorders>
            <w:shd w:val="clear" w:color="auto" w:fill="auto"/>
            <w:noWrap/>
            <w:vAlign w:val="center"/>
          </w:tcPr>
          <w:p w14:paraId="4B99CF0F" w14:textId="78B0CF11" w:rsidR="000D5CCA" w:rsidRPr="00671E8F" w:rsidRDefault="000D5CCA" w:rsidP="000D5CCA">
            <w:pPr>
              <w:jc w:val="center"/>
              <w:rPr>
                <w:color w:val="002060"/>
                <w:sz w:val="18"/>
              </w:rPr>
            </w:pPr>
            <w:r w:rsidRPr="00671E8F">
              <w:rPr>
                <w:rFonts w:ascii="Calibri" w:hAnsi="Calibri" w:cs="Calibri"/>
                <w:color w:val="002060"/>
                <w:sz w:val="18"/>
                <w:szCs w:val="18"/>
              </w:rPr>
              <w:t>2.0</w:t>
            </w:r>
          </w:p>
        </w:tc>
        <w:tc>
          <w:tcPr>
            <w:tcW w:w="600" w:type="pct"/>
            <w:tcBorders>
              <w:top w:val="nil"/>
              <w:left w:val="nil"/>
              <w:bottom w:val="nil"/>
              <w:right w:val="nil"/>
            </w:tcBorders>
            <w:shd w:val="clear" w:color="auto" w:fill="auto"/>
            <w:noWrap/>
            <w:vAlign w:val="center"/>
          </w:tcPr>
          <w:p w14:paraId="66A95042" w14:textId="7A8DC539" w:rsidR="000D5CCA" w:rsidRPr="00671E8F" w:rsidRDefault="000D5CCA" w:rsidP="000D5CCA">
            <w:pPr>
              <w:jc w:val="center"/>
              <w:rPr>
                <w:color w:val="002060"/>
                <w:sz w:val="18"/>
              </w:rPr>
            </w:pPr>
            <w:r w:rsidRPr="00671E8F">
              <w:rPr>
                <w:rFonts w:ascii="Calibri" w:hAnsi="Calibri" w:cs="Calibri"/>
                <w:color w:val="002060"/>
                <w:sz w:val="18"/>
                <w:szCs w:val="18"/>
              </w:rPr>
              <w:t>1.8</w:t>
            </w:r>
          </w:p>
        </w:tc>
      </w:tr>
      <w:tr w:rsidR="000D5CCA" w:rsidRPr="00671E8F" w14:paraId="0D9D1267" w14:textId="77777777" w:rsidTr="009367BB">
        <w:trPr>
          <w:trHeight w:val="281"/>
          <w:jc w:val="center"/>
        </w:trPr>
        <w:tc>
          <w:tcPr>
            <w:tcW w:w="2590" w:type="pct"/>
            <w:noWrap/>
            <w:vAlign w:val="center"/>
            <w:hideMark/>
          </w:tcPr>
          <w:p w14:paraId="1FDE012F"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Државна потрошња</w:t>
            </w:r>
          </w:p>
        </w:tc>
        <w:tc>
          <w:tcPr>
            <w:tcW w:w="603" w:type="pct"/>
            <w:tcBorders>
              <w:top w:val="nil"/>
              <w:left w:val="nil"/>
              <w:bottom w:val="nil"/>
              <w:right w:val="nil"/>
            </w:tcBorders>
            <w:shd w:val="clear" w:color="auto" w:fill="auto"/>
            <w:noWrap/>
            <w:vAlign w:val="center"/>
          </w:tcPr>
          <w:p w14:paraId="22E023CB" w14:textId="04509F2F" w:rsidR="000D5CCA" w:rsidRPr="00671E8F" w:rsidRDefault="000D5CCA" w:rsidP="000D5CCA">
            <w:pPr>
              <w:jc w:val="center"/>
              <w:rPr>
                <w:color w:val="002060"/>
                <w:sz w:val="18"/>
              </w:rPr>
            </w:pPr>
            <w:r w:rsidRPr="00671E8F">
              <w:rPr>
                <w:rFonts w:ascii="Calibri" w:hAnsi="Calibri" w:cs="Calibri"/>
                <w:color w:val="002060"/>
                <w:sz w:val="18"/>
                <w:szCs w:val="18"/>
              </w:rPr>
              <w:t>0.5</w:t>
            </w:r>
          </w:p>
        </w:tc>
        <w:tc>
          <w:tcPr>
            <w:tcW w:w="604" w:type="pct"/>
            <w:tcBorders>
              <w:top w:val="nil"/>
              <w:left w:val="nil"/>
              <w:bottom w:val="nil"/>
              <w:right w:val="nil"/>
            </w:tcBorders>
            <w:shd w:val="clear" w:color="auto" w:fill="auto"/>
            <w:noWrap/>
            <w:vAlign w:val="center"/>
          </w:tcPr>
          <w:p w14:paraId="0BC9F3AC" w14:textId="6A096631" w:rsidR="000D5CCA" w:rsidRPr="00671E8F" w:rsidRDefault="000D5CCA" w:rsidP="000D5CCA">
            <w:pPr>
              <w:jc w:val="center"/>
              <w:rPr>
                <w:color w:val="002060"/>
                <w:sz w:val="18"/>
              </w:rPr>
            </w:pPr>
            <w:r w:rsidRPr="00671E8F">
              <w:rPr>
                <w:rFonts w:ascii="Calibri" w:hAnsi="Calibri" w:cs="Calibri"/>
                <w:color w:val="002060"/>
                <w:sz w:val="18"/>
                <w:szCs w:val="18"/>
              </w:rPr>
              <w:t>0.4</w:t>
            </w:r>
          </w:p>
        </w:tc>
        <w:tc>
          <w:tcPr>
            <w:tcW w:w="603" w:type="pct"/>
            <w:tcBorders>
              <w:top w:val="nil"/>
              <w:left w:val="nil"/>
              <w:bottom w:val="nil"/>
              <w:right w:val="nil"/>
            </w:tcBorders>
            <w:shd w:val="clear" w:color="auto" w:fill="auto"/>
            <w:noWrap/>
            <w:vAlign w:val="center"/>
          </w:tcPr>
          <w:p w14:paraId="5D95C78D" w14:textId="41CB6A90" w:rsidR="000D5CCA" w:rsidRPr="00671E8F" w:rsidRDefault="000D5CCA" w:rsidP="000D5CCA">
            <w:pPr>
              <w:jc w:val="center"/>
              <w:rPr>
                <w:color w:val="002060"/>
                <w:sz w:val="18"/>
              </w:rPr>
            </w:pPr>
            <w:r w:rsidRPr="00671E8F">
              <w:rPr>
                <w:rFonts w:ascii="Calibri" w:hAnsi="Calibri" w:cs="Calibri"/>
                <w:color w:val="002060"/>
                <w:sz w:val="18"/>
                <w:szCs w:val="18"/>
              </w:rPr>
              <w:t>0.4</w:t>
            </w:r>
          </w:p>
        </w:tc>
        <w:tc>
          <w:tcPr>
            <w:tcW w:w="600" w:type="pct"/>
            <w:tcBorders>
              <w:top w:val="nil"/>
              <w:left w:val="nil"/>
              <w:bottom w:val="nil"/>
              <w:right w:val="nil"/>
            </w:tcBorders>
            <w:shd w:val="clear" w:color="auto" w:fill="auto"/>
            <w:noWrap/>
            <w:vAlign w:val="center"/>
          </w:tcPr>
          <w:p w14:paraId="561563A8" w14:textId="7D6E0A85" w:rsidR="000D5CCA" w:rsidRPr="00671E8F" w:rsidRDefault="000D5CCA" w:rsidP="000D5CCA">
            <w:pPr>
              <w:jc w:val="center"/>
              <w:rPr>
                <w:color w:val="002060"/>
                <w:sz w:val="18"/>
              </w:rPr>
            </w:pPr>
            <w:r w:rsidRPr="00671E8F">
              <w:rPr>
                <w:rFonts w:ascii="Calibri" w:hAnsi="Calibri" w:cs="Calibri"/>
                <w:color w:val="002060"/>
                <w:sz w:val="18"/>
                <w:szCs w:val="18"/>
              </w:rPr>
              <w:t>0.3</w:t>
            </w:r>
          </w:p>
        </w:tc>
      </w:tr>
      <w:tr w:rsidR="000D5CCA" w:rsidRPr="00671E8F" w14:paraId="63808D37" w14:textId="77777777" w:rsidTr="009367BB">
        <w:trPr>
          <w:trHeight w:val="281"/>
          <w:jc w:val="center"/>
        </w:trPr>
        <w:tc>
          <w:tcPr>
            <w:tcW w:w="2590" w:type="pct"/>
            <w:vAlign w:val="center"/>
          </w:tcPr>
          <w:p w14:paraId="5DD7C23F"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Инвестиције у основна средства</w:t>
            </w:r>
          </w:p>
        </w:tc>
        <w:tc>
          <w:tcPr>
            <w:tcW w:w="603" w:type="pct"/>
            <w:tcBorders>
              <w:top w:val="nil"/>
              <w:left w:val="nil"/>
              <w:bottom w:val="nil"/>
              <w:right w:val="nil"/>
            </w:tcBorders>
            <w:shd w:val="clear" w:color="auto" w:fill="auto"/>
            <w:noWrap/>
            <w:vAlign w:val="center"/>
          </w:tcPr>
          <w:p w14:paraId="3943DA02" w14:textId="074FFA35" w:rsidR="000D5CCA" w:rsidRPr="00671E8F" w:rsidRDefault="000D5CCA" w:rsidP="000D5CCA">
            <w:pPr>
              <w:jc w:val="center"/>
              <w:rPr>
                <w:color w:val="002060"/>
                <w:sz w:val="18"/>
              </w:rPr>
            </w:pPr>
            <w:r w:rsidRPr="00671E8F">
              <w:rPr>
                <w:rFonts w:ascii="Calibri" w:hAnsi="Calibri" w:cs="Calibri"/>
                <w:color w:val="002060"/>
                <w:sz w:val="18"/>
                <w:szCs w:val="18"/>
              </w:rPr>
              <w:t>2.2</w:t>
            </w:r>
          </w:p>
        </w:tc>
        <w:tc>
          <w:tcPr>
            <w:tcW w:w="604" w:type="pct"/>
            <w:tcBorders>
              <w:top w:val="nil"/>
              <w:left w:val="nil"/>
              <w:bottom w:val="nil"/>
              <w:right w:val="nil"/>
            </w:tcBorders>
            <w:shd w:val="clear" w:color="auto" w:fill="auto"/>
            <w:noWrap/>
            <w:vAlign w:val="center"/>
          </w:tcPr>
          <w:p w14:paraId="7B0F4083" w14:textId="541841AE" w:rsidR="000D5CCA" w:rsidRPr="00671E8F" w:rsidRDefault="000D5CCA" w:rsidP="000D5CCA">
            <w:pPr>
              <w:jc w:val="center"/>
              <w:rPr>
                <w:color w:val="002060"/>
                <w:sz w:val="18"/>
              </w:rPr>
            </w:pPr>
            <w:r w:rsidRPr="00671E8F">
              <w:rPr>
                <w:rFonts w:ascii="Calibri" w:hAnsi="Calibri" w:cs="Calibri"/>
                <w:color w:val="002060"/>
                <w:sz w:val="18"/>
                <w:szCs w:val="18"/>
              </w:rPr>
              <w:t>2.0</w:t>
            </w:r>
          </w:p>
        </w:tc>
        <w:tc>
          <w:tcPr>
            <w:tcW w:w="603" w:type="pct"/>
            <w:tcBorders>
              <w:top w:val="nil"/>
              <w:left w:val="nil"/>
              <w:bottom w:val="nil"/>
              <w:right w:val="nil"/>
            </w:tcBorders>
            <w:shd w:val="clear" w:color="auto" w:fill="auto"/>
            <w:noWrap/>
            <w:vAlign w:val="center"/>
          </w:tcPr>
          <w:p w14:paraId="132ACDDD" w14:textId="2EF144B5" w:rsidR="000D5CCA" w:rsidRPr="00671E8F" w:rsidRDefault="000D5CCA" w:rsidP="000D5CCA">
            <w:pPr>
              <w:jc w:val="center"/>
              <w:rPr>
                <w:color w:val="002060"/>
                <w:sz w:val="18"/>
              </w:rPr>
            </w:pPr>
            <w:r w:rsidRPr="00671E8F">
              <w:rPr>
                <w:rFonts w:ascii="Calibri" w:hAnsi="Calibri" w:cs="Calibri"/>
                <w:color w:val="002060"/>
                <w:sz w:val="18"/>
                <w:szCs w:val="18"/>
              </w:rPr>
              <w:t>2.0</w:t>
            </w:r>
          </w:p>
        </w:tc>
        <w:tc>
          <w:tcPr>
            <w:tcW w:w="600" w:type="pct"/>
            <w:tcBorders>
              <w:top w:val="nil"/>
              <w:left w:val="nil"/>
              <w:bottom w:val="nil"/>
              <w:right w:val="nil"/>
            </w:tcBorders>
            <w:shd w:val="clear" w:color="auto" w:fill="auto"/>
            <w:noWrap/>
            <w:vAlign w:val="center"/>
          </w:tcPr>
          <w:p w14:paraId="6C285CE4" w14:textId="19DAA497" w:rsidR="000D5CCA" w:rsidRPr="00671E8F" w:rsidRDefault="000D5CCA" w:rsidP="000D5CCA">
            <w:pPr>
              <w:jc w:val="center"/>
              <w:rPr>
                <w:color w:val="002060"/>
                <w:sz w:val="18"/>
              </w:rPr>
            </w:pPr>
            <w:r w:rsidRPr="00671E8F">
              <w:rPr>
                <w:rFonts w:ascii="Calibri" w:hAnsi="Calibri" w:cs="Calibri"/>
                <w:color w:val="002060"/>
                <w:sz w:val="18"/>
                <w:szCs w:val="18"/>
              </w:rPr>
              <w:t>1.9</w:t>
            </w:r>
          </w:p>
        </w:tc>
      </w:tr>
      <w:tr w:rsidR="000D5CCA" w:rsidRPr="00671E8F" w14:paraId="39A1F3CB" w14:textId="77777777" w:rsidTr="009367BB">
        <w:trPr>
          <w:trHeight w:val="281"/>
          <w:jc w:val="center"/>
        </w:trPr>
        <w:tc>
          <w:tcPr>
            <w:tcW w:w="2590" w:type="pct"/>
            <w:vAlign w:val="center"/>
            <w:hideMark/>
          </w:tcPr>
          <w:p w14:paraId="55B65085"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Промена у залихама</w:t>
            </w:r>
          </w:p>
        </w:tc>
        <w:tc>
          <w:tcPr>
            <w:tcW w:w="603" w:type="pct"/>
            <w:tcBorders>
              <w:top w:val="nil"/>
              <w:left w:val="nil"/>
              <w:bottom w:val="nil"/>
              <w:right w:val="nil"/>
            </w:tcBorders>
            <w:shd w:val="clear" w:color="auto" w:fill="auto"/>
            <w:noWrap/>
            <w:vAlign w:val="center"/>
          </w:tcPr>
          <w:p w14:paraId="4E3BDA7A" w14:textId="49BB4FD3" w:rsidR="000D5CCA" w:rsidRPr="00671E8F" w:rsidRDefault="000D5CCA" w:rsidP="000D5CCA">
            <w:pPr>
              <w:jc w:val="center"/>
              <w:rPr>
                <w:color w:val="002060"/>
                <w:sz w:val="18"/>
              </w:rPr>
            </w:pPr>
            <w:r w:rsidRPr="00671E8F">
              <w:rPr>
                <w:rFonts w:ascii="Calibri" w:hAnsi="Calibri" w:cs="Calibri"/>
                <w:color w:val="002060"/>
                <w:sz w:val="18"/>
                <w:szCs w:val="18"/>
              </w:rPr>
              <w:t>0.7</w:t>
            </w:r>
          </w:p>
        </w:tc>
        <w:tc>
          <w:tcPr>
            <w:tcW w:w="604" w:type="pct"/>
            <w:tcBorders>
              <w:top w:val="nil"/>
              <w:left w:val="nil"/>
              <w:bottom w:val="nil"/>
              <w:right w:val="nil"/>
            </w:tcBorders>
            <w:shd w:val="clear" w:color="auto" w:fill="auto"/>
            <w:noWrap/>
            <w:vAlign w:val="center"/>
          </w:tcPr>
          <w:p w14:paraId="69396431" w14:textId="34D1378C" w:rsidR="000D5CCA" w:rsidRPr="00671E8F" w:rsidRDefault="000D5CCA" w:rsidP="000D5CCA">
            <w:pPr>
              <w:jc w:val="center"/>
              <w:rPr>
                <w:color w:val="002060"/>
                <w:sz w:val="18"/>
              </w:rPr>
            </w:pPr>
            <w:r w:rsidRPr="00671E8F">
              <w:rPr>
                <w:rFonts w:ascii="Calibri" w:hAnsi="Calibri" w:cs="Calibri"/>
                <w:color w:val="002060"/>
                <w:sz w:val="18"/>
                <w:szCs w:val="18"/>
              </w:rPr>
              <w:t>0.0</w:t>
            </w:r>
          </w:p>
        </w:tc>
        <w:tc>
          <w:tcPr>
            <w:tcW w:w="603" w:type="pct"/>
            <w:tcBorders>
              <w:top w:val="nil"/>
              <w:left w:val="nil"/>
              <w:bottom w:val="nil"/>
              <w:right w:val="nil"/>
            </w:tcBorders>
            <w:shd w:val="clear" w:color="auto" w:fill="auto"/>
            <w:noWrap/>
            <w:vAlign w:val="center"/>
          </w:tcPr>
          <w:p w14:paraId="59C59EE4" w14:textId="70BDAF3C" w:rsidR="000D5CCA" w:rsidRPr="00671E8F" w:rsidRDefault="000D5CCA" w:rsidP="000D5CCA">
            <w:pPr>
              <w:jc w:val="center"/>
              <w:rPr>
                <w:color w:val="002060"/>
                <w:sz w:val="18"/>
              </w:rPr>
            </w:pPr>
            <w:r w:rsidRPr="00671E8F">
              <w:rPr>
                <w:rFonts w:ascii="Calibri" w:hAnsi="Calibri" w:cs="Calibri"/>
                <w:color w:val="002060"/>
                <w:sz w:val="18"/>
                <w:szCs w:val="18"/>
              </w:rPr>
              <w:t>0.0</w:t>
            </w:r>
          </w:p>
        </w:tc>
        <w:tc>
          <w:tcPr>
            <w:tcW w:w="600" w:type="pct"/>
            <w:tcBorders>
              <w:top w:val="nil"/>
              <w:left w:val="nil"/>
              <w:bottom w:val="nil"/>
              <w:right w:val="nil"/>
            </w:tcBorders>
            <w:shd w:val="clear" w:color="auto" w:fill="auto"/>
            <w:noWrap/>
            <w:vAlign w:val="center"/>
          </w:tcPr>
          <w:p w14:paraId="0D6D6AAC" w14:textId="53391D44" w:rsidR="000D5CCA" w:rsidRPr="00671E8F" w:rsidRDefault="000D5CCA" w:rsidP="000D5CCA">
            <w:pPr>
              <w:jc w:val="center"/>
              <w:rPr>
                <w:color w:val="002060"/>
                <w:sz w:val="18"/>
              </w:rPr>
            </w:pPr>
            <w:r w:rsidRPr="00671E8F">
              <w:rPr>
                <w:rFonts w:ascii="Calibri" w:hAnsi="Calibri" w:cs="Calibri"/>
                <w:color w:val="002060"/>
                <w:sz w:val="18"/>
                <w:szCs w:val="18"/>
              </w:rPr>
              <w:t>0.0</w:t>
            </w:r>
          </w:p>
        </w:tc>
      </w:tr>
      <w:tr w:rsidR="000D5CCA" w:rsidRPr="00671E8F" w14:paraId="7054B26E" w14:textId="77777777" w:rsidTr="009367BB">
        <w:trPr>
          <w:trHeight w:val="281"/>
          <w:jc w:val="center"/>
        </w:trPr>
        <w:tc>
          <w:tcPr>
            <w:tcW w:w="2590" w:type="pct"/>
            <w:noWrap/>
            <w:vAlign w:val="center"/>
            <w:hideMark/>
          </w:tcPr>
          <w:p w14:paraId="15128C23"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Нето извоз робе и услуга</w:t>
            </w:r>
          </w:p>
        </w:tc>
        <w:tc>
          <w:tcPr>
            <w:tcW w:w="603" w:type="pct"/>
            <w:tcBorders>
              <w:top w:val="nil"/>
              <w:left w:val="nil"/>
              <w:bottom w:val="nil"/>
              <w:right w:val="nil"/>
            </w:tcBorders>
            <w:shd w:val="clear" w:color="auto" w:fill="auto"/>
            <w:noWrap/>
            <w:vAlign w:val="center"/>
          </w:tcPr>
          <w:p w14:paraId="0396E8F2" w14:textId="063C8AA4" w:rsidR="000D5CCA" w:rsidRPr="00671E8F" w:rsidRDefault="000D5CCA" w:rsidP="000D5CCA">
            <w:pPr>
              <w:jc w:val="center"/>
              <w:rPr>
                <w:color w:val="002060"/>
                <w:sz w:val="18"/>
              </w:rPr>
            </w:pPr>
            <w:r w:rsidRPr="00671E8F">
              <w:rPr>
                <w:rFonts w:ascii="Calibri" w:hAnsi="Calibri" w:cs="Calibri"/>
                <w:color w:val="002060"/>
                <w:sz w:val="18"/>
                <w:szCs w:val="18"/>
              </w:rPr>
              <w:t>-2.5</w:t>
            </w:r>
          </w:p>
        </w:tc>
        <w:tc>
          <w:tcPr>
            <w:tcW w:w="604" w:type="pct"/>
            <w:tcBorders>
              <w:top w:val="nil"/>
              <w:left w:val="nil"/>
              <w:bottom w:val="nil"/>
              <w:right w:val="nil"/>
            </w:tcBorders>
            <w:shd w:val="clear" w:color="auto" w:fill="auto"/>
            <w:noWrap/>
            <w:vAlign w:val="center"/>
          </w:tcPr>
          <w:p w14:paraId="4F73314D" w14:textId="0F515B75" w:rsidR="000D5CCA" w:rsidRPr="00671E8F" w:rsidRDefault="000D5CCA" w:rsidP="000D5CCA">
            <w:pPr>
              <w:jc w:val="center"/>
              <w:rPr>
                <w:color w:val="002060"/>
                <w:sz w:val="18"/>
              </w:rPr>
            </w:pPr>
            <w:r w:rsidRPr="00671E8F">
              <w:rPr>
                <w:rFonts w:ascii="Calibri" w:hAnsi="Calibri" w:cs="Calibri"/>
                <w:color w:val="002060"/>
                <w:sz w:val="18"/>
                <w:szCs w:val="18"/>
              </w:rPr>
              <w:t>-0.9</w:t>
            </w:r>
          </w:p>
        </w:tc>
        <w:tc>
          <w:tcPr>
            <w:tcW w:w="603" w:type="pct"/>
            <w:tcBorders>
              <w:top w:val="nil"/>
              <w:left w:val="nil"/>
              <w:bottom w:val="nil"/>
              <w:right w:val="nil"/>
            </w:tcBorders>
            <w:shd w:val="clear" w:color="auto" w:fill="auto"/>
            <w:noWrap/>
            <w:vAlign w:val="center"/>
          </w:tcPr>
          <w:p w14:paraId="11374951" w14:textId="6EB468B5" w:rsidR="000D5CCA" w:rsidRPr="00671E8F" w:rsidRDefault="000D5CCA" w:rsidP="000D5CCA">
            <w:pPr>
              <w:jc w:val="center"/>
              <w:rPr>
                <w:color w:val="002060"/>
                <w:sz w:val="18"/>
              </w:rPr>
            </w:pPr>
            <w:r w:rsidRPr="00671E8F">
              <w:rPr>
                <w:rFonts w:ascii="Calibri" w:hAnsi="Calibri" w:cs="Calibri"/>
                <w:color w:val="002060"/>
                <w:sz w:val="18"/>
                <w:szCs w:val="18"/>
              </w:rPr>
              <w:t>-0.5</w:t>
            </w:r>
          </w:p>
        </w:tc>
        <w:tc>
          <w:tcPr>
            <w:tcW w:w="600" w:type="pct"/>
            <w:tcBorders>
              <w:top w:val="nil"/>
              <w:left w:val="nil"/>
              <w:bottom w:val="nil"/>
              <w:right w:val="nil"/>
            </w:tcBorders>
            <w:shd w:val="clear" w:color="auto" w:fill="auto"/>
            <w:noWrap/>
            <w:vAlign w:val="center"/>
          </w:tcPr>
          <w:p w14:paraId="110462F3" w14:textId="1D518747" w:rsidR="000D5CCA" w:rsidRPr="00671E8F" w:rsidRDefault="000D5CCA" w:rsidP="000D5CCA">
            <w:pPr>
              <w:jc w:val="center"/>
              <w:rPr>
                <w:color w:val="002060"/>
                <w:sz w:val="18"/>
              </w:rPr>
            </w:pPr>
            <w:r w:rsidRPr="00671E8F">
              <w:rPr>
                <w:rFonts w:ascii="Calibri" w:hAnsi="Calibri" w:cs="Calibri"/>
                <w:color w:val="002060"/>
                <w:sz w:val="18"/>
                <w:szCs w:val="18"/>
              </w:rPr>
              <w:t>1.0</w:t>
            </w:r>
          </w:p>
        </w:tc>
      </w:tr>
      <w:tr w:rsidR="000D5CCA" w:rsidRPr="00671E8F" w14:paraId="23D6A6C7" w14:textId="77777777" w:rsidTr="009367BB">
        <w:trPr>
          <w:trHeight w:val="281"/>
          <w:jc w:val="center"/>
        </w:trPr>
        <w:tc>
          <w:tcPr>
            <w:tcW w:w="2590" w:type="pct"/>
            <w:shd w:val="clear" w:color="auto" w:fill="E7E6E6" w:themeFill="background2"/>
            <w:noWrap/>
            <w:vAlign w:val="center"/>
            <w:hideMark/>
          </w:tcPr>
          <w:p w14:paraId="7C4E21F7" w14:textId="77777777" w:rsidR="000D5CCA" w:rsidRPr="00671E8F" w:rsidRDefault="000D5CCA" w:rsidP="000D5CCA">
            <w:pPr>
              <w:jc w:val="left"/>
              <w:rPr>
                <w:rFonts w:eastAsia="Calibri" w:cstheme="minorHAnsi"/>
                <w:bCs/>
                <w:color w:val="002060"/>
                <w:sz w:val="18"/>
                <w:szCs w:val="18"/>
              </w:rPr>
            </w:pPr>
            <w:r w:rsidRPr="00671E8F">
              <w:rPr>
                <w:rFonts w:eastAsia="Calibri" w:cstheme="minorHAnsi"/>
                <w:iCs/>
                <w:color w:val="002060"/>
                <w:sz w:val="18"/>
                <w:szCs w:val="18"/>
              </w:rPr>
              <w:t>Раст БДВ по секторима и нето пореза, %</w:t>
            </w:r>
          </w:p>
        </w:tc>
        <w:tc>
          <w:tcPr>
            <w:tcW w:w="603" w:type="pct"/>
            <w:tcBorders>
              <w:top w:val="nil"/>
              <w:left w:val="nil"/>
              <w:bottom w:val="nil"/>
              <w:right w:val="nil"/>
            </w:tcBorders>
            <w:shd w:val="clear" w:color="000000" w:fill="E7E6E6"/>
            <w:vAlign w:val="center"/>
          </w:tcPr>
          <w:p w14:paraId="5C79F23F" w14:textId="5D0C2A7B"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vAlign w:val="center"/>
          </w:tcPr>
          <w:p w14:paraId="4D4F3BEB" w14:textId="7B3B5726"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vAlign w:val="center"/>
          </w:tcPr>
          <w:p w14:paraId="73BA88D3" w14:textId="2F5E4B56"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vAlign w:val="center"/>
          </w:tcPr>
          <w:p w14:paraId="561FFA6A" w14:textId="07A63167"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r>
      <w:tr w:rsidR="000D5CCA" w:rsidRPr="00671E8F" w14:paraId="1F654192" w14:textId="77777777" w:rsidTr="009367BB">
        <w:trPr>
          <w:trHeight w:val="281"/>
          <w:jc w:val="center"/>
        </w:trPr>
        <w:tc>
          <w:tcPr>
            <w:tcW w:w="2590" w:type="pct"/>
            <w:noWrap/>
            <w:vAlign w:val="center"/>
            <w:hideMark/>
          </w:tcPr>
          <w:p w14:paraId="7CC8D3D7"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Пољопривреда</w:t>
            </w:r>
          </w:p>
        </w:tc>
        <w:tc>
          <w:tcPr>
            <w:tcW w:w="603" w:type="pct"/>
            <w:tcBorders>
              <w:top w:val="nil"/>
              <w:left w:val="nil"/>
              <w:bottom w:val="nil"/>
              <w:right w:val="nil"/>
            </w:tcBorders>
            <w:shd w:val="clear" w:color="auto" w:fill="auto"/>
            <w:noWrap/>
            <w:vAlign w:val="center"/>
          </w:tcPr>
          <w:p w14:paraId="3F73DE1C" w14:textId="625F69E8" w:rsidR="000D5CCA" w:rsidRPr="00671E8F" w:rsidRDefault="000D5CCA" w:rsidP="000D5CCA">
            <w:pPr>
              <w:jc w:val="center"/>
              <w:rPr>
                <w:color w:val="002060"/>
                <w:sz w:val="18"/>
              </w:rPr>
            </w:pPr>
            <w:r w:rsidRPr="00671E8F">
              <w:rPr>
                <w:rFonts w:ascii="Calibri" w:hAnsi="Calibri" w:cs="Calibri"/>
                <w:color w:val="002060"/>
                <w:sz w:val="18"/>
                <w:szCs w:val="18"/>
              </w:rPr>
              <w:t>-4.2</w:t>
            </w:r>
          </w:p>
        </w:tc>
        <w:tc>
          <w:tcPr>
            <w:tcW w:w="604" w:type="pct"/>
            <w:tcBorders>
              <w:top w:val="nil"/>
              <w:left w:val="nil"/>
              <w:bottom w:val="nil"/>
              <w:right w:val="nil"/>
            </w:tcBorders>
            <w:shd w:val="clear" w:color="auto" w:fill="auto"/>
            <w:noWrap/>
            <w:vAlign w:val="center"/>
          </w:tcPr>
          <w:p w14:paraId="5B1CAD84" w14:textId="14EC43A6" w:rsidR="000D5CCA" w:rsidRPr="00671E8F" w:rsidRDefault="000D5CCA" w:rsidP="000D5CCA">
            <w:pPr>
              <w:jc w:val="center"/>
              <w:rPr>
                <w:color w:val="002060"/>
                <w:sz w:val="18"/>
              </w:rPr>
            </w:pPr>
            <w:r w:rsidRPr="00671E8F">
              <w:rPr>
                <w:rFonts w:ascii="Calibri" w:hAnsi="Calibri" w:cs="Calibri"/>
                <w:color w:val="002060"/>
                <w:sz w:val="18"/>
                <w:szCs w:val="18"/>
              </w:rPr>
              <w:t>4.2</w:t>
            </w:r>
          </w:p>
        </w:tc>
        <w:tc>
          <w:tcPr>
            <w:tcW w:w="603" w:type="pct"/>
            <w:tcBorders>
              <w:top w:val="nil"/>
              <w:left w:val="nil"/>
              <w:bottom w:val="nil"/>
              <w:right w:val="nil"/>
            </w:tcBorders>
            <w:shd w:val="clear" w:color="auto" w:fill="auto"/>
            <w:noWrap/>
            <w:vAlign w:val="center"/>
          </w:tcPr>
          <w:p w14:paraId="76397685" w14:textId="62CEC103" w:rsidR="000D5CCA" w:rsidRPr="00671E8F" w:rsidRDefault="000D5CCA" w:rsidP="000D5CCA">
            <w:pPr>
              <w:jc w:val="center"/>
              <w:rPr>
                <w:color w:val="002060"/>
                <w:sz w:val="18"/>
              </w:rPr>
            </w:pPr>
            <w:r w:rsidRPr="00671E8F">
              <w:rPr>
                <w:rFonts w:ascii="Calibri" w:hAnsi="Calibri" w:cs="Calibri"/>
                <w:color w:val="002060"/>
                <w:sz w:val="18"/>
                <w:szCs w:val="18"/>
              </w:rPr>
              <w:t>0.0</w:t>
            </w:r>
          </w:p>
        </w:tc>
        <w:tc>
          <w:tcPr>
            <w:tcW w:w="600" w:type="pct"/>
            <w:tcBorders>
              <w:top w:val="nil"/>
              <w:left w:val="nil"/>
              <w:bottom w:val="nil"/>
              <w:right w:val="nil"/>
            </w:tcBorders>
            <w:shd w:val="clear" w:color="auto" w:fill="auto"/>
            <w:noWrap/>
            <w:vAlign w:val="center"/>
          </w:tcPr>
          <w:p w14:paraId="1584B6CB" w14:textId="201CC144" w:rsidR="000D5CCA" w:rsidRPr="00671E8F" w:rsidRDefault="000D5CCA" w:rsidP="000D5CCA">
            <w:pPr>
              <w:jc w:val="center"/>
              <w:rPr>
                <w:color w:val="002060"/>
                <w:sz w:val="18"/>
              </w:rPr>
            </w:pPr>
            <w:r w:rsidRPr="00671E8F">
              <w:rPr>
                <w:rFonts w:ascii="Calibri" w:hAnsi="Calibri" w:cs="Calibri"/>
                <w:color w:val="002060"/>
                <w:sz w:val="18"/>
                <w:szCs w:val="18"/>
              </w:rPr>
              <w:t>0.0</w:t>
            </w:r>
          </w:p>
        </w:tc>
      </w:tr>
      <w:tr w:rsidR="000D5CCA" w:rsidRPr="00671E8F" w14:paraId="1D8267BA" w14:textId="77777777" w:rsidTr="009367BB">
        <w:trPr>
          <w:trHeight w:val="281"/>
          <w:jc w:val="center"/>
        </w:trPr>
        <w:tc>
          <w:tcPr>
            <w:tcW w:w="2590" w:type="pct"/>
            <w:noWrap/>
            <w:vAlign w:val="center"/>
            <w:hideMark/>
          </w:tcPr>
          <w:p w14:paraId="0A913DE2"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Индустрија</w:t>
            </w:r>
          </w:p>
        </w:tc>
        <w:tc>
          <w:tcPr>
            <w:tcW w:w="603" w:type="pct"/>
            <w:tcBorders>
              <w:top w:val="nil"/>
              <w:left w:val="nil"/>
              <w:bottom w:val="nil"/>
              <w:right w:val="nil"/>
            </w:tcBorders>
            <w:shd w:val="clear" w:color="auto" w:fill="auto"/>
            <w:noWrap/>
            <w:vAlign w:val="center"/>
          </w:tcPr>
          <w:p w14:paraId="00FFB14A" w14:textId="48D9ED0C" w:rsidR="000D5CCA" w:rsidRPr="00671E8F" w:rsidRDefault="000D5CCA" w:rsidP="000D5CCA">
            <w:pPr>
              <w:jc w:val="center"/>
              <w:rPr>
                <w:color w:val="002060"/>
                <w:sz w:val="18"/>
              </w:rPr>
            </w:pPr>
            <w:r w:rsidRPr="00671E8F">
              <w:rPr>
                <w:rFonts w:ascii="Calibri" w:hAnsi="Calibri" w:cs="Calibri"/>
                <w:color w:val="002060"/>
                <w:sz w:val="18"/>
                <w:szCs w:val="18"/>
              </w:rPr>
              <w:t>2.8</w:t>
            </w:r>
          </w:p>
        </w:tc>
        <w:tc>
          <w:tcPr>
            <w:tcW w:w="604" w:type="pct"/>
            <w:tcBorders>
              <w:top w:val="nil"/>
              <w:left w:val="nil"/>
              <w:bottom w:val="nil"/>
              <w:right w:val="nil"/>
            </w:tcBorders>
            <w:shd w:val="clear" w:color="auto" w:fill="auto"/>
            <w:noWrap/>
            <w:vAlign w:val="center"/>
          </w:tcPr>
          <w:p w14:paraId="6C412179" w14:textId="04898B70" w:rsidR="000D5CCA" w:rsidRPr="00671E8F" w:rsidRDefault="000D5CCA" w:rsidP="000D5CCA">
            <w:pPr>
              <w:jc w:val="center"/>
              <w:rPr>
                <w:color w:val="002060"/>
                <w:sz w:val="18"/>
              </w:rPr>
            </w:pPr>
            <w:r w:rsidRPr="00671E8F">
              <w:rPr>
                <w:rFonts w:ascii="Calibri" w:hAnsi="Calibri" w:cs="Calibri"/>
                <w:color w:val="002060"/>
                <w:sz w:val="18"/>
                <w:szCs w:val="18"/>
              </w:rPr>
              <w:t>4.0</w:t>
            </w:r>
          </w:p>
        </w:tc>
        <w:tc>
          <w:tcPr>
            <w:tcW w:w="603" w:type="pct"/>
            <w:tcBorders>
              <w:top w:val="nil"/>
              <w:left w:val="nil"/>
              <w:bottom w:val="nil"/>
              <w:right w:val="nil"/>
            </w:tcBorders>
            <w:shd w:val="clear" w:color="auto" w:fill="auto"/>
            <w:noWrap/>
            <w:vAlign w:val="center"/>
          </w:tcPr>
          <w:p w14:paraId="19AE04A3" w14:textId="269782E1" w:rsidR="000D5CCA" w:rsidRPr="00671E8F" w:rsidRDefault="000D5CCA" w:rsidP="000D5CCA">
            <w:pPr>
              <w:jc w:val="center"/>
              <w:rPr>
                <w:color w:val="002060"/>
                <w:sz w:val="18"/>
              </w:rPr>
            </w:pPr>
            <w:r w:rsidRPr="00671E8F">
              <w:rPr>
                <w:rFonts w:ascii="Calibri" w:hAnsi="Calibri" w:cs="Calibri"/>
                <w:color w:val="002060"/>
                <w:sz w:val="18"/>
                <w:szCs w:val="18"/>
              </w:rPr>
              <w:t>4.3</w:t>
            </w:r>
          </w:p>
        </w:tc>
        <w:tc>
          <w:tcPr>
            <w:tcW w:w="600" w:type="pct"/>
            <w:tcBorders>
              <w:top w:val="nil"/>
              <w:left w:val="nil"/>
              <w:bottom w:val="nil"/>
              <w:right w:val="nil"/>
            </w:tcBorders>
            <w:shd w:val="clear" w:color="auto" w:fill="auto"/>
            <w:noWrap/>
            <w:vAlign w:val="center"/>
          </w:tcPr>
          <w:p w14:paraId="43F4B2F6" w14:textId="0774E19E" w:rsidR="000D5CCA" w:rsidRPr="00671E8F" w:rsidRDefault="000D5CCA" w:rsidP="000D5CCA">
            <w:pPr>
              <w:jc w:val="center"/>
              <w:rPr>
                <w:color w:val="002060"/>
                <w:sz w:val="18"/>
              </w:rPr>
            </w:pPr>
            <w:r w:rsidRPr="00671E8F">
              <w:rPr>
                <w:rFonts w:ascii="Calibri" w:hAnsi="Calibri" w:cs="Calibri"/>
                <w:color w:val="002060"/>
                <w:sz w:val="18"/>
                <w:szCs w:val="18"/>
              </w:rPr>
              <w:t>4.8</w:t>
            </w:r>
          </w:p>
        </w:tc>
      </w:tr>
      <w:tr w:rsidR="000D5CCA" w:rsidRPr="00671E8F" w14:paraId="0D25A39B" w14:textId="77777777" w:rsidTr="009367BB">
        <w:trPr>
          <w:trHeight w:val="281"/>
          <w:jc w:val="center"/>
        </w:trPr>
        <w:tc>
          <w:tcPr>
            <w:tcW w:w="2590" w:type="pct"/>
            <w:noWrap/>
            <w:vAlign w:val="center"/>
            <w:hideMark/>
          </w:tcPr>
          <w:p w14:paraId="2ED214AD"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Грађевинарство</w:t>
            </w:r>
          </w:p>
        </w:tc>
        <w:tc>
          <w:tcPr>
            <w:tcW w:w="603" w:type="pct"/>
            <w:tcBorders>
              <w:top w:val="nil"/>
              <w:left w:val="nil"/>
              <w:bottom w:val="nil"/>
              <w:right w:val="nil"/>
            </w:tcBorders>
            <w:shd w:val="clear" w:color="auto" w:fill="auto"/>
            <w:noWrap/>
            <w:vAlign w:val="center"/>
          </w:tcPr>
          <w:p w14:paraId="4C6FFCF9" w14:textId="62B79E56" w:rsidR="000D5CCA" w:rsidRPr="00671E8F" w:rsidRDefault="000D5CCA" w:rsidP="000D5CCA">
            <w:pPr>
              <w:jc w:val="center"/>
              <w:rPr>
                <w:color w:val="002060"/>
                <w:sz w:val="18"/>
              </w:rPr>
            </w:pPr>
            <w:r w:rsidRPr="00671E8F">
              <w:rPr>
                <w:rFonts w:ascii="Calibri" w:hAnsi="Calibri" w:cs="Calibri"/>
                <w:color w:val="002060"/>
                <w:sz w:val="18"/>
                <w:szCs w:val="18"/>
              </w:rPr>
              <w:t>9.1</w:t>
            </w:r>
          </w:p>
        </w:tc>
        <w:tc>
          <w:tcPr>
            <w:tcW w:w="604" w:type="pct"/>
            <w:tcBorders>
              <w:top w:val="nil"/>
              <w:left w:val="nil"/>
              <w:bottom w:val="nil"/>
              <w:right w:val="nil"/>
            </w:tcBorders>
            <w:shd w:val="clear" w:color="auto" w:fill="auto"/>
            <w:noWrap/>
            <w:vAlign w:val="center"/>
          </w:tcPr>
          <w:p w14:paraId="7F48CB46" w14:textId="3CBE0678" w:rsidR="000D5CCA" w:rsidRPr="00671E8F" w:rsidRDefault="000D5CCA" w:rsidP="000D5CCA">
            <w:pPr>
              <w:jc w:val="center"/>
              <w:rPr>
                <w:color w:val="002060"/>
                <w:sz w:val="18"/>
              </w:rPr>
            </w:pPr>
            <w:r w:rsidRPr="00671E8F">
              <w:rPr>
                <w:rFonts w:ascii="Calibri" w:hAnsi="Calibri" w:cs="Calibri"/>
                <w:color w:val="002060"/>
                <w:sz w:val="18"/>
                <w:szCs w:val="18"/>
              </w:rPr>
              <w:t>8.4</w:t>
            </w:r>
          </w:p>
        </w:tc>
        <w:tc>
          <w:tcPr>
            <w:tcW w:w="603" w:type="pct"/>
            <w:tcBorders>
              <w:top w:val="nil"/>
              <w:left w:val="nil"/>
              <w:bottom w:val="nil"/>
              <w:right w:val="nil"/>
            </w:tcBorders>
            <w:shd w:val="clear" w:color="auto" w:fill="auto"/>
            <w:noWrap/>
            <w:vAlign w:val="center"/>
          </w:tcPr>
          <w:p w14:paraId="26AB2F12" w14:textId="7DFFD175" w:rsidR="000D5CCA" w:rsidRPr="00671E8F" w:rsidRDefault="000D5CCA" w:rsidP="000D5CCA">
            <w:pPr>
              <w:jc w:val="center"/>
              <w:rPr>
                <w:color w:val="002060"/>
                <w:sz w:val="18"/>
              </w:rPr>
            </w:pPr>
            <w:r w:rsidRPr="00671E8F">
              <w:rPr>
                <w:rFonts w:ascii="Calibri" w:hAnsi="Calibri" w:cs="Calibri"/>
                <w:color w:val="002060"/>
                <w:sz w:val="18"/>
                <w:szCs w:val="18"/>
              </w:rPr>
              <w:t>7.3</w:t>
            </w:r>
          </w:p>
        </w:tc>
        <w:tc>
          <w:tcPr>
            <w:tcW w:w="600" w:type="pct"/>
            <w:tcBorders>
              <w:top w:val="nil"/>
              <w:left w:val="nil"/>
              <w:bottom w:val="nil"/>
              <w:right w:val="nil"/>
            </w:tcBorders>
            <w:shd w:val="clear" w:color="auto" w:fill="auto"/>
            <w:noWrap/>
            <w:vAlign w:val="center"/>
          </w:tcPr>
          <w:p w14:paraId="10399C16" w14:textId="39A85AB5" w:rsidR="000D5CCA" w:rsidRPr="00671E8F" w:rsidRDefault="000D5CCA" w:rsidP="000D5CCA">
            <w:pPr>
              <w:jc w:val="center"/>
              <w:rPr>
                <w:color w:val="002060"/>
                <w:sz w:val="18"/>
              </w:rPr>
            </w:pPr>
            <w:r w:rsidRPr="00671E8F">
              <w:rPr>
                <w:rFonts w:ascii="Calibri" w:hAnsi="Calibri" w:cs="Calibri"/>
                <w:color w:val="002060"/>
                <w:sz w:val="18"/>
                <w:szCs w:val="18"/>
              </w:rPr>
              <w:t>7.2</w:t>
            </w:r>
          </w:p>
        </w:tc>
      </w:tr>
      <w:tr w:rsidR="000D5CCA" w:rsidRPr="00671E8F" w14:paraId="49A776BF" w14:textId="77777777" w:rsidTr="009367BB">
        <w:trPr>
          <w:trHeight w:val="281"/>
          <w:jc w:val="center"/>
        </w:trPr>
        <w:tc>
          <w:tcPr>
            <w:tcW w:w="2590" w:type="pct"/>
            <w:noWrap/>
            <w:vAlign w:val="center"/>
            <w:hideMark/>
          </w:tcPr>
          <w:p w14:paraId="780219D7"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Услуге</w:t>
            </w:r>
          </w:p>
        </w:tc>
        <w:tc>
          <w:tcPr>
            <w:tcW w:w="603" w:type="pct"/>
            <w:tcBorders>
              <w:top w:val="nil"/>
              <w:left w:val="nil"/>
              <w:bottom w:val="nil"/>
              <w:right w:val="nil"/>
            </w:tcBorders>
            <w:shd w:val="clear" w:color="auto" w:fill="auto"/>
            <w:noWrap/>
            <w:vAlign w:val="center"/>
          </w:tcPr>
          <w:p w14:paraId="03A65794" w14:textId="19D2FF56" w:rsidR="000D5CCA" w:rsidRPr="00671E8F" w:rsidRDefault="000D5CCA" w:rsidP="000D5CCA">
            <w:pPr>
              <w:jc w:val="center"/>
              <w:rPr>
                <w:color w:val="002060"/>
                <w:sz w:val="18"/>
              </w:rPr>
            </w:pPr>
            <w:r w:rsidRPr="00671E8F">
              <w:rPr>
                <w:rFonts w:ascii="Calibri" w:hAnsi="Calibri" w:cs="Calibri"/>
                <w:color w:val="002060"/>
                <w:sz w:val="18"/>
                <w:szCs w:val="18"/>
              </w:rPr>
              <w:t>4.3</w:t>
            </w:r>
          </w:p>
        </w:tc>
        <w:tc>
          <w:tcPr>
            <w:tcW w:w="604" w:type="pct"/>
            <w:tcBorders>
              <w:top w:val="nil"/>
              <w:left w:val="nil"/>
              <w:bottom w:val="nil"/>
              <w:right w:val="nil"/>
            </w:tcBorders>
            <w:shd w:val="clear" w:color="auto" w:fill="auto"/>
            <w:noWrap/>
            <w:vAlign w:val="center"/>
          </w:tcPr>
          <w:p w14:paraId="1F7A6FA8" w14:textId="11F7C7BA" w:rsidR="000D5CCA" w:rsidRPr="00671E8F" w:rsidRDefault="000D5CCA" w:rsidP="000D5CCA">
            <w:pPr>
              <w:jc w:val="center"/>
              <w:rPr>
                <w:color w:val="002060"/>
                <w:sz w:val="18"/>
              </w:rPr>
            </w:pPr>
            <w:r w:rsidRPr="00671E8F">
              <w:rPr>
                <w:rFonts w:ascii="Calibri" w:hAnsi="Calibri" w:cs="Calibri"/>
                <w:color w:val="002060"/>
                <w:sz w:val="18"/>
                <w:szCs w:val="18"/>
              </w:rPr>
              <w:t>4.0</w:t>
            </w:r>
          </w:p>
        </w:tc>
        <w:tc>
          <w:tcPr>
            <w:tcW w:w="603" w:type="pct"/>
            <w:tcBorders>
              <w:top w:val="nil"/>
              <w:left w:val="nil"/>
              <w:bottom w:val="nil"/>
              <w:right w:val="nil"/>
            </w:tcBorders>
            <w:shd w:val="clear" w:color="auto" w:fill="auto"/>
            <w:noWrap/>
            <w:vAlign w:val="center"/>
          </w:tcPr>
          <w:p w14:paraId="371A3DEC" w14:textId="04B4BA43" w:rsidR="000D5CCA" w:rsidRPr="00671E8F" w:rsidRDefault="000D5CCA" w:rsidP="000D5CCA">
            <w:pPr>
              <w:jc w:val="center"/>
              <w:rPr>
                <w:color w:val="002060"/>
                <w:sz w:val="18"/>
              </w:rPr>
            </w:pPr>
            <w:r w:rsidRPr="00671E8F">
              <w:rPr>
                <w:rFonts w:ascii="Calibri" w:hAnsi="Calibri" w:cs="Calibri"/>
                <w:color w:val="002060"/>
                <w:sz w:val="18"/>
                <w:szCs w:val="18"/>
              </w:rPr>
              <w:t>4.1</w:t>
            </w:r>
          </w:p>
        </w:tc>
        <w:tc>
          <w:tcPr>
            <w:tcW w:w="600" w:type="pct"/>
            <w:tcBorders>
              <w:top w:val="nil"/>
              <w:left w:val="nil"/>
              <w:bottom w:val="nil"/>
              <w:right w:val="nil"/>
            </w:tcBorders>
            <w:shd w:val="clear" w:color="auto" w:fill="auto"/>
            <w:noWrap/>
            <w:vAlign w:val="center"/>
          </w:tcPr>
          <w:p w14:paraId="04C661ED" w14:textId="39612354" w:rsidR="000D5CCA" w:rsidRPr="00671E8F" w:rsidRDefault="000D5CCA" w:rsidP="000D5CCA">
            <w:pPr>
              <w:jc w:val="center"/>
              <w:rPr>
                <w:color w:val="002060"/>
                <w:sz w:val="18"/>
              </w:rPr>
            </w:pPr>
            <w:r w:rsidRPr="00671E8F">
              <w:rPr>
                <w:rFonts w:ascii="Calibri" w:hAnsi="Calibri" w:cs="Calibri"/>
                <w:color w:val="002060"/>
                <w:sz w:val="18"/>
                <w:szCs w:val="18"/>
              </w:rPr>
              <w:t>5.4</w:t>
            </w:r>
          </w:p>
        </w:tc>
      </w:tr>
      <w:tr w:rsidR="000D5CCA" w:rsidRPr="00671E8F" w14:paraId="119D9F15" w14:textId="77777777" w:rsidTr="009367BB">
        <w:trPr>
          <w:trHeight w:val="281"/>
          <w:jc w:val="center"/>
        </w:trPr>
        <w:tc>
          <w:tcPr>
            <w:tcW w:w="2590" w:type="pct"/>
            <w:noWrap/>
            <w:vAlign w:val="center"/>
          </w:tcPr>
          <w:p w14:paraId="38835953"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Нето порези</w:t>
            </w:r>
          </w:p>
        </w:tc>
        <w:tc>
          <w:tcPr>
            <w:tcW w:w="603" w:type="pct"/>
            <w:tcBorders>
              <w:top w:val="nil"/>
              <w:left w:val="nil"/>
              <w:bottom w:val="nil"/>
              <w:right w:val="nil"/>
            </w:tcBorders>
            <w:shd w:val="clear" w:color="auto" w:fill="auto"/>
            <w:noWrap/>
            <w:vAlign w:val="center"/>
          </w:tcPr>
          <w:p w14:paraId="22069A20" w14:textId="1AF9C0E6" w:rsidR="000D5CCA" w:rsidRPr="00671E8F" w:rsidRDefault="000D5CCA" w:rsidP="000D5CCA">
            <w:pPr>
              <w:jc w:val="center"/>
              <w:rPr>
                <w:color w:val="002060"/>
                <w:sz w:val="18"/>
              </w:rPr>
            </w:pPr>
            <w:r w:rsidRPr="00671E8F">
              <w:rPr>
                <w:rFonts w:ascii="Calibri" w:hAnsi="Calibri" w:cs="Calibri"/>
                <w:color w:val="002060"/>
                <w:sz w:val="18"/>
                <w:szCs w:val="18"/>
              </w:rPr>
              <w:t>3.6</w:t>
            </w:r>
          </w:p>
        </w:tc>
        <w:tc>
          <w:tcPr>
            <w:tcW w:w="604" w:type="pct"/>
            <w:tcBorders>
              <w:top w:val="nil"/>
              <w:left w:val="nil"/>
              <w:bottom w:val="nil"/>
              <w:right w:val="nil"/>
            </w:tcBorders>
            <w:shd w:val="clear" w:color="auto" w:fill="auto"/>
            <w:noWrap/>
            <w:vAlign w:val="center"/>
          </w:tcPr>
          <w:p w14:paraId="72537059" w14:textId="4C28468D" w:rsidR="000D5CCA" w:rsidRPr="00671E8F" w:rsidRDefault="000D5CCA" w:rsidP="000D5CCA">
            <w:pPr>
              <w:jc w:val="center"/>
              <w:rPr>
                <w:color w:val="002060"/>
                <w:sz w:val="18"/>
              </w:rPr>
            </w:pPr>
            <w:r w:rsidRPr="00671E8F">
              <w:rPr>
                <w:rFonts w:ascii="Calibri" w:hAnsi="Calibri" w:cs="Calibri"/>
                <w:color w:val="002060"/>
                <w:sz w:val="18"/>
                <w:szCs w:val="18"/>
              </w:rPr>
              <w:t>3.9</w:t>
            </w:r>
          </w:p>
        </w:tc>
        <w:tc>
          <w:tcPr>
            <w:tcW w:w="603" w:type="pct"/>
            <w:tcBorders>
              <w:top w:val="nil"/>
              <w:left w:val="nil"/>
              <w:bottom w:val="nil"/>
              <w:right w:val="nil"/>
            </w:tcBorders>
            <w:shd w:val="clear" w:color="auto" w:fill="auto"/>
            <w:noWrap/>
            <w:vAlign w:val="center"/>
          </w:tcPr>
          <w:p w14:paraId="060A056A" w14:textId="459CBDF7" w:rsidR="000D5CCA" w:rsidRPr="00671E8F" w:rsidRDefault="000D5CCA" w:rsidP="000D5CCA">
            <w:pPr>
              <w:jc w:val="center"/>
              <w:rPr>
                <w:color w:val="002060"/>
                <w:sz w:val="18"/>
              </w:rPr>
            </w:pPr>
            <w:r w:rsidRPr="00671E8F">
              <w:rPr>
                <w:rFonts w:ascii="Calibri" w:hAnsi="Calibri" w:cs="Calibri"/>
                <w:color w:val="002060"/>
                <w:sz w:val="18"/>
                <w:szCs w:val="18"/>
              </w:rPr>
              <w:t>3.7</w:t>
            </w:r>
          </w:p>
        </w:tc>
        <w:tc>
          <w:tcPr>
            <w:tcW w:w="600" w:type="pct"/>
            <w:tcBorders>
              <w:top w:val="nil"/>
              <w:left w:val="nil"/>
              <w:bottom w:val="nil"/>
              <w:right w:val="nil"/>
            </w:tcBorders>
            <w:shd w:val="clear" w:color="auto" w:fill="auto"/>
            <w:noWrap/>
            <w:vAlign w:val="center"/>
          </w:tcPr>
          <w:p w14:paraId="497E6962" w14:textId="4390B8C4" w:rsidR="000D5CCA" w:rsidRPr="00671E8F" w:rsidRDefault="000D5CCA" w:rsidP="000D5CCA">
            <w:pPr>
              <w:jc w:val="center"/>
              <w:rPr>
                <w:color w:val="002060"/>
                <w:sz w:val="18"/>
              </w:rPr>
            </w:pPr>
            <w:r w:rsidRPr="00671E8F">
              <w:rPr>
                <w:rFonts w:ascii="Calibri" w:hAnsi="Calibri" w:cs="Calibri"/>
                <w:color w:val="002060"/>
                <w:sz w:val="18"/>
                <w:szCs w:val="18"/>
              </w:rPr>
              <w:t>4.4</w:t>
            </w:r>
          </w:p>
        </w:tc>
      </w:tr>
      <w:tr w:rsidR="000D5CCA" w:rsidRPr="00671E8F" w14:paraId="1F0C019F" w14:textId="77777777" w:rsidTr="009367BB">
        <w:trPr>
          <w:trHeight w:val="281"/>
          <w:jc w:val="center"/>
        </w:trPr>
        <w:tc>
          <w:tcPr>
            <w:tcW w:w="2590" w:type="pct"/>
            <w:shd w:val="clear" w:color="auto" w:fill="E7E6E6" w:themeFill="background2"/>
            <w:noWrap/>
            <w:vAlign w:val="center"/>
            <w:hideMark/>
          </w:tcPr>
          <w:p w14:paraId="66ECB13B" w14:textId="77777777" w:rsidR="000D5CCA" w:rsidRPr="00671E8F" w:rsidRDefault="000D5CCA" w:rsidP="000D5CCA">
            <w:pPr>
              <w:jc w:val="left"/>
              <w:rPr>
                <w:rFonts w:eastAsia="Calibri" w:cstheme="minorHAnsi"/>
                <w:bCs/>
                <w:color w:val="002060"/>
                <w:sz w:val="18"/>
                <w:szCs w:val="18"/>
              </w:rPr>
            </w:pPr>
            <w:r w:rsidRPr="00671E8F">
              <w:rPr>
                <w:rFonts w:eastAsia="Calibri" w:cstheme="minorHAnsi"/>
                <w:iCs/>
                <w:color w:val="002060"/>
                <w:sz w:val="18"/>
                <w:szCs w:val="18"/>
              </w:rPr>
              <w:t>Допринос расту БДП, процентни поени</w:t>
            </w:r>
          </w:p>
        </w:tc>
        <w:tc>
          <w:tcPr>
            <w:tcW w:w="603" w:type="pct"/>
            <w:tcBorders>
              <w:top w:val="nil"/>
              <w:left w:val="nil"/>
              <w:bottom w:val="nil"/>
              <w:right w:val="nil"/>
            </w:tcBorders>
            <w:shd w:val="clear" w:color="000000" w:fill="E7E6E6"/>
            <w:vAlign w:val="center"/>
          </w:tcPr>
          <w:p w14:paraId="21582503" w14:textId="6A25A6BC"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vAlign w:val="center"/>
          </w:tcPr>
          <w:p w14:paraId="4D90B23D" w14:textId="110B2593"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vAlign w:val="center"/>
          </w:tcPr>
          <w:p w14:paraId="4312B94F" w14:textId="560EA1AF"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vAlign w:val="center"/>
          </w:tcPr>
          <w:p w14:paraId="405BDBCC" w14:textId="44CFE948" w:rsidR="000D5CCA" w:rsidRPr="00671E8F" w:rsidRDefault="000D5CCA" w:rsidP="000D5CCA">
            <w:pPr>
              <w:jc w:val="center"/>
              <w:rPr>
                <w:rFonts w:eastAsia="Calibri" w:cstheme="minorHAnsi"/>
                <w:bCs/>
                <w:color w:val="002060"/>
                <w:sz w:val="18"/>
                <w:szCs w:val="18"/>
              </w:rPr>
            </w:pPr>
            <w:r w:rsidRPr="00671E8F">
              <w:rPr>
                <w:rFonts w:ascii="Calibri" w:hAnsi="Calibri" w:cs="Calibri"/>
                <w:color w:val="002060"/>
                <w:sz w:val="18"/>
                <w:szCs w:val="18"/>
              </w:rPr>
              <w:t> </w:t>
            </w:r>
          </w:p>
        </w:tc>
      </w:tr>
      <w:tr w:rsidR="000D5CCA" w:rsidRPr="00671E8F" w14:paraId="3E59C7B9" w14:textId="77777777" w:rsidTr="009367BB">
        <w:trPr>
          <w:trHeight w:val="281"/>
          <w:jc w:val="center"/>
        </w:trPr>
        <w:tc>
          <w:tcPr>
            <w:tcW w:w="2590" w:type="pct"/>
            <w:noWrap/>
            <w:vAlign w:val="center"/>
            <w:hideMark/>
          </w:tcPr>
          <w:p w14:paraId="2AA6E271"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Пољопривреда</w:t>
            </w:r>
          </w:p>
        </w:tc>
        <w:tc>
          <w:tcPr>
            <w:tcW w:w="603" w:type="pct"/>
            <w:tcBorders>
              <w:top w:val="nil"/>
              <w:left w:val="nil"/>
              <w:bottom w:val="nil"/>
              <w:right w:val="nil"/>
            </w:tcBorders>
            <w:shd w:val="clear" w:color="auto" w:fill="auto"/>
            <w:noWrap/>
            <w:vAlign w:val="center"/>
          </w:tcPr>
          <w:p w14:paraId="5F49CCEF" w14:textId="503307D8" w:rsidR="000D5CCA" w:rsidRPr="00671E8F" w:rsidRDefault="000D5CCA" w:rsidP="000D5CCA">
            <w:pPr>
              <w:jc w:val="center"/>
              <w:rPr>
                <w:color w:val="002060"/>
                <w:sz w:val="18"/>
              </w:rPr>
            </w:pPr>
            <w:r w:rsidRPr="00671E8F">
              <w:rPr>
                <w:rFonts w:ascii="Calibri" w:hAnsi="Calibri" w:cs="Calibri"/>
                <w:color w:val="002060"/>
                <w:sz w:val="18"/>
                <w:szCs w:val="18"/>
              </w:rPr>
              <w:t>-0.2</w:t>
            </w:r>
          </w:p>
        </w:tc>
        <w:tc>
          <w:tcPr>
            <w:tcW w:w="604" w:type="pct"/>
            <w:tcBorders>
              <w:top w:val="nil"/>
              <w:left w:val="nil"/>
              <w:bottom w:val="nil"/>
              <w:right w:val="nil"/>
            </w:tcBorders>
            <w:shd w:val="clear" w:color="auto" w:fill="auto"/>
            <w:noWrap/>
            <w:vAlign w:val="center"/>
          </w:tcPr>
          <w:p w14:paraId="2D47DC65" w14:textId="112ADBAE" w:rsidR="000D5CCA" w:rsidRPr="00671E8F" w:rsidRDefault="000D5CCA" w:rsidP="000D5CCA">
            <w:pPr>
              <w:jc w:val="center"/>
              <w:rPr>
                <w:color w:val="002060"/>
                <w:sz w:val="18"/>
              </w:rPr>
            </w:pPr>
            <w:r w:rsidRPr="00671E8F">
              <w:rPr>
                <w:rFonts w:ascii="Calibri" w:hAnsi="Calibri" w:cs="Calibri"/>
                <w:color w:val="002060"/>
                <w:sz w:val="18"/>
                <w:szCs w:val="18"/>
              </w:rPr>
              <w:t>0.2</w:t>
            </w:r>
          </w:p>
        </w:tc>
        <w:tc>
          <w:tcPr>
            <w:tcW w:w="603" w:type="pct"/>
            <w:tcBorders>
              <w:top w:val="nil"/>
              <w:left w:val="nil"/>
              <w:bottom w:val="nil"/>
              <w:right w:val="nil"/>
            </w:tcBorders>
            <w:shd w:val="clear" w:color="auto" w:fill="auto"/>
            <w:noWrap/>
            <w:vAlign w:val="center"/>
          </w:tcPr>
          <w:p w14:paraId="38DED3ED" w14:textId="3EEA3C1B" w:rsidR="000D5CCA" w:rsidRPr="00671E8F" w:rsidRDefault="000D5CCA" w:rsidP="000D5CCA">
            <w:pPr>
              <w:jc w:val="center"/>
              <w:rPr>
                <w:color w:val="002060"/>
                <w:sz w:val="18"/>
              </w:rPr>
            </w:pPr>
            <w:r w:rsidRPr="00671E8F">
              <w:rPr>
                <w:rFonts w:ascii="Calibri" w:hAnsi="Calibri" w:cs="Calibri"/>
                <w:color w:val="002060"/>
                <w:sz w:val="18"/>
                <w:szCs w:val="18"/>
              </w:rPr>
              <w:t>0.0</w:t>
            </w:r>
          </w:p>
        </w:tc>
        <w:tc>
          <w:tcPr>
            <w:tcW w:w="600" w:type="pct"/>
            <w:tcBorders>
              <w:top w:val="nil"/>
              <w:left w:val="nil"/>
              <w:bottom w:val="nil"/>
              <w:right w:val="nil"/>
            </w:tcBorders>
            <w:shd w:val="clear" w:color="auto" w:fill="auto"/>
            <w:noWrap/>
            <w:vAlign w:val="center"/>
          </w:tcPr>
          <w:p w14:paraId="5774FEA4" w14:textId="0C30EB53" w:rsidR="000D5CCA" w:rsidRPr="00671E8F" w:rsidRDefault="000D5CCA" w:rsidP="000D5CCA">
            <w:pPr>
              <w:jc w:val="center"/>
              <w:rPr>
                <w:color w:val="002060"/>
                <w:sz w:val="18"/>
              </w:rPr>
            </w:pPr>
            <w:r w:rsidRPr="00671E8F">
              <w:rPr>
                <w:rFonts w:ascii="Calibri" w:hAnsi="Calibri" w:cs="Calibri"/>
                <w:color w:val="002060"/>
                <w:sz w:val="18"/>
                <w:szCs w:val="18"/>
              </w:rPr>
              <w:t>0.0</w:t>
            </w:r>
          </w:p>
        </w:tc>
      </w:tr>
      <w:tr w:rsidR="000D5CCA" w:rsidRPr="00671E8F" w14:paraId="69EAE78D" w14:textId="77777777" w:rsidTr="009367BB">
        <w:trPr>
          <w:trHeight w:val="281"/>
          <w:jc w:val="center"/>
        </w:trPr>
        <w:tc>
          <w:tcPr>
            <w:tcW w:w="2590" w:type="pct"/>
            <w:noWrap/>
            <w:vAlign w:val="center"/>
            <w:hideMark/>
          </w:tcPr>
          <w:p w14:paraId="154FDE80"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Индустрија</w:t>
            </w:r>
          </w:p>
        </w:tc>
        <w:tc>
          <w:tcPr>
            <w:tcW w:w="603" w:type="pct"/>
            <w:tcBorders>
              <w:top w:val="nil"/>
              <w:left w:val="nil"/>
              <w:bottom w:val="nil"/>
              <w:right w:val="nil"/>
            </w:tcBorders>
            <w:shd w:val="clear" w:color="auto" w:fill="auto"/>
            <w:noWrap/>
            <w:vAlign w:val="center"/>
          </w:tcPr>
          <w:p w14:paraId="34178342" w14:textId="316C02AA" w:rsidR="000D5CCA" w:rsidRPr="00671E8F" w:rsidRDefault="000D5CCA" w:rsidP="000D5CCA">
            <w:pPr>
              <w:jc w:val="center"/>
              <w:rPr>
                <w:color w:val="002060"/>
                <w:sz w:val="18"/>
              </w:rPr>
            </w:pPr>
            <w:r w:rsidRPr="00671E8F">
              <w:rPr>
                <w:rFonts w:ascii="Calibri" w:hAnsi="Calibri" w:cs="Calibri"/>
                <w:color w:val="002060"/>
                <w:sz w:val="18"/>
                <w:szCs w:val="18"/>
              </w:rPr>
              <w:t>0.6</w:t>
            </w:r>
          </w:p>
        </w:tc>
        <w:tc>
          <w:tcPr>
            <w:tcW w:w="604" w:type="pct"/>
            <w:tcBorders>
              <w:top w:val="nil"/>
              <w:left w:val="nil"/>
              <w:bottom w:val="nil"/>
              <w:right w:val="nil"/>
            </w:tcBorders>
            <w:shd w:val="clear" w:color="auto" w:fill="auto"/>
            <w:noWrap/>
            <w:vAlign w:val="center"/>
          </w:tcPr>
          <w:p w14:paraId="05133BA5" w14:textId="2FD20D77" w:rsidR="000D5CCA" w:rsidRPr="00671E8F" w:rsidRDefault="000D5CCA" w:rsidP="000D5CCA">
            <w:pPr>
              <w:jc w:val="center"/>
              <w:rPr>
                <w:color w:val="002060"/>
                <w:sz w:val="18"/>
              </w:rPr>
            </w:pPr>
            <w:r w:rsidRPr="00671E8F">
              <w:rPr>
                <w:rFonts w:ascii="Calibri" w:hAnsi="Calibri" w:cs="Calibri"/>
                <w:color w:val="002060"/>
                <w:sz w:val="18"/>
                <w:szCs w:val="18"/>
              </w:rPr>
              <w:t>0.8</w:t>
            </w:r>
          </w:p>
        </w:tc>
        <w:tc>
          <w:tcPr>
            <w:tcW w:w="603" w:type="pct"/>
            <w:tcBorders>
              <w:top w:val="nil"/>
              <w:left w:val="nil"/>
              <w:bottom w:val="nil"/>
              <w:right w:val="nil"/>
            </w:tcBorders>
            <w:shd w:val="clear" w:color="auto" w:fill="auto"/>
            <w:noWrap/>
            <w:vAlign w:val="center"/>
          </w:tcPr>
          <w:p w14:paraId="4DE3D30D" w14:textId="536FA655" w:rsidR="000D5CCA" w:rsidRPr="00671E8F" w:rsidRDefault="000D5CCA" w:rsidP="000D5CCA">
            <w:pPr>
              <w:jc w:val="center"/>
              <w:rPr>
                <w:color w:val="002060"/>
                <w:sz w:val="18"/>
              </w:rPr>
            </w:pPr>
            <w:r w:rsidRPr="00671E8F">
              <w:rPr>
                <w:rFonts w:ascii="Calibri" w:hAnsi="Calibri" w:cs="Calibri"/>
                <w:color w:val="002060"/>
                <w:sz w:val="18"/>
                <w:szCs w:val="18"/>
              </w:rPr>
              <w:t>0.9</w:t>
            </w:r>
          </w:p>
        </w:tc>
        <w:tc>
          <w:tcPr>
            <w:tcW w:w="600" w:type="pct"/>
            <w:tcBorders>
              <w:top w:val="nil"/>
              <w:left w:val="nil"/>
              <w:bottom w:val="nil"/>
              <w:right w:val="nil"/>
            </w:tcBorders>
            <w:shd w:val="clear" w:color="auto" w:fill="auto"/>
            <w:noWrap/>
            <w:vAlign w:val="center"/>
          </w:tcPr>
          <w:p w14:paraId="382476B6" w14:textId="0DE30AFF" w:rsidR="000D5CCA" w:rsidRPr="00671E8F" w:rsidRDefault="000D5CCA" w:rsidP="000D5CCA">
            <w:pPr>
              <w:jc w:val="center"/>
              <w:rPr>
                <w:color w:val="002060"/>
                <w:sz w:val="18"/>
              </w:rPr>
            </w:pPr>
            <w:r w:rsidRPr="00671E8F">
              <w:rPr>
                <w:rFonts w:ascii="Calibri" w:hAnsi="Calibri" w:cs="Calibri"/>
                <w:color w:val="002060"/>
                <w:sz w:val="18"/>
                <w:szCs w:val="18"/>
              </w:rPr>
              <w:t>1.0</w:t>
            </w:r>
          </w:p>
        </w:tc>
      </w:tr>
      <w:tr w:rsidR="000D5CCA" w:rsidRPr="00671E8F" w14:paraId="520B6128" w14:textId="77777777" w:rsidTr="009367BB">
        <w:trPr>
          <w:trHeight w:val="281"/>
          <w:jc w:val="center"/>
        </w:trPr>
        <w:tc>
          <w:tcPr>
            <w:tcW w:w="2590" w:type="pct"/>
            <w:noWrap/>
            <w:vAlign w:val="center"/>
            <w:hideMark/>
          </w:tcPr>
          <w:p w14:paraId="73C1F857"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Грађевинарство</w:t>
            </w:r>
          </w:p>
        </w:tc>
        <w:tc>
          <w:tcPr>
            <w:tcW w:w="603" w:type="pct"/>
            <w:tcBorders>
              <w:top w:val="nil"/>
              <w:left w:val="nil"/>
              <w:bottom w:val="nil"/>
              <w:right w:val="nil"/>
            </w:tcBorders>
            <w:shd w:val="clear" w:color="auto" w:fill="auto"/>
            <w:noWrap/>
            <w:vAlign w:val="center"/>
          </w:tcPr>
          <w:p w14:paraId="736125ED" w14:textId="07F97A50" w:rsidR="000D5CCA" w:rsidRPr="00671E8F" w:rsidRDefault="000D5CCA" w:rsidP="000D5CCA">
            <w:pPr>
              <w:jc w:val="center"/>
              <w:rPr>
                <w:color w:val="002060"/>
                <w:sz w:val="18"/>
              </w:rPr>
            </w:pPr>
            <w:r w:rsidRPr="00671E8F">
              <w:rPr>
                <w:rFonts w:ascii="Calibri" w:hAnsi="Calibri" w:cs="Calibri"/>
                <w:color w:val="002060"/>
                <w:sz w:val="18"/>
                <w:szCs w:val="18"/>
              </w:rPr>
              <w:t>0.5</w:t>
            </w:r>
          </w:p>
        </w:tc>
        <w:tc>
          <w:tcPr>
            <w:tcW w:w="604" w:type="pct"/>
            <w:tcBorders>
              <w:top w:val="nil"/>
              <w:left w:val="nil"/>
              <w:bottom w:val="nil"/>
              <w:right w:val="nil"/>
            </w:tcBorders>
            <w:shd w:val="clear" w:color="auto" w:fill="auto"/>
            <w:noWrap/>
            <w:vAlign w:val="center"/>
          </w:tcPr>
          <w:p w14:paraId="70F8ECE8" w14:textId="15C772D3" w:rsidR="000D5CCA" w:rsidRPr="00671E8F" w:rsidRDefault="000D5CCA" w:rsidP="000D5CCA">
            <w:pPr>
              <w:jc w:val="center"/>
              <w:rPr>
                <w:color w:val="002060"/>
                <w:sz w:val="18"/>
              </w:rPr>
            </w:pPr>
            <w:r w:rsidRPr="00671E8F">
              <w:rPr>
                <w:rFonts w:ascii="Calibri" w:hAnsi="Calibri" w:cs="Calibri"/>
                <w:color w:val="002060"/>
                <w:sz w:val="18"/>
                <w:szCs w:val="18"/>
              </w:rPr>
              <w:t>0.4</w:t>
            </w:r>
          </w:p>
        </w:tc>
        <w:tc>
          <w:tcPr>
            <w:tcW w:w="603" w:type="pct"/>
            <w:tcBorders>
              <w:top w:val="nil"/>
              <w:left w:val="nil"/>
              <w:bottom w:val="nil"/>
              <w:right w:val="nil"/>
            </w:tcBorders>
            <w:shd w:val="clear" w:color="auto" w:fill="auto"/>
            <w:noWrap/>
            <w:vAlign w:val="center"/>
          </w:tcPr>
          <w:p w14:paraId="18A56B35" w14:textId="762E033E" w:rsidR="000D5CCA" w:rsidRPr="00671E8F" w:rsidRDefault="000D5CCA" w:rsidP="000D5CCA">
            <w:pPr>
              <w:jc w:val="center"/>
              <w:rPr>
                <w:color w:val="002060"/>
                <w:sz w:val="18"/>
              </w:rPr>
            </w:pPr>
            <w:r w:rsidRPr="00671E8F">
              <w:rPr>
                <w:rFonts w:ascii="Calibri" w:hAnsi="Calibri" w:cs="Calibri"/>
                <w:color w:val="002060"/>
                <w:sz w:val="18"/>
                <w:szCs w:val="18"/>
              </w:rPr>
              <w:t>0.4</w:t>
            </w:r>
          </w:p>
        </w:tc>
        <w:tc>
          <w:tcPr>
            <w:tcW w:w="600" w:type="pct"/>
            <w:tcBorders>
              <w:top w:val="nil"/>
              <w:left w:val="nil"/>
              <w:bottom w:val="nil"/>
              <w:right w:val="nil"/>
            </w:tcBorders>
            <w:shd w:val="clear" w:color="auto" w:fill="auto"/>
            <w:noWrap/>
            <w:vAlign w:val="center"/>
          </w:tcPr>
          <w:p w14:paraId="1D0E8B86" w14:textId="3EB7C3C9" w:rsidR="000D5CCA" w:rsidRPr="00671E8F" w:rsidRDefault="000D5CCA" w:rsidP="000D5CCA">
            <w:pPr>
              <w:jc w:val="center"/>
              <w:rPr>
                <w:color w:val="002060"/>
                <w:sz w:val="18"/>
              </w:rPr>
            </w:pPr>
            <w:r w:rsidRPr="00671E8F">
              <w:rPr>
                <w:rFonts w:ascii="Calibri" w:hAnsi="Calibri" w:cs="Calibri"/>
                <w:color w:val="002060"/>
                <w:sz w:val="18"/>
                <w:szCs w:val="18"/>
              </w:rPr>
              <w:t>0.4</w:t>
            </w:r>
          </w:p>
        </w:tc>
      </w:tr>
      <w:tr w:rsidR="000D5CCA" w:rsidRPr="00671E8F" w14:paraId="73EC5AA3" w14:textId="77777777" w:rsidTr="009367BB">
        <w:trPr>
          <w:trHeight w:val="281"/>
          <w:jc w:val="center"/>
        </w:trPr>
        <w:tc>
          <w:tcPr>
            <w:tcW w:w="2590" w:type="pct"/>
            <w:noWrap/>
            <w:vAlign w:val="center"/>
            <w:hideMark/>
          </w:tcPr>
          <w:p w14:paraId="199B0E54"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Услуге</w:t>
            </w:r>
          </w:p>
        </w:tc>
        <w:tc>
          <w:tcPr>
            <w:tcW w:w="603" w:type="pct"/>
            <w:tcBorders>
              <w:top w:val="nil"/>
              <w:left w:val="nil"/>
              <w:bottom w:val="nil"/>
              <w:right w:val="nil"/>
            </w:tcBorders>
            <w:shd w:val="clear" w:color="auto" w:fill="auto"/>
            <w:noWrap/>
            <w:vAlign w:val="center"/>
          </w:tcPr>
          <w:p w14:paraId="6C817B56" w14:textId="40DBDC77" w:rsidR="000D5CCA" w:rsidRPr="00671E8F" w:rsidRDefault="000D5CCA" w:rsidP="000D5CCA">
            <w:pPr>
              <w:jc w:val="center"/>
              <w:rPr>
                <w:color w:val="002060"/>
                <w:sz w:val="18"/>
              </w:rPr>
            </w:pPr>
            <w:r w:rsidRPr="00671E8F">
              <w:rPr>
                <w:rFonts w:ascii="Calibri" w:hAnsi="Calibri" w:cs="Calibri"/>
                <w:color w:val="002060"/>
                <w:sz w:val="18"/>
                <w:szCs w:val="18"/>
              </w:rPr>
              <w:t>2.4</w:t>
            </w:r>
          </w:p>
        </w:tc>
        <w:tc>
          <w:tcPr>
            <w:tcW w:w="604" w:type="pct"/>
            <w:tcBorders>
              <w:top w:val="nil"/>
              <w:left w:val="nil"/>
              <w:bottom w:val="nil"/>
              <w:right w:val="nil"/>
            </w:tcBorders>
            <w:shd w:val="clear" w:color="auto" w:fill="auto"/>
            <w:noWrap/>
            <w:vAlign w:val="center"/>
          </w:tcPr>
          <w:p w14:paraId="3E6595BE" w14:textId="648B7B19" w:rsidR="000D5CCA" w:rsidRPr="00671E8F" w:rsidRDefault="000D5CCA" w:rsidP="000D5CCA">
            <w:pPr>
              <w:jc w:val="center"/>
              <w:rPr>
                <w:color w:val="002060"/>
                <w:sz w:val="18"/>
              </w:rPr>
            </w:pPr>
            <w:r w:rsidRPr="00671E8F">
              <w:rPr>
                <w:rFonts w:ascii="Calibri" w:hAnsi="Calibri" w:cs="Calibri"/>
                <w:color w:val="002060"/>
                <w:sz w:val="18"/>
                <w:szCs w:val="18"/>
              </w:rPr>
              <w:t>2.2</w:t>
            </w:r>
          </w:p>
        </w:tc>
        <w:tc>
          <w:tcPr>
            <w:tcW w:w="603" w:type="pct"/>
            <w:tcBorders>
              <w:top w:val="nil"/>
              <w:left w:val="nil"/>
              <w:bottom w:val="nil"/>
              <w:right w:val="nil"/>
            </w:tcBorders>
            <w:shd w:val="clear" w:color="auto" w:fill="auto"/>
            <w:noWrap/>
            <w:vAlign w:val="center"/>
          </w:tcPr>
          <w:p w14:paraId="5A2E6B78" w14:textId="1A363696" w:rsidR="000D5CCA" w:rsidRPr="00671E8F" w:rsidRDefault="000D5CCA" w:rsidP="000D5CCA">
            <w:pPr>
              <w:jc w:val="center"/>
              <w:rPr>
                <w:color w:val="002060"/>
                <w:sz w:val="18"/>
              </w:rPr>
            </w:pPr>
            <w:r w:rsidRPr="00671E8F">
              <w:rPr>
                <w:rFonts w:ascii="Calibri" w:hAnsi="Calibri" w:cs="Calibri"/>
                <w:color w:val="002060"/>
                <w:sz w:val="18"/>
                <w:szCs w:val="18"/>
              </w:rPr>
              <w:t>2.3</w:t>
            </w:r>
          </w:p>
        </w:tc>
        <w:tc>
          <w:tcPr>
            <w:tcW w:w="600" w:type="pct"/>
            <w:tcBorders>
              <w:top w:val="nil"/>
              <w:left w:val="nil"/>
              <w:bottom w:val="nil"/>
              <w:right w:val="nil"/>
            </w:tcBorders>
            <w:shd w:val="clear" w:color="auto" w:fill="auto"/>
            <w:noWrap/>
            <w:vAlign w:val="center"/>
          </w:tcPr>
          <w:p w14:paraId="41DDC571" w14:textId="156BCB61" w:rsidR="000D5CCA" w:rsidRPr="00671E8F" w:rsidRDefault="000D5CCA" w:rsidP="000D5CCA">
            <w:pPr>
              <w:jc w:val="center"/>
              <w:rPr>
                <w:color w:val="002060"/>
                <w:sz w:val="18"/>
              </w:rPr>
            </w:pPr>
            <w:r w:rsidRPr="00671E8F">
              <w:rPr>
                <w:rFonts w:ascii="Calibri" w:hAnsi="Calibri" w:cs="Calibri"/>
                <w:color w:val="002060"/>
                <w:sz w:val="18"/>
                <w:szCs w:val="18"/>
              </w:rPr>
              <w:t>3.0</w:t>
            </w:r>
          </w:p>
        </w:tc>
      </w:tr>
      <w:tr w:rsidR="000D5CCA" w:rsidRPr="00671E8F" w14:paraId="3934910E" w14:textId="77777777" w:rsidTr="009367BB">
        <w:trPr>
          <w:trHeight w:val="281"/>
          <w:jc w:val="center"/>
        </w:trPr>
        <w:tc>
          <w:tcPr>
            <w:tcW w:w="2590" w:type="pct"/>
            <w:noWrap/>
            <w:vAlign w:val="center"/>
          </w:tcPr>
          <w:p w14:paraId="4D5E1035"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Нето порези</w:t>
            </w:r>
          </w:p>
        </w:tc>
        <w:tc>
          <w:tcPr>
            <w:tcW w:w="603" w:type="pct"/>
            <w:tcBorders>
              <w:top w:val="nil"/>
              <w:left w:val="nil"/>
              <w:bottom w:val="nil"/>
              <w:right w:val="nil"/>
            </w:tcBorders>
            <w:shd w:val="clear" w:color="auto" w:fill="auto"/>
            <w:noWrap/>
            <w:vAlign w:val="center"/>
          </w:tcPr>
          <w:p w14:paraId="2CA097CC" w14:textId="5BA43F92" w:rsidR="000D5CCA" w:rsidRPr="00671E8F" w:rsidRDefault="000D5CCA" w:rsidP="000D5CCA">
            <w:pPr>
              <w:jc w:val="center"/>
              <w:rPr>
                <w:color w:val="002060"/>
                <w:sz w:val="18"/>
              </w:rPr>
            </w:pPr>
            <w:r w:rsidRPr="00671E8F">
              <w:rPr>
                <w:rFonts w:ascii="Calibri" w:hAnsi="Calibri" w:cs="Calibri"/>
                <w:color w:val="002060"/>
                <w:sz w:val="18"/>
                <w:szCs w:val="18"/>
              </w:rPr>
              <w:t>0.7</w:t>
            </w:r>
          </w:p>
        </w:tc>
        <w:tc>
          <w:tcPr>
            <w:tcW w:w="604" w:type="pct"/>
            <w:tcBorders>
              <w:top w:val="nil"/>
              <w:left w:val="nil"/>
              <w:bottom w:val="nil"/>
              <w:right w:val="nil"/>
            </w:tcBorders>
            <w:shd w:val="clear" w:color="auto" w:fill="auto"/>
            <w:noWrap/>
            <w:vAlign w:val="center"/>
          </w:tcPr>
          <w:p w14:paraId="27EC3F15" w14:textId="59F40377" w:rsidR="000D5CCA" w:rsidRPr="00671E8F" w:rsidRDefault="000D5CCA" w:rsidP="000D5CCA">
            <w:pPr>
              <w:jc w:val="center"/>
              <w:rPr>
                <w:color w:val="002060"/>
                <w:sz w:val="18"/>
              </w:rPr>
            </w:pPr>
            <w:r w:rsidRPr="00671E8F">
              <w:rPr>
                <w:rFonts w:ascii="Calibri" w:hAnsi="Calibri" w:cs="Calibri"/>
                <w:color w:val="002060"/>
                <w:sz w:val="18"/>
                <w:szCs w:val="18"/>
              </w:rPr>
              <w:t>0.6</w:t>
            </w:r>
          </w:p>
        </w:tc>
        <w:tc>
          <w:tcPr>
            <w:tcW w:w="603" w:type="pct"/>
            <w:tcBorders>
              <w:top w:val="nil"/>
              <w:left w:val="nil"/>
              <w:bottom w:val="nil"/>
              <w:right w:val="nil"/>
            </w:tcBorders>
            <w:shd w:val="clear" w:color="auto" w:fill="auto"/>
            <w:noWrap/>
            <w:vAlign w:val="center"/>
          </w:tcPr>
          <w:p w14:paraId="2D3CD788" w14:textId="06F3D29A" w:rsidR="000D5CCA" w:rsidRPr="00671E8F" w:rsidRDefault="000D5CCA" w:rsidP="000D5CCA">
            <w:pPr>
              <w:jc w:val="center"/>
              <w:rPr>
                <w:color w:val="002060"/>
                <w:sz w:val="18"/>
              </w:rPr>
            </w:pPr>
            <w:r w:rsidRPr="00671E8F">
              <w:rPr>
                <w:rFonts w:ascii="Calibri" w:hAnsi="Calibri" w:cs="Calibri"/>
                <w:color w:val="002060"/>
                <w:sz w:val="18"/>
                <w:szCs w:val="18"/>
              </w:rPr>
              <w:t>0.5</w:t>
            </w:r>
          </w:p>
        </w:tc>
        <w:tc>
          <w:tcPr>
            <w:tcW w:w="600" w:type="pct"/>
            <w:tcBorders>
              <w:top w:val="nil"/>
              <w:left w:val="nil"/>
              <w:bottom w:val="nil"/>
              <w:right w:val="nil"/>
            </w:tcBorders>
            <w:shd w:val="clear" w:color="auto" w:fill="auto"/>
            <w:noWrap/>
            <w:vAlign w:val="center"/>
          </w:tcPr>
          <w:p w14:paraId="12253A26" w14:textId="6DE944D8" w:rsidR="000D5CCA" w:rsidRPr="00671E8F" w:rsidRDefault="000D5CCA" w:rsidP="000D5CCA">
            <w:pPr>
              <w:jc w:val="center"/>
              <w:rPr>
                <w:color w:val="002060"/>
                <w:sz w:val="18"/>
              </w:rPr>
            </w:pPr>
            <w:r w:rsidRPr="00671E8F">
              <w:rPr>
                <w:rFonts w:ascii="Calibri" w:hAnsi="Calibri" w:cs="Calibri"/>
                <w:color w:val="002060"/>
                <w:sz w:val="18"/>
                <w:szCs w:val="18"/>
              </w:rPr>
              <w:t>0.6</w:t>
            </w:r>
          </w:p>
        </w:tc>
      </w:tr>
      <w:tr w:rsidR="000D5CCA" w:rsidRPr="00671E8F" w14:paraId="1F27636A" w14:textId="77777777" w:rsidTr="009367BB">
        <w:trPr>
          <w:trHeight w:val="281"/>
          <w:jc w:val="center"/>
        </w:trPr>
        <w:tc>
          <w:tcPr>
            <w:tcW w:w="2590" w:type="pct"/>
            <w:shd w:val="clear" w:color="auto" w:fill="E7E6E6" w:themeFill="background2"/>
            <w:noWrap/>
            <w:vAlign w:val="center"/>
            <w:hideMark/>
          </w:tcPr>
          <w:p w14:paraId="30ADAA57" w14:textId="77777777" w:rsidR="000D5CCA" w:rsidRPr="00671E8F" w:rsidRDefault="000D5CCA" w:rsidP="000D5CCA">
            <w:pPr>
              <w:jc w:val="left"/>
              <w:rPr>
                <w:rFonts w:eastAsia="Calibri" w:cstheme="minorHAnsi"/>
                <w:bCs/>
                <w:iCs/>
                <w:color w:val="002060"/>
                <w:sz w:val="18"/>
                <w:szCs w:val="18"/>
              </w:rPr>
            </w:pPr>
            <w:r w:rsidRPr="00671E8F">
              <w:rPr>
                <w:rFonts w:eastAsia="Calibri" w:cstheme="minorHAnsi"/>
                <w:iCs/>
                <w:color w:val="002060"/>
                <w:sz w:val="18"/>
                <w:szCs w:val="18"/>
              </w:rPr>
              <w:t>Кретање цена, %</w:t>
            </w:r>
          </w:p>
        </w:tc>
        <w:tc>
          <w:tcPr>
            <w:tcW w:w="603" w:type="pct"/>
            <w:tcBorders>
              <w:top w:val="nil"/>
              <w:left w:val="nil"/>
              <w:bottom w:val="nil"/>
              <w:right w:val="nil"/>
            </w:tcBorders>
            <w:shd w:val="clear" w:color="000000" w:fill="E7E6E6"/>
            <w:noWrap/>
            <w:vAlign w:val="center"/>
          </w:tcPr>
          <w:p w14:paraId="116CA6CC" w14:textId="71DCB119" w:rsidR="000D5CCA" w:rsidRPr="00671E8F" w:rsidRDefault="000D5CCA" w:rsidP="000D5CCA">
            <w:pPr>
              <w:jc w:val="center"/>
              <w:rPr>
                <w:rFonts w:eastAsia="Calibri" w:cstheme="minorHAnsi"/>
                <w:iCs/>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noWrap/>
            <w:vAlign w:val="center"/>
          </w:tcPr>
          <w:p w14:paraId="104795C3" w14:textId="50613F81"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noWrap/>
            <w:vAlign w:val="center"/>
          </w:tcPr>
          <w:p w14:paraId="25490F6A" w14:textId="275E82FC"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noWrap/>
            <w:vAlign w:val="center"/>
          </w:tcPr>
          <w:p w14:paraId="7EE12A79" w14:textId="29FB452B"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r>
      <w:tr w:rsidR="000D5CCA" w:rsidRPr="00671E8F" w14:paraId="66F6A15A" w14:textId="77777777" w:rsidTr="009367BB">
        <w:trPr>
          <w:trHeight w:val="281"/>
          <w:jc w:val="center"/>
        </w:trPr>
        <w:tc>
          <w:tcPr>
            <w:tcW w:w="2590" w:type="pct"/>
            <w:noWrap/>
            <w:vAlign w:val="center"/>
            <w:hideMark/>
          </w:tcPr>
          <w:p w14:paraId="451D8BEF"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БДП дефлатор</w:t>
            </w:r>
          </w:p>
        </w:tc>
        <w:tc>
          <w:tcPr>
            <w:tcW w:w="603" w:type="pct"/>
            <w:tcBorders>
              <w:top w:val="nil"/>
              <w:left w:val="nil"/>
              <w:bottom w:val="nil"/>
              <w:right w:val="nil"/>
            </w:tcBorders>
            <w:shd w:val="clear" w:color="auto" w:fill="auto"/>
            <w:noWrap/>
            <w:vAlign w:val="center"/>
          </w:tcPr>
          <w:p w14:paraId="198E3308" w14:textId="3F9A0244" w:rsidR="000D5CCA" w:rsidRPr="00671E8F" w:rsidRDefault="000D5CCA" w:rsidP="000D5CCA">
            <w:pPr>
              <w:jc w:val="center"/>
              <w:rPr>
                <w:color w:val="002060"/>
                <w:sz w:val="18"/>
              </w:rPr>
            </w:pPr>
            <w:r w:rsidRPr="00671E8F">
              <w:rPr>
                <w:rFonts w:ascii="Calibri" w:hAnsi="Calibri" w:cs="Calibri"/>
                <w:color w:val="002060"/>
                <w:sz w:val="18"/>
                <w:szCs w:val="18"/>
              </w:rPr>
              <w:t>5.0</w:t>
            </w:r>
          </w:p>
        </w:tc>
        <w:tc>
          <w:tcPr>
            <w:tcW w:w="604" w:type="pct"/>
            <w:tcBorders>
              <w:top w:val="nil"/>
              <w:left w:val="nil"/>
              <w:bottom w:val="nil"/>
              <w:right w:val="nil"/>
            </w:tcBorders>
            <w:shd w:val="clear" w:color="auto" w:fill="auto"/>
            <w:noWrap/>
            <w:vAlign w:val="center"/>
          </w:tcPr>
          <w:p w14:paraId="7F488043" w14:textId="7F9597D6" w:rsidR="000D5CCA" w:rsidRPr="00671E8F" w:rsidRDefault="000D5CCA" w:rsidP="000D5CCA">
            <w:pPr>
              <w:jc w:val="center"/>
              <w:rPr>
                <w:color w:val="002060"/>
                <w:sz w:val="18"/>
              </w:rPr>
            </w:pPr>
            <w:r w:rsidRPr="00671E8F">
              <w:rPr>
                <w:rFonts w:ascii="Calibri" w:hAnsi="Calibri" w:cs="Calibri"/>
                <w:color w:val="002060"/>
                <w:sz w:val="18"/>
                <w:szCs w:val="18"/>
              </w:rPr>
              <w:t>3.2</w:t>
            </w:r>
          </w:p>
        </w:tc>
        <w:tc>
          <w:tcPr>
            <w:tcW w:w="603" w:type="pct"/>
            <w:tcBorders>
              <w:top w:val="nil"/>
              <w:left w:val="nil"/>
              <w:bottom w:val="nil"/>
              <w:right w:val="nil"/>
            </w:tcBorders>
            <w:shd w:val="clear" w:color="auto" w:fill="auto"/>
            <w:noWrap/>
            <w:vAlign w:val="center"/>
          </w:tcPr>
          <w:p w14:paraId="1B6D79B0" w14:textId="71554E09" w:rsidR="000D5CCA" w:rsidRPr="00671E8F" w:rsidRDefault="000D5CCA" w:rsidP="000D5CCA">
            <w:pPr>
              <w:jc w:val="center"/>
              <w:rPr>
                <w:color w:val="002060"/>
                <w:sz w:val="18"/>
              </w:rPr>
            </w:pPr>
            <w:r w:rsidRPr="00671E8F">
              <w:rPr>
                <w:rFonts w:ascii="Calibri" w:hAnsi="Calibri" w:cs="Calibri"/>
                <w:color w:val="002060"/>
                <w:sz w:val="18"/>
                <w:szCs w:val="18"/>
              </w:rPr>
              <w:t>3.2</w:t>
            </w:r>
          </w:p>
        </w:tc>
        <w:tc>
          <w:tcPr>
            <w:tcW w:w="600" w:type="pct"/>
            <w:tcBorders>
              <w:top w:val="nil"/>
              <w:left w:val="nil"/>
              <w:bottom w:val="nil"/>
              <w:right w:val="nil"/>
            </w:tcBorders>
            <w:shd w:val="clear" w:color="auto" w:fill="auto"/>
            <w:noWrap/>
            <w:vAlign w:val="center"/>
          </w:tcPr>
          <w:p w14:paraId="51E2056A" w14:textId="3A0A1C0C" w:rsidR="000D5CCA" w:rsidRPr="00671E8F" w:rsidRDefault="000D5CCA" w:rsidP="000D5CCA">
            <w:pPr>
              <w:jc w:val="center"/>
              <w:rPr>
                <w:color w:val="002060"/>
                <w:sz w:val="18"/>
              </w:rPr>
            </w:pPr>
            <w:r w:rsidRPr="00671E8F">
              <w:rPr>
                <w:rFonts w:ascii="Calibri" w:hAnsi="Calibri" w:cs="Calibri"/>
                <w:color w:val="002060"/>
                <w:sz w:val="18"/>
                <w:szCs w:val="18"/>
              </w:rPr>
              <w:t>3.0</w:t>
            </w:r>
          </w:p>
        </w:tc>
      </w:tr>
      <w:tr w:rsidR="000D5CCA" w:rsidRPr="00671E8F" w14:paraId="46A08F40" w14:textId="77777777" w:rsidTr="009367BB">
        <w:trPr>
          <w:trHeight w:val="281"/>
          <w:jc w:val="center"/>
        </w:trPr>
        <w:tc>
          <w:tcPr>
            <w:tcW w:w="2590" w:type="pct"/>
            <w:noWrap/>
            <w:vAlign w:val="center"/>
            <w:hideMark/>
          </w:tcPr>
          <w:p w14:paraId="1E98DE7A"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Потрошачке цене (годишњи просек)</w:t>
            </w:r>
          </w:p>
        </w:tc>
        <w:tc>
          <w:tcPr>
            <w:tcW w:w="603" w:type="pct"/>
            <w:tcBorders>
              <w:top w:val="nil"/>
              <w:left w:val="nil"/>
              <w:bottom w:val="nil"/>
              <w:right w:val="nil"/>
            </w:tcBorders>
            <w:shd w:val="clear" w:color="auto" w:fill="auto"/>
            <w:noWrap/>
            <w:vAlign w:val="center"/>
          </w:tcPr>
          <w:p w14:paraId="699BAD8F" w14:textId="056AE573" w:rsidR="000D5CCA" w:rsidRPr="00671E8F" w:rsidRDefault="000D5CCA" w:rsidP="000D5CCA">
            <w:pPr>
              <w:jc w:val="center"/>
              <w:rPr>
                <w:color w:val="002060"/>
                <w:sz w:val="18"/>
              </w:rPr>
            </w:pPr>
            <w:r w:rsidRPr="00671E8F">
              <w:rPr>
                <w:rFonts w:ascii="Calibri" w:hAnsi="Calibri" w:cs="Calibri"/>
                <w:color w:val="002060"/>
                <w:sz w:val="18"/>
                <w:szCs w:val="18"/>
              </w:rPr>
              <w:t>4.7</w:t>
            </w:r>
          </w:p>
        </w:tc>
        <w:tc>
          <w:tcPr>
            <w:tcW w:w="604" w:type="pct"/>
            <w:tcBorders>
              <w:top w:val="nil"/>
              <w:left w:val="nil"/>
              <w:bottom w:val="nil"/>
              <w:right w:val="nil"/>
            </w:tcBorders>
            <w:shd w:val="clear" w:color="auto" w:fill="auto"/>
            <w:noWrap/>
            <w:vAlign w:val="center"/>
          </w:tcPr>
          <w:p w14:paraId="145E2C7B" w14:textId="6D01F432" w:rsidR="000D5CCA" w:rsidRPr="00671E8F" w:rsidRDefault="000D5CCA" w:rsidP="000D5CCA">
            <w:pPr>
              <w:jc w:val="center"/>
              <w:rPr>
                <w:color w:val="002060"/>
                <w:sz w:val="18"/>
              </w:rPr>
            </w:pPr>
            <w:r w:rsidRPr="00671E8F">
              <w:rPr>
                <w:rFonts w:ascii="Calibri" w:hAnsi="Calibri" w:cs="Calibri"/>
                <w:color w:val="002060"/>
                <w:sz w:val="18"/>
                <w:szCs w:val="18"/>
              </w:rPr>
              <w:t>3.5</w:t>
            </w:r>
          </w:p>
        </w:tc>
        <w:tc>
          <w:tcPr>
            <w:tcW w:w="603" w:type="pct"/>
            <w:tcBorders>
              <w:top w:val="nil"/>
              <w:left w:val="nil"/>
              <w:bottom w:val="nil"/>
              <w:right w:val="nil"/>
            </w:tcBorders>
            <w:shd w:val="clear" w:color="auto" w:fill="auto"/>
            <w:noWrap/>
            <w:vAlign w:val="center"/>
          </w:tcPr>
          <w:p w14:paraId="7BDD22E0" w14:textId="1054BD3E" w:rsidR="000D5CCA" w:rsidRPr="00671E8F" w:rsidRDefault="000D5CCA" w:rsidP="000D5CCA">
            <w:pPr>
              <w:jc w:val="center"/>
              <w:rPr>
                <w:color w:val="002060"/>
                <w:sz w:val="18"/>
              </w:rPr>
            </w:pPr>
            <w:r w:rsidRPr="00671E8F">
              <w:rPr>
                <w:rFonts w:ascii="Calibri" w:hAnsi="Calibri" w:cs="Calibri"/>
                <w:color w:val="002060"/>
                <w:sz w:val="18"/>
                <w:szCs w:val="18"/>
              </w:rPr>
              <w:t>3.5</w:t>
            </w:r>
          </w:p>
        </w:tc>
        <w:tc>
          <w:tcPr>
            <w:tcW w:w="600" w:type="pct"/>
            <w:tcBorders>
              <w:top w:val="nil"/>
              <w:left w:val="nil"/>
              <w:bottom w:val="nil"/>
              <w:right w:val="nil"/>
            </w:tcBorders>
            <w:shd w:val="clear" w:color="auto" w:fill="auto"/>
            <w:noWrap/>
            <w:vAlign w:val="center"/>
          </w:tcPr>
          <w:p w14:paraId="6D8FF46B" w14:textId="1C8FE880" w:rsidR="000D5CCA" w:rsidRPr="00671E8F" w:rsidRDefault="000D5CCA" w:rsidP="000D5CCA">
            <w:pPr>
              <w:jc w:val="center"/>
              <w:rPr>
                <w:color w:val="002060"/>
                <w:sz w:val="18"/>
              </w:rPr>
            </w:pPr>
            <w:r w:rsidRPr="00671E8F">
              <w:rPr>
                <w:rFonts w:ascii="Calibri" w:hAnsi="Calibri" w:cs="Calibri"/>
                <w:color w:val="002060"/>
                <w:sz w:val="18"/>
                <w:szCs w:val="18"/>
              </w:rPr>
              <w:t>3.3</w:t>
            </w:r>
          </w:p>
        </w:tc>
      </w:tr>
      <w:tr w:rsidR="000D5CCA" w:rsidRPr="00671E8F" w14:paraId="096C4E6E" w14:textId="77777777" w:rsidTr="009367BB">
        <w:trPr>
          <w:trHeight w:val="281"/>
          <w:jc w:val="center"/>
        </w:trPr>
        <w:tc>
          <w:tcPr>
            <w:tcW w:w="2590" w:type="pct"/>
            <w:shd w:val="clear" w:color="auto" w:fill="E7E6E6" w:themeFill="background2"/>
            <w:noWrap/>
            <w:vAlign w:val="center"/>
            <w:hideMark/>
          </w:tcPr>
          <w:p w14:paraId="18A47720" w14:textId="77777777" w:rsidR="000D5CCA" w:rsidRPr="00671E8F" w:rsidRDefault="000D5CCA" w:rsidP="000D5CCA">
            <w:pPr>
              <w:jc w:val="left"/>
              <w:rPr>
                <w:rFonts w:eastAsia="Calibri" w:cstheme="minorHAnsi"/>
                <w:bCs/>
                <w:iCs/>
                <w:color w:val="002060"/>
                <w:sz w:val="18"/>
                <w:szCs w:val="18"/>
              </w:rPr>
            </w:pPr>
            <w:r w:rsidRPr="00671E8F">
              <w:rPr>
                <w:rFonts w:eastAsia="Calibri" w:cstheme="minorHAnsi"/>
                <w:iCs/>
                <w:color w:val="002060"/>
                <w:sz w:val="18"/>
                <w:szCs w:val="18"/>
              </w:rPr>
              <w:t>Кретања у спољном сектору, % БДП</w:t>
            </w:r>
          </w:p>
        </w:tc>
        <w:tc>
          <w:tcPr>
            <w:tcW w:w="603" w:type="pct"/>
            <w:tcBorders>
              <w:top w:val="nil"/>
              <w:left w:val="nil"/>
              <w:bottom w:val="nil"/>
              <w:right w:val="nil"/>
            </w:tcBorders>
            <w:shd w:val="clear" w:color="000000" w:fill="E7E6E6"/>
            <w:noWrap/>
            <w:vAlign w:val="center"/>
          </w:tcPr>
          <w:p w14:paraId="787AB72D" w14:textId="75C55E3B"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4" w:type="pct"/>
            <w:tcBorders>
              <w:top w:val="nil"/>
              <w:left w:val="nil"/>
              <w:bottom w:val="nil"/>
              <w:right w:val="nil"/>
            </w:tcBorders>
            <w:shd w:val="clear" w:color="000000" w:fill="E7E6E6"/>
            <w:noWrap/>
            <w:vAlign w:val="center"/>
          </w:tcPr>
          <w:p w14:paraId="16D22E2A" w14:textId="7C67557B"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3" w:type="pct"/>
            <w:tcBorders>
              <w:top w:val="nil"/>
              <w:left w:val="nil"/>
              <w:bottom w:val="nil"/>
              <w:right w:val="nil"/>
            </w:tcBorders>
            <w:shd w:val="clear" w:color="000000" w:fill="E7E6E6"/>
            <w:noWrap/>
            <w:vAlign w:val="center"/>
          </w:tcPr>
          <w:p w14:paraId="1841BBA1" w14:textId="01B6AA74"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c>
          <w:tcPr>
            <w:tcW w:w="600" w:type="pct"/>
            <w:tcBorders>
              <w:top w:val="nil"/>
              <w:left w:val="nil"/>
              <w:bottom w:val="nil"/>
              <w:right w:val="nil"/>
            </w:tcBorders>
            <w:shd w:val="clear" w:color="000000" w:fill="E7E6E6"/>
            <w:noWrap/>
            <w:vAlign w:val="center"/>
          </w:tcPr>
          <w:p w14:paraId="2CC7D612" w14:textId="77F224FD" w:rsidR="000D5CCA" w:rsidRPr="00671E8F" w:rsidRDefault="000D5CCA" w:rsidP="000D5CCA">
            <w:pPr>
              <w:jc w:val="center"/>
              <w:rPr>
                <w:rFonts w:eastAsia="Calibri" w:cstheme="minorHAnsi"/>
                <w:color w:val="002060"/>
                <w:sz w:val="18"/>
                <w:szCs w:val="18"/>
              </w:rPr>
            </w:pPr>
            <w:r w:rsidRPr="00671E8F">
              <w:rPr>
                <w:rFonts w:ascii="Calibri" w:hAnsi="Calibri" w:cs="Calibri"/>
                <w:color w:val="002060"/>
                <w:sz w:val="18"/>
                <w:szCs w:val="18"/>
              </w:rPr>
              <w:t> </w:t>
            </w:r>
          </w:p>
        </w:tc>
      </w:tr>
      <w:tr w:rsidR="000D5CCA" w:rsidRPr="00671E8F" w14:paraId="3EF16E62" w14:textId="77777777" w:rsidTr="009367BB">
        <w:trPr>
          <w:trHeight w:val="281"/>
          <w:jc w:val="center"/>
        </w:trPr>
        <w:tc>
          <w:tcPr>
            <w:tcW w:w="2590" w:type="pct"/>
            <w:noWrap/>
            <w:vAlign w:val="center"/>
            <w:hideMark/>
          </w:tcPr>
          <w:p w14:paraId="1994B037" w14:textId="77777777" w:rsidR="000D5CCA" w:rsidRPr="00671E8F" w:rsidRDefault="000D5CCA" w:rsidP="000D5CCA">
            <w:pPr>
              <w:ind w:left="113"/>
              <w:jc w:val="left"/>
              <w:rPr>
                <w:rFonts w:eastAsia="Calibri" w:cstheme="minorHAnsi"/>
                <w:color w:val="002060"/>
                <w:sz w:val="18"/>
                <w:szCs w:val="18"/>
              </w:rPr>
            </w:pPr>
            <w:r w:rsidRPr="00671E8F">
              <w:rPr>
                <w:rFonts w:eastAsia="Calibri" w:cstheme="minorHAnsi"/>
                <w:color w:val="002060"/>
                <w:sz w:val="18"/>
                <w:szCs w:val="18"/>
              </w:rPr>
              <w:t>Салдо текућег рачуна</w:t>
            </w:r>
          </w:p>
        </w:tc>
        <w:tc>
          <w:tcPr>
            <w:tcW w:w="603" w:type="pct"/>
            <w:tcBorders>
              <w:top w:val="nil"/>
              <w:left w:val="nil"/>
              <w:bottom w:val="nil"/>
              <w:right w:val="nil"/>
            </w:tcBorders>
            <w:shd w:val="clear" w:color="auto" w:fill="auto"/>
            <w:noWrap/>
            <w:vAlign w:val="center"/>
          </w:tcPr>
          <w:p w14:paraId="7838DCA8" w14:textId="30987C60" w:rsidR="000D5CCA" w:rsidRPr="00671E8F" w:rsidRDefault="000D5CCA" w:rsidP="000D5CCA">
            <w:pPr>
              <w:jc w:val="center"/>
              <w:rPr>
                <w:color w:val="002060"/>
                <w:sz w:val="18"/>
              </w:rPr>
            </w:pPr>
            <w:r w:rsidRPr="00671E8F">
              <w:rPr>
                <w:rFonts w:ascii="Calibri" w:hAnsi="Calibri" w:cs="Calibri"/>
                <w:color w:val="002060"/>
                <w:sz w:val="18"/>
                <w:szCs w:val="18"/>
              </w:rPr>
              <w:t>-4.4</w:t>
            </w:r>
          </w:p>
        </w:tc>
        <w:tc>
          <w:tcPr>
            <w:tcW w:w="604" w:type="pct"/>
            <w:tcBorders>
              <w:top w:val="nil"/>
              <w:left w:val="nil"/>
              <w:bottom w:val="nil"/>
              <w:right w:val="nil"/>
            </w:tcBorders>
            <w:shd w:val="clear" w:color="auto" w:fill="auto"/>
            <w:noWrap/>
            <w:vAlign w:val="center"/>
          </w:tcPr>
          <w:p w14:paraId="38761F74" w14:textId="3B29A975" w:rsidR="000D5CCA" w:rsidRPr="00671E8F" w:rsidRDefault="000D5CCA" w:rsidP="000D5CCA">
            <w:pPr>
              <w:jc w:val="center"/>
              <w:rPr>
                <w:color w:val="002060"/>
                <w:sz w:val="18"/>
              </w:rPr>
            </w:pPr>
            <w:r w:rsidRPr="00671E8F">
              <w:rPr>
                <w:rFonts w:ascii="Calibri" w:hAnsi="Calibri" w:cs="Calibri"/>
                <w:color w:val="002060"/>
                <w:sz w:val="18"/>
                <w:szCs w:val="18"/>
              </w:rPr>
              <w:t>-5.2</w:t>
            </w:r>
          </w:p>
        </w:tc>
        <w:tc>
          <w:tcPr>
            <w:tcW w:w="603" w:type="pct"/>
            <w:tcBorders>
              <w:top w:val="nil"/>
              <w:left w:val="nil"/>
              <w:bottom w:val="nil"/>
              <w:right w:val="nil"/>
            </w:tcBorders>
            <w:shd w:val="clear" w:color="auto" w:fill="auto"/>
            <w:noWrap/>
            <w:vAlign w:val="center"/>
          </w:tcPr>
          <w:p w14:paraId="26A179E3" w14:textId="45F917D2" w:rsidR="000D5CCA" w:rsidRPr="00671E8F" w:rsidRDefault="000D5CCA" w:rsidP="000D5CCA">
            <w:pPr>
              <w:jc w:val="center"/>
              <w:rPr>
                <w:color w:val="002060"/>
                <w:sz w:val="18"/>
              </w:rPr>
            </w:pPr>
            <w:r w:rsidRPr="00671E8F">
              <w:rPr>
                <w:rFonts w:ascii="Calibri" w:hAnsi="Calibri" w:cs="Calibri"/>
                <w:color w:val="002060"/>
                <w:sz w:val="18"/>
                <w:szCs w:val="18"/>
              </w:rPr>
              <w:t>-5.4</w:t>
            </w:r>
          </w:p>
        </w:tc>
        <w:tc>
          <w:tcPr>
            <w:tcW w:w="600" w:type="pct"/>
            <w:tcBorders>
              <w:top w:val="nil"/>
              <w:left w:val="nil"/>
              <w:bottom w:val="nil"/>
              <w:right w:val="nil"/>
            </w:tcBorders>
            <w:shd w:val="clear" w:color="auto" w:fill="auto"/>
            <w:noWrap/>
            <w:vAlign w:val="center"/>
          </w:tcPr>
          <w:p w14:paraId="1BCDBDA7" w14:textId="0C2250F8" w:rsidR="000D5CCA" w:rsidRPr="00671E8F" w:rsidRDefault="000D5CCA" w:rsidP="000D5CCA">
            <w:pPr>
              <w:jc w:val="center"/>
              <w:rPr>
                <w:color w:val="002060"/>
                <w:sz w:val="18"/>
              </w:rPr>
            </w:pPr>
            <w:r w:rsidRPr="00671E8F">
              <w:rPr>
                <w:rFonts w:ascii="Calibri" w:hAnsi="Calibri" w:cs="Calibri"/>
                <w:color w:val="002060"/>
                <w:sz w:val="18"/>
                <w:szCs w:val="18"/>
              </w:rPr>
              <w:t>-4.2</w:t>
            </w:r>
          </w:p>
        </w:tc>
      </w:tr>
      <w:tr w:rsidR="000D5CCA" w:rsidRPr="00671E8F" w14:paraId="0E555E08" w14:textId="77777777" w:rsidTr="009367BB">
        <w:trPr>
          <w:trHeight w:val="283"/>
          <w:jc w:val="center"/>
        </w:trPr>
        <w:tc>
          <w:tcPr>
            <w:tcW w:w="2590" w:type="pct"/>
            <w:shd w:val="clear" w:color="auto" w:fill="E7E6E6" w:themeFill="background2"/>
            <w:noWrap/>
            <w:vAlign w:val="center"/>
            <w:hideMark/>
          </w:tcPr>
          <w:p w14:paraId="4F2480B7" w14:textId="77777777" w:rsidR="009367BB" w:rsidRPr="00671E8F" w:rsidRDefault="009367BB" w:rsidP="00953528">
            <w:pPr>
              <w:jc w:val="left"/>
              <w:rPr>
                <w:rFonts w:eastAsia="Calibri" w:cstheme="minorHAnsi"/>
                <w:bCs/>
                <w:iCs/>
                <w:color w:val="002060"/>
                <w:sz w:val="18"/>
                <w:szCs w:val="18"/>
              </w:rPr>
            </w:pPr>
            <w:r w:rsidRPr="00671E8F">
              <w:rPr>
                <w:rFonts w:eastAsia="Calibri" w:cstheme="minorHAnsi"/>
                <w:iCs/>
                <w:color w:val="002060"/>
                <w:sz w:val="18"/>
                <w:szCs w:val="18"/>
              </w:rPr>
              <w:t>Фискални индикатори, % БДП</w:t>
            </w:r>
          </w:p>
        </w:tc>
        <w:tc>
          <w:tcPr>
            <w:tcW w:w="603" w:type="pct"/>
            <w:shd w:val="clear" w:color="auto" w:fill="E7E6E6" w:themeFill="background2"/>
            <w:noWrap/>
            <w:vAlign w:val="center"/>
          </w:tcPr>
          <w:p w14:paraId="466AC186" w14:textId="77777777" w:rsidR="009367BB" w:rsidRPr="00671E8F" w:rsidRDefault="009367BB" w:rsidP="009367BB">
            <w:pPr>
              <w:jc w:val="center"/>
              <w:rPr>
                <w:rFonts w:eastAsia="Calibri" w:cstheme="minorHAnsi"/>
                <w:iCs/>
                <w:color w:val="002060"/>
                <w:sz w:val="18"/>
                <w:szCs w:val="18"/>
              </w:rPr>
            </w:pPr>
          </w:p>
        </w:tc>
        <w:tc>
          <w:tcPr>
            <w:tcW w:w="604" w:type="pct"/>
            <w:shd w:val="clear" w:color="auto" w:fill="E7E6E6" w:themeFill="background2"/>
            <w:noWrap/>
            <w:vAlign w:val="center"/>
          </w:tcPr>
          <w:p w14:paraId="088F11BE" w14:textId="77777777" w:rsidR="009367BB" w:rsidRPr="00671E8F" w:rsidRDefault="009367BB" w:rsidP="009367BB">
            <w:pPr>
              <w:jc w:val="center"/>
              <w:rPr>
                <w:rFonts w:eastAsia="Calibri" w:cstheme="minorHAnsi"/>
                <w:color w:val="002060"/>
                <w:sz w:val="18"/>
                <w:szCs w:val="18"/>
              </w:rPr>
            </w:pPr>
          </w:p>
        </w:tc>
        <w:tc>
          <w:tcPr>
            <w:tcW w:w="603" w:type="pct"/>
            <w:shd w:val="clear" w:color="auto" w:fill="E7E6E6" w:themeFill="background2"/>
            <w:noWrap/>
            <w:vAlign w:val="center"/>
          </w:tcPr>
          <w:p w14:paraId="73A85440" w14:textId="77777777" w:rsidR="009367BB" w:rsidRPr="00671E8F" w:rsidRDefault="009367BB" w:rsidP="009367BB">
            <w:pPr>
              <w:jc w:val="center"/>
              <w:rPr>
                <w:rFonts w:eastAsia="Calibri" w:cstheme="minorHAnsi"/>
                <w:color w:val="002060"/>
                <w:sz w:val="18"/>
                <w:szCs w:val="18"/>
              </w:rPr>
            </w:pPr>
          </w:p>
        </w:tc>
        <w:tc>
          <w:tcPr>
            <w:tcW w:w="600" w:type="pct"/>
            <w:shd w:val="clear" w:color="auto" w:fill="E7E6E6" w:themeFill="background2"/>
            <w:noWrap/>
            <w:vAlign w:val="center"/>
          </w:tcPr>
          <w:p w14:paraId="1BB51E3A" w14:textId="77777777" w:rsidR="009367BB" w:rsidRPr="00671E8F" w:rsidRDefault="009367BB" w:rsidP="009367BB">
            <w:pPr>
              <w:jc w:val="center"/>
              <w:rPr>
                <w:rFonts w:eastAsia="Calibri" w:cstheme="minorHAnsi"/>
                <w:color w:val="002060"/>
                <w:sz w:val="18"/>
                <w:szCs w:val="18"/>
              </w:rPr>
            </w:pPr>
          </w:p>
        </w:tc>
      </w:tr>
      <w:tr w:rsidR="000D5CCA" w:rsidRPr="00671E8F" w14:paraId="2DD48848" w14:textId="77777777" w:rsidTr="009367BB">
        <w:trPr>
          <w:trHeight w:val="281"/>
          <w:jc w:val="center"/>
        </w:trPr>
        <w:tc>
          <w:tcPr>
            <w:tcW w:w="2590" w:type="pct"/>
            <w:noWrap/>
            <w:vAlign w:val="center"/>
            <w:hideMark/>
          </w:tcPr>
          <w:p w14:paraId="7C050CE7" w14:textId="77777777" w:rsidR="009367BB" w:rsidRPr="00671E8F" w:rsidRDefault="009367BB" w:rsidP="009367BB">
            <w:pPr>
              <w:ind w:left="113"/>
              <w:jc w:val="left"/>
              <w:rPr>
                <w:rFonts w:eastAsia="Calibri" w:cstheme="minorHAnsi"/>
                <w:color w:val="002060"/>
                <w:sz w:val="18"/>
                <w:szCs w:val="18"/>
              </w:rPr>
            </w:pPr>
            <w:r w:rsidRPr="00671E8F">
              <w:rPr>
                <w:rFonts w:eastAsia="Calibri" w:cstheme="minorHAnsi"/>
                <w:color w:val="002060"/>
                <w:sz w:val="18"/>
                <w:szCs w:val="18"/>
              </w:rPr>
              <w:t>Фискални резултат сектора државе</w:t>
            </w:r>
          </w:p>
        </w:tc>
        <w:tc>
          <w:tcPr>
            <w:tcW w:w="603" w:type="pct"/>
            <w:tcBorders>
              <w:top w:val="nil"/>
              <w:left w:val="nil"/>
              <w:bottom w:val="nil"/>
              <w:right w:val="nil"/>
            </w:tcBorders>
            <w:shd w:val="clear" w:color="auto" w:fill="auto"/>
            <w:noWrap/>
            <w:vAlign w:val="center"/>
          </w:tcPr>
          <w:p w14:paraId="68CCFC5E" w14:textId="0CE2643F" w:rsidR="009367BB" w:rsidRPr="00671E8F" w:rsidRDefault="00BD1581" w:rsidP="009367BB">
            <w:pPr>
              <w:jc w:val="center"/>
              <w:rPr>
                <w:rFonts w:cstheme="minorHAnsi"/>
                <w:color w:val="002060"/>
                <w:sz w:val="18"/>
              </w:rPr>
            </w:pPr>
            <w:r w:rsidRPr="00671E8F">
              <w:rPr>
                <w:rFonts w:cstheme="minorHAnsi"/>
                <w:color w:val="002060"/>
                <w:sz w:val="18"/>
              </w:rPr>
              <w:t>-2,7</w:t>
            </w:r>
          </w:p>
        </w:tc>
        <w:tc>
          <w:tcPr>
            <w:tcW w:w="604" w:type="pct"/>
            <w:tcBorders>
              <w:top w:val="nil"/>
              <w:left w:val="nil"/>
              <w:bottom w:val="nil"/>
              <w:right w:val="nil"/>
            </w:tcBorders>
            <w:shd w:val="clear" w:color="auto" w:fill="auto"/>
            <w:noWrap/>
            <w:vAlign w:val="center"/>
          </w:tcPr>
          <w:p w14:paraId="1AFA8522" w14:textId="4D0AB62B" w:rsidR="009367BB" w:rsidRPr="00671E8F" w:rsidRDefault="00BD1581" w:rsidP="009367BB">
            <w:pPr>
              <w:jc w:val="center"/>
              <w:rPr>
                <w:rFonts w:cstheme="minorHAnsi"/>
                <w:color w:val="002060"/>
                <w:sz w:val="18"/>
              </w:rPr>
            </w:pPr>
            <w:r w:rsidRPr="00671E8F">
              <w:rPr>
                <w:rFonts w:cstheme="minorHAnsi"/>
                <w:color w:val="002060"/>
                <w:sz w:val="18"/>
              </w:rPr>
              <w:t>-3,0</w:t>
            </w:r>
          </w:p>
        </w:tc>
        <w:tc>
          <w:tcPr>
            <w:tcW w:w="603" w:type="pct"/>
            <w:tcBorders>
              <w:top w:val="nil"/>
              <w:left w:val="nil"/>
              <w:bottom w:val="nil"/>
              <w:right w:val="nil"/>
            </w:tcBorders>
            <w:shd w:val="clear" w:color="auto" w:fill="auto"/>
            <w:noWrap/>
            <w:vAlign w:val="center"/>
          </w:tcPr>
          <w:p w14:paraId="17D21ACF" w14:textId="07D16348" w:rsidR="009367BB" w:rsidRPr="00671E8F" w:rsidRDefault="00BD1581" w:rsidP="009367BB">
            <w:pPr>
              <w:jc w:val="center"/>
              <w:rPr>
                <w:rFonts w:cstheme="minorHAnsi"/>
                <w:color w:val="002060"/>
                <w:sz w:val="18"/>
              </w:rPr>
            </w:pPr>
            <w:r w:rsidRPr="00671E8F">
              <w:rPr>
                <w:rFonts w:cstheme="minorHAnsi"/>
                <w:color w:val="002060"/>
                <w:sz w:val="18"/>
              </w:rPr>
              <w:t>-3,0</w:t>
            </w:r>
          </w:p>
        </w:tc>
        <w:tc>
          <w:tcPr>
            <w:tcW w:w="600" w:type="pct"/>
            <w:tcBorders>
              <w:top w:val="nil"/>
              <w:left w:val="nil"/>
              <w:bottom w:val="nil"/>
              <w:right w:val="nil"/>
            </w:tcBorders>
            <w:shd w:val="clear" w:color="auto" w:fill="auto"/>
            <w:noWrap/>
            <w:vAlign w:val="center"/>
          </w:tcPr>
          <w:p w14:paraId="725B262D" w14:textId="27FDB138" w:rsidR="009367BB" w:rsidRPr="00671E8F" w:rsidRDefault="00BD1581" w:rsidP="009367BB">
            <w:pPr>
              <w:jc w:val="center"/>
              <w:rPr>
                <w:rFonts w:cstheme="minorHAnsi"/>
                <w:color w:val="002060"/>
                <w:sz w:val="18"/>
              </w:rPr>
            </w:pPr>
            <w:r w:rsidRPr="00671E8F">
              <w:rPr>
                <w:rFonts w:cstheme="minorHAnsi"/>
                <w:color w:val="002060"/>
                <w:sz w:val="18"/>
              </w:rPr>
              <w:t>-3,0</w:t>
            </w:r>
          </w:p>
        </w:tc>
      </w:tr>
      <w:tr w:rsidR="000D5CCA" w:rsidRPr="00671E8F" w14:paraId="62360F06" w14:textId="77777777" w:rsidTr="009367BB">
        <w:trPr>
          <w:trHeight w:val="281"/>
          <w:jc w:val="center"/>
        </w:trPr>
        <w:tc>
          <w:tcPr>
            <w:tcW w:w="2590" w:type="pct"/>
            <w:noWrap/>
            <w:vAlign w:val="center"/>
            <w:hideMark/>
          </w:tcPr>
          <w:p w14:paraId="4D7CF66A" w14:textId="246C1B42" w:rsidR="009367BB" w:rsidRPr="00671E8F" w:rsidRDefault="00BD1581" w:rsidP="009367BB">
            <w:pPr>
              <w:ind w:left="113"/>
              <w:jc w:val="left"/>
              <w:rPr>
                <w:rFonts w:eastAsia="Calibri" w:cstheme="minorHAnsi"/>
                <w:color w:val="002060"/>
                <w:sz w:val="18"/>
                <w:szCs w:val="18"/>
              </w:rPr>
            </w:pPr>
            <w:r w:rsidRPr="00671E8F">
              <w:rPr>
                <w:rFonts w:eastAsia="Calibri" w:cstheme="minorHAnsi"/>
                <w:color w:val="002060"/>
                <w:sz w:val="18"/>
                <w:szCs w:val="18"/>
              </w:rPr>
              <w:t>Приходи сектора државе</w:t>
            </w:r>
          </w:p>
        </w:tc>
        <w:tc>
          <w:tcPr>
            <w:tcW w:w="603" w:type="pct"/>
            <w:tcBorders>
              <w:top w:val="nil"/>
              <w:left w:val="nil"/>
              <w:bottom w:val="nil"/>
              <w:right w:val="nil"/>
            </w:tcBorders>
            <w:shd w:val="clear" w:color="auto" w:fill="auto"/>
            <w:noWrap/>
            <w:vAlign w:val="center"/>
          </w:tcPr>
          <w:p w14:paraId="4E062C8E" w14:textId="2CFEE1AA" w:rsidR="009367BB" w:rsidRPr="00671E8F" w:rsidRDefault="00BD1581" w:rsidP="009367BB">
            <w:pPr>
              <w:jc w:val="center"/>
              <w:rPr>
                <w:rFonts w:cstheme="minorHAnsi"/>
                <w:color w:val="002060"/>
                <w:sz w:val="18"/>
                <w:szCs w:val="18"/>
              </w:rPr>
            </w:pPr>
            <w:r w:rsidRPr="00671E8F">
              <w:rPr>
                <w:rFonts w:cstheme="minorHAnsi"/>
                <w:color w:val="002060"/>
                <w:sz w:val="18"/>
                <w:szCs w:val="18"/>
              </w:rPr>
              <w:t>40,8</w:t>
            </w:r>
          </w:p>
        </w:tc>
        <w:tc>
          <w:tcPr>
            <w:tcW w:w="604" w:type="pct"/>
            <w:tcBorders>
              <w:top w:val="nil"/>
              <w:left w:val="nil"/>
              <w:bottom w:val="nil"/>
              <w:right w:val="nil"/>
            </w:tcBorders>
            <w:shd w:val="clear" w:color="auto" w:fill="auto"/>
            <w:noWrap/>
            <w:vAlign w:val="center"/>
          </w:tcPr>
          <w:p w14:paraId="5DE81A94" w14:textId="6CC3AB9E" w:rsidR="009367BB" w:rsidRPr="00671E8F" w:rsidRDefault="00BD1581" w:rsidP="009367BB">
            <w:pPr>
              <w:jc w:val="center"/>
              <w:rPr>
                <w:rFonts w:cstheme="minorHAnsi"/>
                <w:color w:val="002060"/>
                <w:sz w:val="18"/>
                <w:szCs w:val="18"/>
              </w:rPr>
            </w:pPr>
            <w:r w:rsidRPr="00671E8F">
              <w:rPr>
                <w:rFonts w:cstheme="minorHAnsi"/>
                <w:color w:val="002060"/>
                <w:sz w:val="18"/>
                <w:szCs w:val="18"/>
              </w:rPr>
              <w:t>41,3</w:t>
            </w:r>
          </w:p>
        </w:tc>
        <w:tc>
          <w:tcPr>
            <w:tcW w:w="603" w:type="pct"/>
            <w:tcBorders>
              <w:top w:val="nil"/>
              <w:left w:val="nil"/>
              <w:bottom w:val="nil"/>
              <w:right w:val="nil"/>
            </w:tcBorders>
            <w:shd w:val="clear" w:color="auto" w:fill="auto"/>
            <w:noWrap/>
            <w:vAlign w:val="center"/>
          </w:tcPr>
          <w:p w14:paraId="2C50752F" w14:textId="131EC576" w:rsidR="009367BB" w:rsidRPr="00671E8F" w:rsidRDefault="00BD1581" w:rsidP="009367BB">
            <w:pPr>
              <w:jc w:val="center"/>
              <w:rPr>
                <w:rFonts w:cstheme="minorHAnsi"/>
                <w:color w:val="002060"/>
                <w:sz w:val="18"/>
                <w:szCs w:val="18"/>
              </w:rPr>
            </w:pPr>
            <w:r w:rsidRPr="00671E8F">
              <w:rPr>
                <w:rFonts w:cstheme="minorHAnsi"/>
                <w:color w:val="002060"/>
                <w:sz w:val="18"/>
                <w:szCs w:val="18"/>
              </w:rPr>
              <w:t>40,9</w:t>
            </w:r>
          </w:p>
        </w:tc>
        <w:tc>
          <w:tcPr>
            <w:tcW w:w="600" w:type="pct"/>
            <w:tcBorders>
              <w:top w:val="nil"/>
              <w:left w:val="nil"/>
              <w:bottom w:val="nil"/>
              <w:right w:val="nil"/>
            </w:tcBorders>
            <w:shd w:val="clear" w:color="auto" w:fill="auto"/>
            <w:noWrap/>
            <w:vAlign w:val="center"/>
          </w:tcPr>
          <w:p w14:paraId="25AC689D" w14:textId="6B68BAC2" w:rsidR="009367BB" w:rsidRPr="00671E8F" w:rsidRDefault="00BD1581" w:rsidP="009367BB">
            <w:pPr>
              <w:jc w:val="center"/>
              <w:rPr>
                <w:rFonts w:cstheme="minorHAnsi"/>
                <w:color w:val="002060"/>
                <w:sz w:val="18"/>
                <w:szCs w:val="18"/>
              </w:rPr>
            </w:pPr>
            <w:r w:rsidRPr="00671E8F">
              <w:rPr>
                <w:rFonts w:cstheme="minorHAnsi"/>
                <w:color w:val="002060"/>
                <w:sz w:val="18"/>
                <w:szCs w:val="18"/>
              </w:rPr>
              <w:t>40,5</w:t>
            </w:r>
          </w:p>
        </w:tc>
      </w:tr>
      <w:tr w:rsidR="000D5CCA" w:rsidRPr="00671E8F" w14:paraId="21BC10D6" w14:textId="77777777" w:rsidTr="009367BB">
        <w:trPr>
          <w:trHeight w:val="281"/>
          <w:jc w:val="center"/>
        </w:trPr>
        <w:tc>
          <w:tcPr>
            <w:tcW w:w="2590" w:type="pct"/>
            <w:noWrap/>
            <w:vAlign w:val="center"/>
            <w:hideMark/>
          </w:tcPr>
          <w:p w14:paraId="4EEB37AA" w14:textId="5E2ACC40" w:rsidR="009367BB" w:rsidRPr="00671E8F" w:rsidRDefault="00BD1581" w:rsidP="009367BB">
            <w:pPr>
              <w:ind w:left="113"/>
              <w:jc w:val="left"/>
              <w:rPr>
                <w:rFonts w:eastAsia="Calibri" w:cstheme="minorHAnsi"/>
                <w:color w:val="002060"/>
                <w:sz w:val="18"/>
                <w:szCs w:val="18"/>
              </w:rPr>
            </w:pPr>
            <w:r w:rsidRPr="00671E8F">
              <w:rPr>
                <w:rFonts w:eastAsia="Calibri" w:cstheme="minorHAnsi"/>
                <w:color w:val="002060"/>
                <w:sz w:val="18"/>
                <w:szCs w:val="18"/>
              </w:rPr>
              <w:t>Р</w:t>
            </w:r>
            <w:r w:rsidR="009367BB" w:rsidRPr="00671E8F">
              <w:rPr>
                <w:rFonts w:eastAsia="Calibri" w:cstheme="minorHAnsi"/>
                <w:color w:val="002060"/>
                <w:sz w:val="18"/>
                <w:szCs w:val="18"/>
              </w:rPr>
              <w:t>асходи</w:t>
            </w:r>
            <w:r w:rsidRPr="00671E8F">
              <w:rPr>
                <w:rFonts w:eastAsia="Calibri" w:cstheme="minorHAnsi"/>
                <w:color w:val="002060"/>
                <w:sz w:val="18"/>
                <w:szCs w:val="18"/>
              </w:rPr>
              <w:t xml:space="preserve"> сектора државе</w:t>
            </w:r>
          </w:p>
        </w:tc>
        <w:tc>
          <w:tcPr>
            <w:tcW w:w="603" w:type="pct"/>
            <w:tcBorders>
              <w:top w:val="nil"/>
              <w:left w:val="nil"/>
              <w:right w:val="nil"/>
            </w:tcBorders>
            <w:shd w:val="clear" w:color="auto" w:fill="auto"/>
            <w:noWrap/>
            <w:vAlign w:val="center"/>
          </w:tcPr>
          <w:p w14:paraId="30C35079" w14:textId="635E3D2B" w:rsidR="009367BB" w:rsidRPr="00671E8F" w:rsidRDefault="00BD1581" w:rsidP="009367BB">
            <w:pPr>
              <w:jc w:val="center"/>
              <w:rPr>
                <w:rFonts w:cstheme="minorHAnsi"/>
                <w:color w:val="002060"/>
                <w:sz w:val="18"/>
                <w:szCs w:val="18"/>
              </w:rPr>
            </w:pPr>
            <w:r w:rsidRPr="00671E8F">
              <w:rPr>
                <w:rFonts w:cstheme="minorHAnsi"/>
                <w:color w:val="002060"/>
                <w:sz w:val="18"/>
                <w:szCs w:val="18"/>
              </w:rPr>
              <w:t>43,6</w:t>
            </w:r>
          </w:p>
        </w:tc>
        <w:tc>
          <w:tcPr>
            <w:tcW w:w="604" w:type="pct"/>
            <w:tcBorders>
              <w:top w:val="nil"/>
              <w:left w:val="nil"/>
              <w:right w:val="nil"/>
            </w:tcBorders>
            <w:shd w:val="clear" w:color="auto" w:fill="auto"/>
            <w:noWrap/>
            <w:vAlign w:val="center"/>
          </w:tcPr>
          <w:p w14:paraId="4FF2F205" w14:textId="7A8E3528" w:rsidR="009367BB" w:rsidRPr="00671E8F" w:rsidRDefault="00BD1581" w:rsidP="009367BB">
            <w:pPr>
              <w:jc w:val="center"/>
              <w:rPr>
                <w:rFonts w:cstheme="minorHAnsi"/>
                <w:color w:val="002060"/>
                <w:sz w:val="18"/>
                <w:szCs w:val="18"/>
              </w:rPr>
            </w:pPr>
            <w:r w:rsidRPr="00671E8F">
              <w:rPr>
                <w:rFonts w:cstheme="minorHAnsi"/>
                <w:color w:val="002060"/>
                <w:sz w:val="18"/>
                <w:szCs w:val="18"/>
              </w:rPr>
              <w:t>44,3</w:t>
            </w:r>
          </w:p>
        </w:tc>
        <w:tc>
          <w:tcPr>
            <w:tcW w:w="603" w:type="pct"/>
            <w:tcBorders>
              <w:top w:val="nil"/>
              <w:left w:val="nil"/>
              <w:right w:val="nil"/>
            </w:tcBorders>
            <w:shd w:val="clear" w:color="auto" w:fill="auto"/>
            <w:noWrap/>
            <w:vAlign w:val="center"/>
          </w:tcPr>
          <w:p w14:paraId="363B8F45" w14:textId="339313DF" w:rsidR="009367BB" w:rsidRPr="00671E8F" w:rsidRDefault="00BD1581" w:rsidP="009367BB">
            <w:pPr>
              <w:jc w:val="center"/>
              <w:rPr>
                <w:rFonts w:cstheme="minorHAnsi"/>
                <w:color w:val="002060"/>
                <w:sz w:val="18"/>
                <w:szCs w:val="18"/>
              </w:rPr>
            </w:pPr>
            <w:r w:rsidRPr="00671E8F">
              <w:rPr>
                <w:rFonts w:cstheme="minorHAnsi"/>
                <w:color w:val="002060"/>
                <w:sz w:val="18"/>
                <w:szCs w:val="18"/>
              </w:rPr>
              <w:t>43,9</w:t>
            </w:r>
          </w:p>
        </w:tc>
        <w:tc>
          <w:tcPr>
            <w:tcW w:w="600" w:type="pct"/>
            <w:tcBorders>
              <w:top w:val="nil"/>
              <w:left w:val="nil"/>
              <w:right w:val="nil"/>
            </w:tcBorders>
            <w:shd w:val="clear" w:color="auto" w:fill="auto"/>
            <w:noWrap/>
            <w:vAlign w:val="center"/>
          </w:tcPr>
          <w:p w14:paraId="25F421A9" w14:textId="0F851C8F" w:rsidR="009367BB" w:rsidRPr="00671E8F" w:rsidRDefault="00BD1581" w:rsidP="009367BB">
            <w:pPr>
              <w:jc w:val="center"/>
              <w:rPr>
                <w:rFonts w:cstheme="minorHAnsi"/>
                <w:color w:val="002060"/>
                <w:sz w:val="18"/>
                <w:szCs w:val="18"/>
              </w:rPr>
            </w:pPr>
            <w:r w:rsidRPr="00671E8F">
              <w:rPr>
                <w:rFonts w:cstheme="minorHAnsi"/>
                <w:color w:val="002060"/>
                <w:sz w:val="18"/>
                <w:szCs w:val="18"/>
              </w:rPr>
              <w:t>43,5</w:t>
            </w:r>
          </w:p>
        </w:tc>
      </w:tr>
      <w:tr w:rsidR="000D5CCA" w:rsidRPr="00671E8F" w14:paraId="1E3573BF" w14:textId="77777777" w:rsidTr="009367BB">
        <w:trPr>
          <w:trHeight w:val="281"/>
          <w:jc w:val="center"/>
        </w:trPr>
        <w:tc>
          <w:tcPr>
            <w:tcW w:w="2590" w:type="pct"/>
            <w:tcBorders>
              <w:bottom w:val="single" w:sz="4" w:space="0" w:color="002060"/>
            </w:tcBorders>
            <w:noWrap/>
            <w:vAlign w:val="center"/>
            <w:hideMark/>
          </w:tcPr>
          <w:p w14:paraId="46DE9D4F" w14:textId="77777777" w:rsidR="009367BB" w:rsidRPr="00671E8F" w:rsidRDefault="009367BB" w:rsidP="009367BB">
            <w:pPr>
              <w:ind w:left="113"/>
              <w:jc w:val="left"/>
              <w:rPr>
                <w:rFonts w:eastAsia="Calibri" w:cstheme="minorHAnsi"/>
                <w:bCs/>
                <w:color w:val="002060"/>
                <w:sz w:val="18"/>
                <w:szCs w:val="18"/>
              </w:rPr>
            </w:pPr>
            <w:r w:rsidRPr="00671E8F">
              <w:rPr>
                <w:rFonts w:eastAsia="Calibri" w:cstheme="minorHAnsi"/>
                <w:color w:val="002060"/>
                <w:sz w:val="18"/>
                <w:szCs w:val="18"/>
              </w:rPr>
              <w:t>Бруто дуг сектора државе</w:t>
            </w:r>
          </w:p>
        </w:tc>
        <w:tc>
          <w:tcPr>
            <w:tcW w:w="603" w:type="pct"/>
            <w:tcBorders>
              <w:top w:val="nil"/>
              <w:left w:val="nil"/>
              <w:bottom w:val="single" w:sz="4" w:space="0" w:color="002060"/>
              <w:right w:val="nil"/>
            </w:tcBorders>
            <w:shd w:val="clear" w:color="auto" w:fill="auto"/>
            <w:noWrap/>
            <w:vAlign w:val="center"/>
          </w:tcPr>
          <w:p w14:paraId="6545C90C" w14:textId="0941300F" w:rsidR="00BD1581" w:rsidRPr="00671E8F" w:rsidRDefault="00BD1581" w:rsidP="00BD1581">
            <w:pPr>
              <w:jc w:val="center"/>
              <w:rPr>
                <w:rFonts w:cstheme="minorHAnsi"/>
                <w:color w:val="002060"/>
                <w:sz w:val="18"/>
                <w:szCs w:val="18"/>
              </w:rPr>
            </w:pPr>
            <w:r w:rsidRPr="00671E8F">
              <w:rPr>
                <w:rFonts w:cstheme="minorHAnsi"/>
                <w:color w:val="002060"/>
                <w:sz w:val="18"/>
                <w:szCs w:val="18"/>
              </w:rPr>
              <w:t>47,9</w:t>
            </w:r>
          </w:p>
        </w:tc>
        <w:tc>
          <w:tcPr>
            <w:tcW w:w="604" w:type="pct"/>
            <w:tcBorders>
              <w:top w:val="nil"/>
              <w:left w:val="nil"/>
              <w:bottom w:val="single" w:sz="4" w:space="0" w:color="002060"/>
              <w:right w:val="nil"/>
            </w:tcBorders>
            <w:shd w:val="clear" w:color="auto" w:fill="auto"/>
            <w:noWrap/>
            <w:vAlign w:val="center"/>
          </w:tcPr>
          <w:p w14:paraId="413EBA09" w14:textId="05BF851E" w:rsidR="009367BB" w:rsidRPr="00671E8F" w:rsidRDefault="00BD1581" w:rsidP="009367BB">
            <w:pPr>
              <w:jc w:val="center"/>
              <w:rPr>
                <w:rFonts w:cstheme="minorHAnsi"/>
                <w:color w:val="002060"/>
                <w:sz w:val="18"/>
                <w:szCs w:val="18"/>
              </w:rPr>
            </w:pPr>
            <w:r w:rsidRPr="00671E8F">
              <w:rPr>
                <w:rFonts w:cstheme="minorHAnsi"/>
                <w:color w:val="002060"/>
                <w:sz w:val="18"/>
                <w:szCs w:val="18"/>
              </w:rPr>
              <w:t>47,5</w:t>
            </w:r>
          </w:p>
        </w:tc>
        <w:tc>
          <w:tcPr>
            <w:tcW w:w="603" w:type="pct"/>
            <w:tcBorders>
              <w:top w:val="nil"/>
              <w:left w:val="nil"/>
              <w:bottom w:val="single" w:sz="4" w:space="0" w:color="002060"/>
              <w:right w:val="nil"/>
            </w:tcBorders>
            <w:shd w:val="clear" w:color="auto" w:fill="auto"/>
            <w:noWrap/>
            <w:vAlign w:val="center"/>
          </w:tcPr>
          <w:p w14:paraId="1E73BB98" w14:textId="0330B2F1" w:rsidR="009367BB" w:rsidRPr="00671E8F" w:rsidRDefault="00BD1581" w:rsidP="009367BB">
            <w:pPr>
              <w:jc w:val="center"/>
              <w:rPr>
                <w:rFonts w:cstheme="minorHAnsi"/>
                <w:color w:val="002060"/>
                <w:sz w:val="18"/>
                <w:szCs w:val="18"/>
              </w:rPr>
            </w:pPr>
            <w:r w:rsidRPr="00671E8F">
              <w:rPr>
                <w:rFonts w:cstheme="minorHAnsi"/>
                <w:color w:val="002060"/>
                <w:sz w:val="18"/>
                <w:szCs w:val="18"/>
              </w:rPr>
              <w:t>47,0</w:t>
            </w:r>
          </w:p>
        </w:tc>
        <w:tc>
          <w:tcPr>
            <w:tcW w:w="600" w:type="pct"/>
            <w:tcBorders>
              <w:top w:val="nil"/>
              <w:left w:val="nil"/>
              <w:bottom w:val="single" w:sz="4" w:space="0" w:color="002060"/>
              <w:right w:val="nil"/>
            </w:tcBorders>
            <w:shd w:val="clear" w:color="auto" w:fill="auto"/>
            <w:noWrap/>
            <w:vAlign w:val="center"/>
          </w:tcPr>
          <w:p w14:paraId="58F08544" w14:textId="192065E7" w:rsidR="009367BB" w:rsidRPr="00671E8F" w:rsidRDefault="00BD1581" w:rsidP="009367BB">
            <w:pPr>
              <w:jc w:val="center"/>
              <w:rPr>
                <w:rFonts w:cstheme="minorHAnsi"/>
                <w:color w:val="002060"/>
                <w:sz w:val="18"/>
                <w:szCs w:val="18"/>
              </w:rPr>
            </w:pPr>
            <w:r w:rsidRPr="00671E8F">
              <w:rPr>
                <w:rFonts w:cstheme="minorHAnsi"/>
                <w:color w:val="002060"/>
                <w:sz w:val="18"/>
                <w:szCs w:val="18"/>
              </w:rPr>
              <w:t>46,5</w:t>
            </w:r>
          </w:p>
        </w:tc>
      </w:tr>
      <w:bookmarkEnd w:id="87"/>
      <w:bookmarkEnd w:id="88"/>
      <w:bookmarkEnd w:id="89"/>
      <w:bookmarkEnd w:id="90"/>
      <w:bookmarkEnd w:id="91"/>
      <w:bookmarkEnd w:id="92"/>
      <w:bookmarkEnd w:id="93"/>
    </w:tbl>
    <w:p w14:paraId="56A332BF" w14:textId="77777777" w:rsidR="00D96A25" w:rsidRPr="00671E8F" w:rsidRDefault="00D96A25" w:rsidP="00B51BEB">
      <w:pPr>
        <w:spacing w:after="0"/>
        <w:rPr>
          <w:color w:val="FF0000"/>
        </w:rPr>
      </w:pPr>
    </w:p>
    <w:p w14:paraId="4DDEA89F" w14:textId="4E28C885" w:rsidR="00D96A25" w:rsidRPr="00671E8F" w:rsidRDefault="00D96A25" w:rsidP="00B51BEB">
      <w:pPr>
        <w:rPr>
          <w:rFonts w:ascii="Calibri" w:eastAsia="Calibri" w:hAnsi="Calibri" w:cs="Calibri"/>
          <w:color w:val="44546A"/>
        </w:rPr>
      </w:pPr>
    </w:p>
    <w:p w14:paraId="0DA17F72" w14:textId="166D925E" w:rsidR="00DD3DF0" w:rsidRPr="00671E8F" w:rsidRDefault="00DD3DF0" w:rsidP="00B51BEB">
      <w:pPr>
        <w:rPr>
          <w:rFonts w:ascii="Calibri" w:eastAsia="Calibri" w:hAnsi="Calibri" w:cs="Calibri"/>
          <w:color w:val="44546A"/>
        </w:rPr>
      </w:pPr>
    </w:p>
    <w:p w14:paraId="0494E7A2" w14:textId="1E68D4CA" w:rsidR="00DD3DF0" w:rsidRPr="00671E8F" w:rsidRDefault="00DD3DF0" w:rsidP="00B51BEB">
      <w:pPr>
        <w:rPr>
          <w:rFonts w:ascii="Calibri" w:eastAsia="Calibri" w:hAnsi="Calibri" w:cs="Calibri"/>
          <w:color w:val="44546A"/>
        </w:rPr>
      </w:pPr>
    </w:p>
    <w:p w14:paraId="36B818F5" w14:textId="77777777" w:rsidR="00DD3DF0" w:rsidRPr="00671E8F" w:rsidRDefault="00DD3DF0" w:rsidP="00B51BEB">
      <w:pPr>
        <w:rPr>
          <w:rFonts w:ascii="Calibri" w:eastAsia="Calibri" w:hAnsi="Calibri" w:cs="Calibri"/>
          <w:color w:val="44546A"/>
        </w:rPr>
        <w:sectPr w:rsidR="00DD3DF0" w:rsidRPr="00671E8F" w:rsidSect="00F45C01">
          <w:headerReference w:type="even" r:id="rId226"/>
          <w:footerReference w:type="even" r:id="rId227"/>
          <w:footerReference w:type="default" r:id="rId228"/>
          <w:footerReference w:type="first" r:id="rId229"/>
          <w:type w:val="continuous"/>
          <w:pgSz w:w="12240" w:h="15840" w:code="1"/>
          <w:pgMar w:top="1440" w:right="1440" w:bottom="1440" w:left="1440" w:header="720" w:footer="720" w:gutter="0"/>
          <w:cols w:space="720"/>
          <w:titlePg/>
          <w:docGrid w:linePitch="360"/>
        </w:sectPr>
      </w:pPr>
    </w:p>
    <w:p w14:paraId="71F7B06E" w14:textId="77777777" w:rsidR="00D96A25" w:rsidRPr="00671E8F" w:rsidRDefault="00D96A25" w:rsidP="00B51BEB">
      <w:pPr>
        <w:spacing w:after="0"/>
        <w:rPr>
          <w:color w:val="2F5496" w:themeColor="accent1" w:themeShade="BF"/>
          <w:sz w:val="14"/>
          <w:szCs w:val="26"/>
        </w:rPr>
      </w:pPr>
      <w:bookmarkStart w:id="94" w:name="_Toc72394589"/>
      <w:bookmarkStart w:id="95" w:name="_Toc86923731"/>
    </w:p>
    <w:p w14:paraId="2A651571" w14:textId="77777777" w:rsidR="00DD3DF0" w:rsidRPr="00671E8F" w:rsidRDefault="00DD3DF0" w:rsidP="000B4ACD">
      <w:pPr>
        <w:pStyle w:val="Heading1"/>
        <w:spacing w:after="160"/>
        <w:rPr>
          <w:rFonts w:asciiTheme="minorHAnsi" w:hAnsiTheme="minorHAnsi" w:cstheme="minorHAnsi"/>
          <w:color w:val="002060"/>
          <w:sz w:val="24"/>
          <w:szCs w:val="26"/>
        </w:rPr>
      </w:pPr>
      <w:bookmarkStart w:id="96" w:name="_Toc181190976"/>
      <w:bookmarkEnd w:id="94"/>
      <w:bookmarkEnd w:id="95"/>
      <w:r w:rsidRPr="00671E8F">
        <w:rPr>
          <w:rFonts w:asciiTheme="minorHAnsi" w:hAnsiTheme="minorHAnsi" w:cstheme="minorHAnsi"/>
          <w:color w:val="002060"/>
          <w:sz w:val="24"/>
          <w:szCs w:val="26"/>
        </w:rPr>
        <w:t>Прилог 2 – Фискални оквир опште државе у 2025. години</w:t>
      </w:r>
      <w:bookmarkEnd w:id="96"/>
    </w:p>
    <w:tbl>
      <w:tblPr>
        <w:tblStyle w:val="ListTable1Light-Accent3"/>
        <w:tblW w:w="5000" w:type="pct"/>
        <w:tblLook w:val="04A0" w:firstRow="1" w:lastRow="0" w:firstColumn="1" w:lastColumn="0" w:noHBand="0" w:noVBand="1"/>
      </w:tblPr>
      <w:tblGrid>
        <w:gridCol w:w="2864"/>
        <w:gridCol w:w="1026"/>
        <w:gridCol w:w="1026"/>
        <w:gridCol w:w="1038"/>
        <w:gridCol w:w="1003"/>
        <w:gridCol w:w="1071"/>
        <w:gridCol w:w="1017"/>
        <w:gridCol w:w="1071"/>
        <w:gridCol w:w="1071"/>
        <w:gridCol w:w="1071"/>
        <w:gridCol w:w="1071"/>
        <w:gridCol w:w="1071"/>
      </w:tblGrid>
      <w:tr w:rsidR="00DD3DF0" w:rsidRPr="00671E8F" w14:paraId="3E60DC03" w14:textId="77777777" w:rsidTr="00DD3DF0">
        <w:trPr>
          <w:cnfStyle w:val="100000000000" w:firstRow="1" w:lastRow="0" w:firstColumn="0" w:lastColumn="0" w:oddVBand="0" w:evenVBand="0" w:oddHBand="0" w:evenHBand="0" w:firstRowFirstColumn="0" w:firstRowLastColumn="0" w:lastRowFirstColumn="0" w:lastRowLastColumn="0"/>
          <w:trHeight w:val="687"/>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bottom w:val="single" w:sz="4" w:space="0" w:color="auto"/>
            </w:tcBorders>
            <w:noWrap/>
            <w:hideMark/>
          </w:tcPr>
          <w:p w14:paraId="02F44F85" w14:textId="77777777" w:rsidR="00DD3DF0" w:rsidRPr="00671E8F" w:rsidRDefault="00DD3DF0" w:rsidP="00DD3DF0">
            <w:pPr>
              <w:tabs>
                <w:tab w:val="center" w:pos="4680"/>
                <w:tab w:val="right" w:pos="9360"/>
              </w:tabs>
              <w:rPr>
                <w:rFonts w:ascii="Calibri" w:hAnsi="Calibri" w:cs="Calibri"/>
                <w:color w:val="002060"/>
                <w:sz w:val="14"/>
                <w:szCs w:val="14"/>
              </w:rPr>
            </w:pPr>
            <w:r w:rsidRPr="00671E8F">
              <w:rPr>
                <w:rFonts w:ascii="Calibri" w:hAnsi="Calibri" w:cs="Calibri"/>
                <w:color w:val="002060"/>
                <w:sz w:val="14"/>
                <w:szCs w:val="14"/>
              </w:rPr>
              <w:t> </w:t>
            </w:r>
          </w:p>
        </w:tc>
        <w:tc>
          <w:tcPr>
            <w:tcW w:w="356" w:type="pct"/>
            <w:tcBorders>
              <w:top w:val="single" w:sz="4" w:space="0" w:color="auto"/>
              <w:bottom w:val="single" w:sz="4" w:space="0" w:color="auto"/>
            </w:tcBorders>
            <w:vAlign w:val="center"/>
            <w:hideMark/>
          </w:tcPr>
          <w:p w14:paraId="719B4F05" w14:textId="3F7A30CA" w:rsidR="00DD3DF0" w:rsidRPr="00671E8F" w:rsidRDefault="00712AAC"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Општа држава</w:t>
            </w:r>
          </w:p>
        </w:tc>
        <w:tc>
          <w:tcPr>
            <w:tcW w:w="356" w:type="pct"/>
            <w:tcBorders>
              <w:top w:val="single" w:sz="4" w:space="0" w:color="auto"/>
              <w:bottom w:val="single" w:sz="4" w:space="0" w:color="auto"/>
            </w:tcBorders>
            <w:vAlign w:val="center"/>
            <w:hideMark/>
          </w:tcPr>
          <w:p w14:paraId="6E336B60"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Буџет Републике</w:t>
            </w:r>
          </w:p>
        </w:tc>
        <w:tc>
          <w:tcPr>
            <w:tcW w:w="360" w:type="pct"/>
            <w:tcBorders>
              <w:top w:val="single" w:sz="4" w:space="0" w:color="auto"/>
              <w:bottom w:val="single" w:sz="4" w:space="0" w:color="auto"/>
            </w:tcBorders>
            <w:vAlign w:val="center"/>
            <w:hideMark/>
          </w:tcPr>
          <w:p w14:paraId="45AB3CAF"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Јединице локалне самоуправе</w:t>
            </w:r>
          </w:p>
        </w:tc>
        <w:tc>
          <w:tcPr>
            <w:tcW w:w="348" w:type="pct"/>
            <w:tcBorders>
              <w:top w:val="single" w:sz="4" w:space="0" w:color="auto"/>
              <w:bottom w:val="single" w:sz="4" w:space="0" w:color="auto"/>
            </w:tcBorders>
            <w:vAlign w:val="center"/>
            <w:hideMark/>
          </w:tcPr>
          <w:p w14:paraId="5543D453"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Градови и општине</w:t>
            </w:r>
          </w:p>
        </w:tc>
        <w:tc>
          <w:tcPr>
            <w:tcW w:w="372" w:type="pct"/>
            <w:tcBorders>
              <w:top w:val="single" w:sz="4" w:space="0" w:color="auto"/>
              <w:bottom w:val="single" w:sz="4" w:space="0" w:color="auto"/>
            </w:tcBorders>
            <w:noWrap/>
            <w:vAlign w:val="center"/>
            <w:hideMark/>
          </w:tcPr>
          <w:p w14:paraId="26354A52"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AП Војводина</w:t>
            </w:r>
          </w:p>
        </w:tc>
        <w:tc>
          <w:tcPr>
            <w:tcW w:w="353" w:type="pct"/>
            <w:tcBorders>
              <w:top w:val="single" w:sz="4" w:space="0" w:color="auto"/>
              <w:bottom w:val="single" w:sz="4" w:space="0" w:color="auto"/>
            </w:tcBorders>
            <w:vAlign w:val="center"/>
            <w:hideMark/>
          </w:tcPr>
          <w:p w14:paraId="65710148" w14:textId="18EE112D" w:rsidR="00DD3DF0" w:rsidRPr="00671E8F" w:rsidRDefault="00712AAC"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Ванбуџетски корисници</w:t>
            </w:r>
          </w:p>
        </w:tc>
        <w:tc>
          <w:tcPr>
            <w:tcW w:w="372" w:type="pct"/>
            <w:tcBorders>
              <w:top w:val="single" w:sz="4" w:space="0" w:color="auto"/>
              <w:bottom w:val="single" w:sz="4" w:space="0" w:color="auto"/>
            </w:tcBorders>
            <w:noWrap/>
            <w:vAlign w:val="center"/>
            <w:hideMark/>
          </w:tcPr>
          <w:p w14:paraId="3B4B0AA9"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ООСО</w:t>
            </w:r>
          </w:p>
        </w:tc>
        <w:tc>
          <w:tcPr>
            <w:tcW w:w="372" w:type="pct"/>
            <w:tcBorders>
              <w:top w:val="single" w:sz="4" w:space="0" w:color="auto"/>
              <w:bottom w:val="single" w:sz="4" w:space="0" w:color="auto"/>
            </w:tcBorders>
            <w:noWrap/>
            <w:vAlign w:val="center"/>
            <w:hideMark/>
          </w:tcPr>
          <w:p w14:paraId="48E4D7A0"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Фонд ПИО</w:t>
            </w:r>
          </w:p>
        </w:tc>
        <w:tc>
          <w:tcPr>
            <w:tcW w:w="372" w:type="pct"/>
            <w:tcBorders>
              <w:top w:val="single" w:sz="4" w:space="0" w:color="auto"/>
              <w:bottom w:val="single" w:sz="4" w:space="0" w:color="auto"/>
            </w:tcBorders>
            <w:noWrap/>
            <w:vAlign w:val="center"/>
            <w:hideMark/>
          </w:tcPr>
          <w:p w14:paraId="0E30F3FD"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РФЗО</w:t>
            </w:r>
          </w:p>
        </w:tc>
        <w:tc>
          <w:tcPr>
            <w:tcW w:w="372" w:type="pct"/>
            <w:tcBorders>
              <w:top w:val="single" w:sz="4" w:space="0" w:color="auto"/>
              <w:bottom w:val="single" w:sz="4" w:space="0" w:color="auto"/>
            </w:tcBorders>
            <w:noWrap/>
            <w:vAlign w:val="center"/>
            <w:hideMark/>
          </w:tcPr>
          <w:p w14:paraId="070CE2BE"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НСЗ</w:t>
            </w:r>
          </w:p>
        </w:tc>
        <w:tc>
          <w:tcPr>
            <w:tcW w:w="372" w:type="pct"/>
            <w:tcBorders>
              <w:top w:val="single" w:sz="4" w:space="0" w:color="auto"/>
              <w:bottom w:val="single" w:sz="4" w:space="0" w:color="auto"/>
            </w:tcBorders>
            <w:noWrap/>
            <w:vAlign w:val="center"/>
            <w:hideMark/>
          </w:tcPr>
          <w:p w14:paraId="14633E7C" w14:textId="77777777" w:rsidR="00DD3DF0" w:rsidRPr="00671E8F" w:rsidRDefault="00DD3DF0" w:rsidP="00DD3DF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rPr>
            </w:pPr>
            <w:r w:rsidRPr="00671E8F">
              <w:rPr>
                <w:rFonts w:ascii="Calibri" w:hAnsi="Calibri" w:cs="Calibri"/>
                <w:b w:val="0"/>
                <w:color w:val="002060"/>
                <w:sz w:val="14"/>
                <w:szCs w:val="14"/>
              </w:rPr>
              <w:t>Фонд СОВО</w:t>
            </w:r>
          </w:p>
        </w:tc>
      </w:tr>
      <w:tr w:rsidR="00DD3DF0" w:rsidRPr="00671E8F" w14:paraId="78D33906" w14:textId="77777777" w:rsidTr="00DD3DF0">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bottom w:val="single" w:sz="4" w:space="0" w:color="auto"/>
            </w:tcBorders>
            <w:shd w:val="clear" w:color="auto" w:fill="auto"/>
            <w:noWrap/>
            <w:hideMark/>
          </w:tcPr>
          <w:p w14:paraId="24E52513" w14:textId="77777777" w:rsidR="00DD3DF0" w:rsidRPr="00671E8F" w:rsidRDefault="00DD3DF0" w:rsidP="00DD3DF0">
            <w:pPr>
              <w:tabs>
                <w:tab w:val="center" w:pos="4680"/>
                <w:tab w:val="right" w:pos="9360"/>
              </w:tabs>
              <w:rPr>
                <w:rFonts w:ascii="Calibri" w:hAnsi="Calibri" w:cs="Calibri"/>
                <w:color w:val="002060"/>
                <w:sz w:val="14"/>
                <w:szCs w:val="14"/>
              </w:rPr>
            </w:pPr>
            <w:r w:rsidRPr="00671E8F">
              <w:rPr>
                <w:rFonts w:ascii="Calibri" w:hAnsi="Calibri" w:cs="Calibri"/>
                <w:color w:val="002060"/>
                <w:sz w:val="14"/>
                <w:szCs w:val="14"/>
              </w:rPr>
              <w:t> </w:t>
            </w:r>
          </w:p>
        </w:tc>
        <w:tc>
          <w:tcPr>
            <w:tcW w:w="356" w:type="pct"/>
            <w:tcBorders>
              <w:top w:val="single" w:sz="4" w:space="0" w:color="auto"/>
              <w:bottom w:val="single" w:sz="4" w:space="0" w:color="auto"/>
            </w:tcBorders>
            <w:shd w:val="clear" w:color="auto" w:fill="auto"/>
            <w:hideMark/>
          </w:tcPr>
          <w:p w14:paraId="05CC1668"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1=2+3+6+7</w:t>
            </w:r>
          </w:p>
        </w:tc>
        <w:tc>
          <w:tcPr>
            <w:tcW w:w="356" w:type="pct"/>
            <w:tcBorders>
              <w:top w:val="single" w:sz="4" w:space="0" w:color="auto"/>
              <w:bottom w:val="single" w:sz="4" w:space="0" w:color="auto"/>
            </w:tcBorders>
            <w:shd w:val="clear" w:color="auto" w:fill="auto"/>
            <w:hideMark/>
          </w:tcPr>
          <w:p w14:paraId="018458B8"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2</w:t>
            </w:r>
          </w:p>
        </w:tc>
        <w:tc>
          <w:tcPr>
            <w:tcW w:w="360" w:type="pct"/>
            <w:tcBorders>
              <w:top w:val="single" w:sz="4" w:space="0" w:color="auto"/>
              <w:bottom w:val="single" w:sz="4" w:space="0" w:color="auto"/>
            </w:tcBorders>
            <w:shd w:val="clear" w:color="auto" w:fill="auto"/>
            <w:hideMark/>
          </w:tcPr>
          <w:p w14:paraId="4D4C4284"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3=4+5</w:t>
            </w:r>
          </w:p>
        </w:tc>
        <w:tc>
          <w:tcPr>
            <w:tcW w:w="348" w:type="pct"/>
            <w:tcBorders>
              <w:top w:val="single" w:sz="4" w:space="0" w:color="auto"/>
              <w:bottom w:val="single" w:sz="4" w:space="0" w:color="auto"/>
            </w:tcBorders>
            <w:shd w:val="clear" w:color="auto" w:fill="auto"/>
            <w:hideMark/>
          </w:tcPr>
          <w:p w14:paraId="01A09A39"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4</w:t>
            </w:r>
          </w:p>
        </w:tc>
        <w:tc>
          <w:tcPr>
            <w:tcW w:w="372" w:type="pct"/>
            <w:tcBorders>
              <w:top w:val="single" w:sz="4" w:space="0" w:color="auto"/>
              <w:bottom w:val="single" w:sz="4" w:space="0" w:color="auto"/>
            </w:tcBorders>
            <w:shd w:val="clear" w:color="auto" w:fill="auto"/>
            <w:noWrap/>
            <w:hideMark/>
          </w:tcPr>
          <w:p w14:paraId="09493A9A"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5</w:t>
            </w:r>
          </w:p>
        </w:tc>
        <w:tc>
          <w:tcPr>
            <w:tcW w:w="353" w:type="pct"/>
            <w:tcBorders>
              <w:top w:val="single" w:sz="4" w:space="0" w:color="auto"/>
              <w:bottom w:val="single" w:sz="4" w:space="0" w:color="auto"/>
            </w:tcBorders>
            <w:shd w:val="clear" w:color="auto" w:fill="auto"/>
            <w:noWrap/>
            <w:hideMark/>
          </w:tcPr>
          <w:p w14:paraId="5959DAC5"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6</w:t>
            </w:r>
          </w:p>
        </w:tc>
        <w:tc>
          <w:tcPr>
            <w:tcW w:w="372" w:type="pct"/>
            <w:tcBorders>
              <w:top w:val="single" w:sz="4" w:space="0" w:color="auto"/>
              <w:bottom w:val="single" w:sz="4" w:space="0" w:color="auto"/>
            </w:tcBorders>
            <w:shd w:val="clear" w:color="auto" w:fill="auto"/>
            <w:noWrap/>
            <w:hideMark/>
          </w:tcPr>
          <w:p w14:paraId="672A9F14"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7=8+9+10+11</w:t>
            </w:r>
          </w:p>
        </w:tc>
        <w:tc>
          <w:tcPr>
            <w:tcW w:w="372" w:type="pct"/>
            <w:tcBorders>
              <w:top w:val="single" w:sz="4" w:space="0" w:color="auto"/>
              <w:bottom w:val="single" w:sz="4" w:space="0" w:color="auto"/>
            </w:tcBorders>
            <w:shd w:val="clear" w:color="auto" w:fill="auto"/>
            <w:noWrap/>
            <w:hideMark/>
          </w:tcPr>
          <w:p w14:paraId="6925ACD0"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8</w:t>
            </w:r>
          </w:p>
        </w:tc>
        <w:tc>
          <w:tcPr>
            <w:tcW w:w="372" w:type="pct"/>
            <w:tcBorders>
              <w:top w:val="single" w:sz="4" w:space="0" w:color="auto"/>
              <w:bottom w:val="single" w:sz="4" w:space="0" w:color="auto"/>
            </w:tcBorders>
            <w:shd w:val="clear" w:color="auto" w:fill="auto"/>
            <w:noWrap/>
            <w:hideMark/>
          </w:tcPr>
          <w:p w14:paraId="65638CA4" w14:textId="77777777" w:rsidR="00DD3DF0" w:rsidRPr="00671E8F" w:rsidRDefault="00DD3DF0" w:rsidP="00DD3DF0">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9</w:t>
            </w:r>
          </w:p>
        </w:tc>
        <w:tc>
          <w:tcPr>
            <w:tcW w:w="372" w:type="pct"/>
            <w:tcBorders>
              <w:top w:val="single" w:sz="4" w:space="0" w:color="auto"/>
              <w:bottom w:val="single" w:sz="4" w:space="0" w:color="auto"/>
            </w:tcBorders>
            <w:shd w:val="clear" w:color="auto" w:fill="auto"/>
            <w:noWrap/>
            <w:hideMark/>
          </w:tcPr>
          <w:p w14:paraId="37174AB1" w14:textId="77777777" w:rsidR="00DD3DF0" w:rsidRPr="00671E8F" w:rsidRDefault="00DD3DF0" w:rsidP="00DD3D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10</w:t>
            </w:r>
          </w:p>
        </w:tc>
        <w:tc>
          <w:tcPr>
            <w:tcW w:w="372" w:type="pct"/>
            <w:tcBorders>
              <w:top w:val="single" w:sz="4" w:space="0" w:color="auto"/>
              <w:bottom w:val="single" w:sz="4" w:space="0" w:color="auto"/>
            </w:tcBorders>
            <w:shd w:val="clear" w:color="auto" w:fill="auto"/>
            <w:noWrap/>
            <w:hideMark/>
          </w:tcPr>
          <w:p w14:paraId="13993D59" w14:textId="77777777" w:rsidR="00DD3DF0" w:rsidRPr="00671E8F" w:rsidRDefault="00DD3DF0" w:rsidP="00DD3D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rPr>
            </w:pPr>
            <w:r w:rsidRPr="00671E8F">
              <w:rPr>
                <w:rFonts w:ascii="Calibri" w:hAnsi="Calibri" w:cs="Calibri"/>
                <w:color w:val="002060"/>
                <w:sz w:val="14"/>
                <w:szCs w:val="14"/>
              </w:rPr>
              <w:t>11</w:t>
            </w:r>
          </w:p>
        </w:tc>
      </w:tr>
      <w:tr w:rsidR="00DD3DF0" w:rsidRPr="00671E8F" w14:paraId="241E2BC7"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single" w:sz="4" w:space="0" w:color="auto"/>
            </w:tcBorders>
            <w:shd w:val="clear" w:color="auto" w:fill="BFBFBF" w:themeFill="background1" w:themeFillShade="BF"/>
            <w:noWrap/>
            <w:vAlign w:val="bottom"/>
            <w:hideMark/>
          </w:tcPr>
          <w:p w14:paraId="5A3F9623" w14:textId="77777777" w:rsidR="00DD3DF0" w:rsidRPr="00671E8F" w:rsidRDefault="00DD3DF0" w:rsidP="00DD3DF0">
            <w:pPr>
              <w:tabs>
                <w:tab w:val="center" w:pos="4680"/>
                <w:tab w:val="right" w:pos="9360"/>
              </w:tabs>
              <w:rPr>
                <w:rFonts w:cstheme="minorHAnsi"/>
                <w:color w:val="002060"/>
                <w:sz w:val="14"/>
                <w:szCs w:val="14"/>
              </w:rPr>
            </w:pPr>
            <w:r w:rsidRPr="00671E8F">
              <w:rPr>
                <w:rFonts w:cstheme="minorHAnsi"/>
                <w:color w:val="002060"/>
                <w:sz w:val="14"/>
                <w:szCs w:val="14"/>
              </w:rPr>
              <w:t>Јавни приходи</w:t>
            </w:r>
          </w:p>
        </w:tc>
        <w:tc>
          <w:tcPr>
            <w:tcW w:w="356" w:type="pct"/>
            <w:tcBorders>
              <w:top w:val="single" w:sz="4" w:space="0" w:color="auto"/>
            </w:tcBorders>
            <w:shd w:val="clear" w:color="auto" w:fill="BFBFBF" w:themeFill="background1" w:themeFillShade="BF"/>
            <w:noWrap/>
            <w:hideMark/>
          </w:tcPr>
          <w:p w14:paraId="546F996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4.264,9</w:t>
            </w:r>
          </w:p>
        </w:tc>
        <w:tc>
          <w:tcPr>
            <w:tcW w:w="356" w:type="pct"/>
            <w:tcBorders>
              <w:top w:val="single" w:sz="4" w:space="0" w:color="auto"/>
            </w:tcBorders>
            <w:shd w:val="clear" w:color="auto" w:fill="BFBFBF" w:themeFill="background1" w:themeFillShade="BF"/>
            <w:noWrap/>
            <w:hideMark/>
          </w:tcPr>
          <w:p w14:paraId="585CD25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2.293,0</w:t>
            </w:r>
          </w:p>
        </w:tc>
        <w:tc>
          <w:tcPr>
            <w:tcW w:w="360" w:type="pct"/>
            <w:tcBorders>
              <w:top w:val="single" w:sz="4" w:space="0" w:color="auto"/>
            </w:tcBorders>
            <w:shd w:val="clear" w:color="auto" w:fill="BFBFBF" w:themeFill="background1" w:themeFillShade="BF"/>
            <w:noWrap/>
            <w:hideMark/>
          </w:tcPr>
          <w:p w14:paraId="7BFE503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507,2</w:t>
            </w:r>
          </w:p>
        </w:tc>
        <w:tc>
          <w:tcPr>
            <w:tcW w:w="348" w:type="pct"/>
            <w:tcBorders>
              <w:top w:val="single" w:sz="4" w:space="0" w:color="auto"/>
            </w:tcBorders>
            <w:shd w:val="clear" w:color="auto" w:fill="BFBFBF" w:themeFill="background1" w:themeFillShade="BF"/>
            <w:noWrap/>
            <w:hideMark/>
          </w:tcPr>
          <w:p w14:paraId="6658041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459,1</w:t>
            </w:r>
          </w:p>
        </w:tc>
        <w:tc>
          <w:tcPr>
            <w:tcW w:w="372" w:type="pct"/>
            <w:tcBorders>
              <w:top w:val="single" w:sz="4" w:space="0" w:color="auto"/>
            </w:tcBorders>
            <w:shd w:val="clear" w:color="auto" w:fill="BFBFBF" w:themeFill="background1" w:themeFillShade="BF"/>
            <w:noWrap/>
            <w:hideMark/>
          </w:tcPr>
          <w:p w14:paraId="59A152C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48,1</w:t>
            </w:r>
          </w:p>
        </w:tc>
        <w:tc>
          <w:tcPr>
            <w:tcW w:w="353" w:type="pct"/>
            <w:tcBorders>
              <w:top w:val="single" w:sz="4" w:space="0" w:color="auto"/>
            </w:tcBorders>
            <w:shd w:val="clear" w:color="auto" w:fill="BFBFBF" w:themeFill="background1" w:themeFillShade="BF"/>
            <w:noWrap/>
            <w:hideMark/>
          </w:tcPr>
          <w:p w14:paraId="1CF24CA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80,5</w:t>
            </w:r>
          </w:p>
        </w:tc>
        <w:tc>
          <w:tcPr>
            <w:tcW w:w="372" w:type="pct"/>
            <w:tcBorders>
              <w:top w:val="single" w:sz="4" w:space="0" w:color="auto"/>
            </w:tcBorders>
            <w:shd w:val="clear" w:color="auto" w:fill="BFBFBF" w:themeFill="background1" w:themeFillShade="BF"/>
            <w:noWrap/>
            <w:hideMark/>
          </w:tcPr>
          <w:p w14:paraId="167375C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1.384,3</w:t>
            </w:r>
          </w:p>
        </w:tc>
        <w:tc>
          <w:tcPr>
            <w:tcW w:w="372" w:type="pct"/>
            <w:tcBorders>
              <w:top w:val="single" w:sz="4" w:space="0" w:color="auto"/>
            </w:tcBorders>
            <w:shd w:val="clear" w:color="auto" w:fill="BFBFBF" w:themeFill="background1" w:themeFillShade="BF"/>
            <w:noWrap/>
            <w:hideMark/>
          </w:tcPr>
          <w:p w14:paraId="6679A48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931,9</w:t>
            </w:r>
          </w:p>
        </w:tc>
        <w:tc>
          <w:tcPr>
            <w:tcW w:w="372" w:type="pct"/>
            <w:tcBorders>
              <w:top w:val="single" w:sz="4" w:space="0" w:color="auto"/>
            </w:tcBorders>
            <w:shd w:val="clear" w:color="auto" w:fill="BFBFBF" w:themeFill="background1" w:themeFillShade="BF"/>
            <w:noWrap/>
            <w:hideMark/>
          </w:tcPr>
          <w:p w14:paraId="63AA0EC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418,6</w:t>
            </w:r>
          </w:p>
        </w:tc>
        <w:tc>
          <w:tcPr>
            <w:tcW w:w="372" w:type="pct"/>
            <w:tcBorders>
              <w:top w:val="single" w:sz="4" w:space="0" w:color="auto"/>
            </w:tcBorders>
            <w:shd w:val="clear" w:color="auto" w:fill="BFBFBF" w:themeFill="background1" w:themeFillShade="BF"/>
            <w:noWrap/>
            <w:hideMark/>
          </w:tcPr>
          <w:p w14:paraId="0E0607E5"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29,0</w:t>
            </w:r>
          </w:p>
        </w:tc>
        <w:tc>
          <w:tcPr>
            <w:tcW w:w="372" w:type="pct"/>
            <w:tcBorders>
              <w:top w:val="single" w:sz="4" w:space="0" w:color="auto"/>
            </w:tcBorders>
            <w:shd w:val="clear" w:color="auto" w:fill="BFBFBF" w:themeFill="background1" w:themeFillShade="BF"/>
            <w:noWrap/>
            <w:hideMark/>
          </w:tcPr>
          <w:p w14:paraId="18698BA0"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4,8</w:t>
            </w:r>
          </w:p>
        </w:tc>
      </w:tr>
      <w:tr w:rsidR="00DD3DF0" w:rsidRPr="00671E8F" w14:paraId="10EE2272"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482430A"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Текући приходи</w:t>
            </w:r>
          </w:p>
        </w:tc>
        <w:tc>
          <w:tcPr>
            <w:tcW w:w="356" w:type="pct"/>
            <w:tcBorders>
              <w:top w:val="nil"/>
            </w:tcBorders>
            <w:shd w:val="clear" w:color="auto" w:fill="FFFFFF" w:themeFill="background1"/>
            <w:noWrap/>
            <w:hideMark/>
          </w:tcPr>
          <w:p w14:paraId="0452B6F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4.226,6</w:t>
            </w:r>
          </w:p>
        </w:tc>
        <w:tc>
          <w:tcPr>
            <w:tcW w:w="356" w:type="pct"/>
            <w:tcBorders>
              <w:top w:val="nil"/>
            </w:tcBorders>
            <w:shd w:val="clear" w:color="auto" w:fill="FFFFFF" w:themeFill="background1"/>
            <w:noWrap/>
            <w:hideMark/>
          </w:tcPr>
          <w:p w14:paraId="7442F86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2.257,5</w:t>
            </w:r>
          </w:p>
        </w:tc>
        <w:tc>
          <w:tcPr>
            <w:tcW w:w="360" w:type="pct"/>
            <w:tcBorders>
              <w:top w:val="nil"/>
            </w:tcBorders>
            <w:shd w:val="clear" w:color="auto" w:fill="FFFFFF" w:themeFill="background1"/>
            <w:noWrap/>
            <w:hideMark/>
          </w:tcPr>
          <w:p w14:paraId="483F6D5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504,7</w:t>
            </w:r>
          </w:p>
        </w:tc>
        <w:tc>
          <w:tcPr>
            <w:tcW w:w="348" w:type="pct"/>
            <w:tcBorders>
              <w:top w:val="nil"/>
            </w:tcBorders>
            <w:shd w:val="clear" w:color="auto" w:fill="FFFFFF" w:themeFill="background1"/>
            <w:noWrap/>
            <w:hideMark/>
          </w:tcPr>
          <w:p w14:paraId="4453779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456,6</w:t>
            </w:r>
          </w:p>
        </w:tc>
        <w:tc>
          <w:tcPr>
            <w:tcW w:w="372" w:type="pct"/>
            <w:tcBorders>
              <w:top w:val="nil"/>
            </w:tcBorders>
            <w:shd w:val="clear" w:color="auto" w:fill="FFFFFF" w:themeFill="background1"/>
            <w:noWrap/>
            <w:hideMark/>
          </w:tcPr>
          <w:p w14:paraId="5120419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48,1</w:t>
            </w:r>
          </w:p>
        </w:tc>
        <w:tc>
          <w:tcPr>
            <w:tcW w:w="353" w:type="pct"/>
            <w:tcBorders>
              <w:top w:val="nil"/>
            </w:tcBorders>
            <w:shd w:val="clear" w:color="auto" w:fill="FFFFFF" w:themeFill="background1"/>
            <w:noWrap/>
            <w:hideMark/>
          </w:tcPr>
          <w:p w14:paraId="5D80EDE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80,5</w:t>
            </w:r>
          </w:p>
        </w:tc>
        <w:tc>
          <w:tcPr>
            <w:tcW w:w="372" w:type="pct"/>
            <w:tcBorders>
              <w:top w:val="nil"/>
            </w:tcBorders>
            <w:shd w:val="clear" w:color="auto" w:fill="FFFFFF" w:themeFill="background1"/>
            <w:noWrap/>
            <w:hideMark/>
          </w:tcPr>
          <w:p w14:paraId="3632E18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1.383,9</w:t>
            </w:r>
          </w:p>
        </w:tc>
        <w:tc>
          <w:tcPr>
            <w:tcW w:w="372" w:type="pct"/>
            <w:tcBorders>
              <w:top w:val="nil"/>
            </w:tcBorders>
            <w:shd w:val="clear" w:color="auto" w:fill="FFFFFF" w:themeFill="background1"/>
            <w:noWrap/>
            <w:hideMark/>
          </w:tcPr>
          <w:p w14:paraId="5901C2A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931,9</w:t>
            </w:r>
          </w:p>
        </w:tc>
        <w:tc>
          <w:tcPr>
            <w:tcW w:w="372" w:type="pct"/>
            <w:tcBorders>
              <w:top w:val="nil"/>
            </w:tcBorders>
            <w:shd w:val="clear" w:color="auto" w:fill="FFFFFF" w:themeFill="background1"/>
            <w:noWrap/>
            <w:hideMark/>
          </w:tcPr>
          <w:p w14:paraId="3394F0E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418,5</w:t>
            </w:r>
          </w:p>
        </w:tc>
        <w:tc>
          <w:tcPr>
            <w:tcW w:w="372" w:type="pct"/>
            <w:tcBorders>
              <w:top w:val="nil"/>
            </w:tcBorders>
            <w:shd w:val="clear" w:color="auto" w:fill="FFFFFF" w:themeFill="background1"/>
            <w:noWrap/>
            <w:hideMark/>
          </w:tcPr>
          <w:p w14:paraId="73EBD51E"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28,8</w:t>
            </w:r>
          </w:p>
        </w:tc>
        <w:tc>
          <w:tcPr>
            <w:tcW w:w="372" w:type="pct"/>
            <w:tcBorders>
              <w:top w:val="nil"/>
            </w:tcBorders>
            <w:shd w:val="clear" w:color="auto" w:fill="FFFFFF" w:themeFill="background1"/>
            <w:noWrap/>
            <w:hideMark/>
          </w:tcPr>
          <w:p w14:paraId="395BC700"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w:t>
            </w:r>
          </w:p>
        </w:tc>
      </w:tr>
      <w:tr w:rsidR="00DD3DF0" w:rsidRPr="00671E8F" w14:paraId="09425038"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AAC21EB"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Порески приходи</w:t>
            </w:r>
          </w:p>
        </w:tc>
        <w:tc>
          <w:tcPr>
            <w:tcW w:w="356" w:type="pct"/>
            <w:tcBorders>
              <w:top w:val="nil"/>
            </w:tcBorders>
            <w:shd w:val="clear" w:color="auto" w:fill="FFFFFF" w:themeFill="background1"/>
            <w:noWrap/>
            <w:hideMark/>
          </w:tcPr>
          <w:p w14:paraId="589DF82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3.750,5</w:t>
            </w:r>
          </w:p>
        </w:tc>
        <w:tc>
          <w:tcPr>
            <w:tcW w:w="356" w:type="pct"/>
            <w:tcBorders>
              <w:top w:val="nil"/>
            </w:tcBorders>
            <w:shd w:val="clear" w:color="auto" w:fill="FFFFFF" w:themeFill="background1"/>
            <w:noWrap/>
            <w:hideMark/>
          </w:tcPr>
          <w:p w14:paraId="3F46E55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1.985,2</w:t>
            </w:r>
          </w:p>
        </w:tc>
        <w:tc>
          <w:tcPr>
            <w:tcW w:w="360" w:type="pct"/>
            <w:tcBorders>
              <w:top w:val="nil"/>
            </w:tcBorders>
            <w:shd w:val="clear" w:color="auto" w:fill="FFFFFF" w:themeFill="background1"/>
            <w:noWrap/>
            <w:hideMark/>
          </w:tcPr>
          <w:p w14:paraId="1DD7F76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420,4</w:t>
            </w:r>
          </w:p>
        </w:tc>
        <w:tc>
          <w:tcPr>
            <w:tcW w:w="348" w:type="pct"/>
            <w:tcBorders>
              <w:top w:val="nil"/>
            </w:tcBorders>
            <w:shd w:val="clear" w:color="auto" w:fill="FFFFFF" w:themeFill="background1"/>
            <w:noWrap/>
            <w:hideMark/>
          </w:tcPr>
          <w:p w14:paraId="013B970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378,0</w:t>
            </w:r>
          </w:p>
        </w:tc>
        <w:tc>
          <w:tcPr>
            <w:tcW w:w="372" w:type="pct"/>
            <w:tcBorders>
              <w:top w:val="nil"/>
            </w:tcBorders>
            <w:shd w:val="clear" w:color="auto" w:fill="FFFFFF" w:themeFill="background1"/>
            <w:noWrap/>
            <w:hideMark/>
          </w:tcPr>
          <w:p w14:paraId="661E4C4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42,4</w:t>
            </w:r>
          </w:p>
        </w:tc>
        <w:tc>
          <w:tcPr>
            <w:tcW w:w="353" w:type="pct"/>
            <w:tcBorders>
              <w:top w:val="nil"/>
            </w:tcBorders>
            <w:shd w:val="clear" w:color="auto" w:fill="FFFFFF" w:themeFill="background1"/>
            <w:noWrap/>
          </w:tcPr>
          <w:p w14:paraId="3361EE8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F07A99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1.345,0</w:t>
            </w:r>
          </w:p>
        </w:tc>
        <w:tc>
          <w:tcPr>
            <w:tcW w:w="372" w:type="pct"/>
            <w:tcBorders>
              <w:top w:val="nil"/>
            </w:tcBorders>
            <w:shd w:val="clear" w:color="auto" w:fill="FFFFFF" w:themeFill="background1"/>
            <w:noWrap/>
            <w:hideMark/>
          </w:tcPr>
          <w:p w14:paraId="740136A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931,9</w:t>
            </w:r>
          </w:p>
        </w:tc>
        <w:tc>
          <w:tcPr>
            <w:tcW w:w="372" w:type="pct"/>
            <w:tcBorders>
              <w:top w:val="nil"/>
            </w:tcBorders>
            <w:shd w:val="clear" w:color="auto" w:fill="FFFFFF" w:themeFill="background1"/>
            <w:noWrap/>
            <w:hideMark/>
          </w:tcPr>
          <w:p w14:paraId="6D9AA51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380,7</w:t>
            </w:r>
          </w:p>
        </w:tc>
        <w:tc>
          <w:tcPr>
            <w:tcW w:w="372" w:type="pct"/>
            <w:tcBorders>
              <w:top w:val="nil"/>
            </w:tcBorders>
            <w:shd w:val="clear" w:color="auto" w:fill="FFFFFF" w:themeFill="background1"/>
            <w:noWrap/>
            <w:hideMark/>
          </w:tcPr>
          <w:p w14:paraId="60BC7072"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27,9</w:t>
            </w:r>
          </w:p>
        </w:tc>
        <w:tc>
          <w:tcPr>
            <w:tcW w:w="372" w:type="pct"/>
            <w:tcBorders>
              <w:top w:val="nil"/>
            </w:tcBorders>
            <w:shd w:val="clear" w:color="auto" w:fill="FFFFFF" w:themeFill="background1"/>
            <w:noWrap/>
            <w:hideMark/>
          </w:tcPr>
          <w:p w14:paraId="3832A074"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4,5</w:t>
            </w:r>
          </w:p>
        </w:tc>
      </w:tr>
      <w:tr w:rsidR="00DD3DF0" w:rsidRPr="00671E8F" w14:paraId="48E62447"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00C322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Порез на доходак</w:t>
            </w:r>
          </w:p>
        </w:tc>
        <w:tc>
          <w:tcPr>
            <w:tcW w:w="356" w:type="pct"/>
            <w:tcBorders>
              <w:top w:val="nil"/>
            </w:tcBorders>
            <w:shd w:val="clear" w:color="auto" w:fill="FFFFFF" w:themeFill="background1"/>
            <w:noWrap/>
            <w:hideMark/>
          </w:tcPr>
          <w:p w14:paraId="7EED231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427,0</w:t>
            </w:r>
          </w:p>
        </w:tc>
        <w:tc>
          <w:tcPr>
            <w:tcW w:w="356" w:type="pct"/>
            <w:tcBorders>
              <w:top w:val="nil"/>
            </w:tcBorders>
            <w:shd w:val="clear" w:color="auto" w:fill="FFFFFF" w:themeFill="background1"/>
            <w:noWrap/>
            <w:hideMark/>
          </w:tcPr>
          <w:p w14:paraId="6A68EFA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138,4</w:t>
            </w:r>
          </w:p>
        </w:tc>
        <w:tc>
          <w:tcPr>
            <w:tcW w:w="360" w:type="pct"/>
            <w:tcBorders>
              <w:top w:val="nil"/>
            </w:tcBorders>
            <w:shd w:val="clear" w:color="auto" w:fill="FFFFFF" w:themeFill="background1"/>
            <w:noWrap/>
            <w:hideMark/>
          </w:tcPr>
          <w:p w14:paraId="56BF4EC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288,7</w:t>
            </w:r>
          </w:p>
        </w:tc>
        <w:tc>
          <w:tcPr>
            <w:tcW w:w="348" w:type="pct"/>
            <w:tcBorders>
              <w:top w:val="nil"/>
            </w:tcBorders>
            <w:shd w:val="clear" w:color="auto" w:fill="FFFFFF" w:themeFill="background1"/>
            <w:noWrap/>
            <w:hideMark/>
          </w:tcPr>
          <w:p w14:paraId="043D47F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275,0</w:t>
            </w:r>
          </w:p>
        </w:tc>
        <w:tc>
          <w:tcPr>
            <w:tcW w:w="372" w:type="pct"/>
            <w:tcBorders>
              <w:top w:val="nil"/>
            </w:tcBorders>
            <w:shd w:val="clear" w:color="auto" w:fill="FFFFFF" w:themeFill="background1"/>
            <w:noWrap/>
            <w:hideMark/>
          </w:tcPr>
          <w:p w14:paraId="3DFD856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13,7</w:t>
            </w:r>
          </w:p>
        </w:tc>
        <w:tc>
          <w:tcPr>
            <w:tcW w:w="353" w:type="pct"/>
            <w:tcBorders>
              <w:top w:val="nil"/>
            </w:tcBorders>
            <w:shd w:val="clear" w:color="auto" w:fill="FFFFFF" w:themeFill="background1"/>
            <w:noWrap/>
          </w:tcPr>
          <w:p w14:paraId="41F3714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34D4E6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7C5228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0C96FF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AD99DBD"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9854649"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4426403F"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00A95C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Доприноси</w:t>
            </w:r>
          </w:p>
        </w:tc>
        <w:tc>
          <w:tcPr>
            <w:tcW w:w="356" w:type="pct"/>
            <w:tcBorders>
              <w:top w:val="nil"/>
            </w:tcBorders>
            <w:shd w:val="clear" w:color="auto" w:fill="FFFFFF" w:themeFill="background1"/>
            <w:noWrap/>
            <w:hideMark/>
          </w:tcPr>
          <w:p w14:paraId="711FDE6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1.345,0</w:t>
            </w:r>
          </w:p>
        </w:tc>
        <w:tc>
          <w:tcPr>
            <w:tcW w:w="356" w:type="pct"/>
            <w:tcBorders>
              <w:top w:val="nil"/>
            </w:tcBorders>
            <w:shd w:val="clear" w:color="auto" w:fill="FFFFFF" w:themeFill="background1"/>
            <w:noWrap/>
            <w:hideMark/>
          </w:tcPr>
          <w:p w14:paraId="6EA43F0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2E13DEE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4B5BA75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62EFFB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tcPr>
          <w:p w14:paraId="2414937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46994A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1.345,0</w:t>
            </w:r>
          </w:p>
        </w:tc>
        <w:tc>
          <w:tcPr>
            <w:tcW w:w="372" w:type="pct"/>
            <w:tcBorders>
              <w:top w:val="nil"/>
            </w:tcBorders>
            <w:shd w:val="clear" w:color="auto" w:fill="FFFFFF" w:themeFill="background1"/>
            <w:noWrap/>
            <w:hideMark/>
          </w:tcPr>
          <w:p w14:paraId="2179418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931,9</w:t>
            </w:r>
          </w:p>
        </w:tc>
        <w:tc>
          <w:tcPr>
            <w:tcW w:w="372" w:type="pct"/>
            <w:tcBorders>
              <w:top w:val="nil"/>
            </w:tcBorders>
            <w:shd w:val="clear" w:color="auto" w:fill="FFFFFF" w:themeFill="background1"/>
            <w:noWrap/>
            <w:hideMark/>
          </w:tcPr>
          <w:p w14:paraId="43D4D1D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380,7</w:t>
            </w:r>
          </w:p>
        </w:tc>
        <w:tc>
          <w:tcPr>
            <w:tcW w:w="372" w:type="pct"/>
            <w:tcBorders>
              <w:top w:val="nil"/>
            </w:tcBorders>
            <w:shd w:val="clear" w:color="auto" w:fill="FFFFFF" w:themeFill="background1"/>
            <w:noWrap/>
            <w:hideMark/>
          </w:tcPr>
          <w:p w14:paraId="5682ABC6"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27,9</w:t>
            </w:r>
          </w:p>
        </w:tc>
        <w:tc>
          <w:tcPr>
            <w:tcW w:w="372" w:type="pct"/>
            <w:tcBorders>
              <w:top w:val="nil"/>
            </w:tcBorders>
            <w:shd w:val="clear" w:color="auto" w:fill="FFFFFF" w:themeFill="background1"/>
            <w:noWrap/>
            <w:hideMark/>
          </w:tcPr>
          <w:p w14:paraId="6E04AB23"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4,5</w:t>
            </w:r>
          </w:p>
        </w:tc>
      </w:tr>
      <w:tr w:rsidR="00DD3DF0" w:rsidRPr="00671E8F" w14:paraId="03022795"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A7B8556"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Порез на добит </w:t>
            </w:r>
          </w:p>
        </w:tc>
        <w:tc>
          <w:tcPr>
            <w:tcW w:w="356" w:type="pct"/>
            <w:tcBorders>
              <w:top w:val="nil"/>
            </w:tcBorders>
            <w:shd w:val="clear" w:color="auto" w:fill="FFFFFF" w:themeFill="background1"/>
            <w:noWrap/>
            <w:hideMark/>
          </w:tcPr>
          <w:p w14:paraId="3FB6DC8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287,4</w:t>
            </w:r>
          </w:p>
        </w:tc>
        <w:tc>
          <w:tcPr>
            <w:tcW w:w="356" w:type="pct"/>
            <w:tcBorders>
              <w:top w:val="nil"/>
            </w:tcBorders>
            <w:shd w:val="clear" w:color="auto" w:fill="FFFFFF" w:themeFill="background1"/>
            <w:noWrap/>
            <w:hideMark/>
          </w:tcPr>
          <w:p w14:paraId="653802C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258,8</w:t>
            </w:r>
          </w:p>
        </w:tc>
        <w:tc>
          <w:tcPr>
            <w:tcW w:w="360" w:type="pct"/>
            <w:tcBorders>
              <w:top w:val="nil"/>
            </w:tcBorders>
            <w:shd w:val="clear" w:color="auto" w:fill="FFFFFF" w:themeFill="background1"/>
            <w:noWrap/>
            <w:hideMark/>
          </w:tcPr>
          <w:p w14:paraId="30CFB2A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28,7</w:t>
            </w:r>
          </w:p>
        </w:tc>
        <w:tc>
          <w:tcPr>
            <w:tcW w:w="348" w:type="pct"/>
            <w:tcBorders>
              <w:top w:val="nil"/>
            </w:tcBorders>
            <w:shd w:val="clear" w:color="auto" w:fill="FFFFFF" w:themeFill="background1"/>
            <w:noWrap/>
          </w:tcPr>
          <w:p w14:paraId="2B04D3F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34529E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28,7</w:t>
            </w:r>
          </w:p>
        </w:tc>
        <w:tc>
          <w:tcPr>
            <w:tcW w:w="353" w:type="pct"/>
            <w:tcBorders>
              <w:top w:val="nil"/>
            </w:tcBorders>
            <w:shd w:val="clear" w:color="auto" w:fill="FFFFFF" w:themeFill="background1"/>
            <w:noWrap/>
          </w:tcPr>
          <w:p w14:paraId="3F66A9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079524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95631D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AC269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F4906E3"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F9A06C2"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5A7ACA2E"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4B53036"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ПДВ</w:t>
            </w:r>
          </w:p>
        </w:tc>
        <w:tc>
          <w:tcPr>
            <w:tcW w:w="356" w:type="pct"/>
            <w:tcBorders>
              <w:top w:val="nil"/>
            </w:tcBorders>
            <w:shd w:val="clear" w:color="auto" w:fill="FFFFFF" w:themeFill="background1"/>
            <w:noWrap/>
            <w:hideMark/>
          </w:tcPr>
          <w:p w14:paraId="36073A1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1.056,0</w:t>
            </w:r>
          </w:p>
        </w:tc>
        <w:tc>
          <w:tcPr>
            <w:tcW w:w="356" w:type="pct"/>
            <w:tcBorders>
              <w:top w:val="nil"/>
            </w:tcBorders>
            <w:shd w:val="clear" w:color="auto" w:fill="FFFFFF" w:themeFill="background1"/>
            <w:noWrap/>
            <w:hideMark/>
          </w:tcPr>
          <w:p w14:paraId="4E4D921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1.056,0</w:t>
            </w:r>
          </w:p>
        </w:tc>
        <w:tc>
          <w:tcPr>
            <w:tcW w:w="360" w:type="pct"/>
            <w:tcBorders>
              <w:top w:val="nil"/>
            </w:tcBorders>
            <w:shd w:val="clear" w:color="auto" w:fill="FFFFFF" w:themeFill="background1"/>
            <w:noWrap/>
          </w:tcPr>
          <w:p w14:paraId="10E9666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650B2BA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897820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676371B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D0EAEB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75224A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556250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4D6E351"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2DB849A"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7F87C585"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3AB366E"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Акцизе</w:t>
            </w:r>
          </w:p>
        </w:tc>
        <w:tc>
          <w:tcPr>
            <w:tcW w:w="356" w:type="pct"/>
            <w:tcBorders>
              <w:top w:val="nil"/>
            </w:tcBorders>
            <w:shd w:val="clear" w:color="auto" w:fill="FFFFFF" w:themeFill="background1"/>
            <w:noWrap/>
            <w:hideMark/>
          </w:tcPr>
          <w:p w14:paraId="4A53ED2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420,0</w:t>
            </w:r>
          </w:p>
        </w:tc>
        <w:tc>
          <w:tcPr>
            <w:tcW w:w="356" w:type="pct"/>
            <w:tcBorders>
              <w:top w:val="nil"/>
            </w:tcBorders>
            <w:shd w:val="clear" w:color="auto" w:fill="FFFFFF" w:themeFill="background1"/>
            <w:noWrap/>
            <w:hideMark/>
          </w:tcPr>
          <w:p w14:paraId="10BCFCA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420,0</w:t>
            </w:r>
          </w:p>
        </w:tc>
        <w:tc>
          <w:tcPr>
            <w:tcW w:w="360" w:type="pct"/>
            <w:tcBorders>
              <w:top w:val="nil"/>
            </w:tcBorders>
            <w:shd w:val="clear" w:color="auto" w:fill="FFFFFF" w:themeFill="background1"/>
            <w:noWrap/>
          </w:tcPr>
          <w:p w14:paraId="3D35819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48B8448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02AF43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6AE7F31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F66998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E1C521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F852C5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303019C"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561AF1D"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49512B19"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6B1854B"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Царине</w:t>
            </w:r>
          </w:p>
        </w:tc>
        <w:tc>
          <w:tcPr>
            <w:tcW w:w="356" w:type="pct"/>
            <w:tcBorders>
              <w:top w:val="nil"/>
            </w:tcBorders>
            <w:shd w:val="clear" w:color="auto" w:fill="FFFFFF" w:themeFill="background1"/>
            <w:noWrap/>
            <w:hideMark/>
          </w:tcPr>
          <w:p w14:paraId="3353390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95,4</w:t>
            </w:r>
          </w:p>
        </w:tc>
        <w:tc>
          <w:tcPr>
            <w:tcW w:w="356" w:type="pct"/>
            <w:tcBorders>
              <w:top w:val="nil"/>
            </w:tcBorders>
            <w:shd w:val="clear" w:color="auto" w:fill="FFFFFF" w:themeFill="background1"/>
            <w:noWrap/>
            <w:hideMark/>
          </w:tcPr>
          <w:p w14:paraId="1ABFB6E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95,4</w:t>
            </w:r>
          </w:p>
        </w:tc>
        <w:tc>
          <w:tcPr>
            <w:tcW w:w="360" w:type="pct"/>
            <w:tcBorders>
              <w:top w:val="nil"/>
            </w:tcBorders>
            <w:shd w:val="clear" w:color="auto" w:fill="FFFFFF" w:themeFill="background1"/>
            <w:noWrap/>
          </w:tcPr>
          <w:p w14:paraId="47D7C0D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3B0CB4B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17CCEE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5C1B582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010B18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B780D3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7A0E50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27E3D44"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00134BF"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6006EAE6"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9EF424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Остали порески приходи</w:t>
            </w:r>
          </w:p>
        </w:tc>
        <w:tc>
          <w:tcPr>
            <w:tcW w:w="356" w:type="pct"/>
            <w:tcBorders>
              <w:top w:val="nil"/>
            </w:tcBorders>
            <w:shd w:val="clear" w:color="auto" w:fill="FFFFFF" w:themeFill="background1"/>
            <w:noWrap/>
            <w:hideMark/>
          </w:tcPr>
          <w:p w14:paraId="7ACDE66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119,7</w:t>
            </w:r>
          </w:p>
        </w:tc>
        <w:tc>
          <w:tcPr>
            <w:tcW w:w="356" w:type="pct"/>
            <w:tcBorders>
              <w:top w:val="nil"/>
            </w:tcBorders>
            <w:shd w:val="clear" w:color="auto" w:fill="FFFFFF" w:themeFill="background1"/>
            <w:noWrap/>
            <w:hideMark/>
          </w:tcPr>
          <w:p w14:paraId="480D8E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16,6</w:t>
            </w:r>
          </w:p>
        </w:tc>
        <w:tc>
          <w:tcPr>
            <w:tcW w:w="360" w:type="pct"/>
            <w:tcBorders>
              <w:top w:val="nil"/>
            </w:tcBorders>
            <w:shd w:val="clear" w:color="auto" w:fill="FFFFFF" w:themeFill="background1"/>
            <w:noWrap/>
            <w:hideMark/>
          </w:tcPr>
          <w:p w14:paraId="4B1374F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103,0</w:t>
            </w:r>
          </w:p>
        </w:tc>
        <w:tc>
          <w:tcPr>
            <w:tcW w:w="348" w:type="pct"/>
            <w:tcBorders>
              <w:top w:val="nil"/>
            </w:tcBorders>
            <w:shd w:val="clear" w:color="auto" w:fill="FFFFFF" w:themeFill="background1"/>
            <w:noWrap/>
            <w:hideMark/>
          </w:tcPr>
          <w:p w14:paraId="447AF8C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103,0</w:t>
            </w:r>
          </w:p>
        </w:tc>
        <w:tc>
          <w:tcPr>
            <w:tcW w:w="372" w:type="pct"/>
            <w:tcBorders>
              <w:top w:val="nil"/>
            </w:tcBorders>
            <w:shd w:val="clear" w:color="auto" w:fill="FFFFFF" w:themeFill="background1"/>
            <w:noWrap/>
            <w:hideMark/>
          </w:tcPr>
          <w:p w14:paraId="3CA7BED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A512D4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743ABB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A1FE6B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4E30D1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57AFD6F"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A595461"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5299628E"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46E555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Непорески приходи</w:t>
            </w:r>
          </w:p>
        </w:tc>
        <w:tc>
          <w:tcPr>
            <w:tcW w:w="356" w:type="pct"/>
            <w:tcBorders>
              <w:top w:val="nil"/>
            </w:tcBorders>
            <w:shd w:val="clear" w:color="auto" w:fill="FFFFFF" w:themeFill="background1"/>
            <w:noWrap/>
            <w:hideMark/>
          </w:tcPr>
          <w:p w14:paraId="17CCD80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476,1</w:t>
            </w:r>
          </w:p>
        </w:tc>
        <w:tc>
          <w:tcPr>
            <w:tcW w:w="356" w:type="pct"/>
            <w:tcBorders>
              <w:top w:val="nil"/>
            </w:tcBorders>
            <w:shd w:val="clear" w:color="auto" w:fill="FFFFFF" w:themeFill="background1"/>
            <w:noWrap/>
            <w:hideMark/>
          </w:tcPr>
          <w:p w14:paraId="2887595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272,4</w:t>
            </w:r>
          </w:p>
        </w:tc>
        <w:tc>
          <w:tcPr>
            <w:tcW w:w="360" w:type="pct"/>
            <w:tcBorders>
              <w:top w:val="nil"/>
            </w:tcBorders>
            <w:shd w:val="clear" w:color="auto" w:fill="FFFFFF" w:themeFill="background1"/>
            <w:noWrap/>
            <w:hideMark/>
          </w:tcPr>
          <w:p w14:paraId="6B7AE9D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84,3</w:t>
            </w:r>
          </w:p>
        </w:tc>
        <w:tc>
          <w:tcPr>
            <w:tcW w:w="348" w:type="pct"/>
            <w:tcBorders>
              <w:top w:val="nil"/>
            </w:tcBorders>
            <w:shd w:val="clear" w:color="auto" w:fill="FFFFFF" w:themeFill="background1"/>
            <w:noWrap/>
            <w:hideMark/>
          </w:tcPr>
          <w:p w14:paraId="6569E6B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78,6</w:t>
            </w:r>
          </w:p>
        </w:tc>
        <w:tc>
          <w:tcPr>
            <w:tcW w:w="372" w:type="pct"/>
            <w:tcBorders>
              <w:top w:val="nil"/>
            </w:tcBorders>
            <w:shd w:val="clear" w:color="auto" w:fill="FFFFFF" w:themeFill="background1"/>
            <w:noWrap/>
            <w:hideMark/>
          </w:tcPr>
          <w:p w14:paraId="2AC6212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5,7</w:t>
            </w:r>
          </w:p>
        </w:tc>
        <w:tc>
          <w:tcPr>
            <w:tcW w:w="353" w:type="pct"/>
            <w:tcBorders>
              <w:top w:val="nil"/>
            </w:tcBorders>
            <w:shd w:val="clear" w:color="auto" w:fill="FFFFFF" w:themeFill="background1"/>
            <w:noWrap/>
            <w:hideMark/>
          </w:tcPr>
          <w:p w14:paraId="0DF2A10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80,5</w:t>
            </w:r>
          </w:p>
        </w:tc>
        <w:tc>
          <w:tcPr>
            <w:tcW w:w="372" w:type="pct"/>
            <w:tcBorders>
              <w:top w:val="nil"/>
            </w:tcBorders>
            <w:shd w:val="clear" w:color="auto" w:fill="FFFFFF" w:themeFill="background1"/>
            <w:noWrap/>
            <w:hideMark/>
          </w:tcPr>
          <w:p w14:paraId="3017299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39,0</w:t>
            </w:r>
          </w:p>
        </w:tc>
        <w:tc>
          <w:tcPr>
            <w:tcW w:w="372" w:type="pct"/>
            <w:tcBorders>
              <w:top w:val="nil"/>
            </w:tcBorders>
            <w:shd w:val="clear" w:color="auto" w:fill="FFFFFF" w:themeFill="background1"/>
            <w:noWrap/>
          </w:tcPr>
          <w:p w14:paraId="03A315E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28BA0B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37,8</w:t>
            </w:r>
          </w:p>
        </w:tc>
        <w:tc>
          <w:tcPr>
            <w:tcW w:w="372" w:type="pct"/>
            <w:tcBorders>
              <w:top w:val="nil"/>
            </w:tcBorders>
            <w:shd w:val="clear" w:color="auto" w:fill="FFFFFF" w:themeFill="background1"/>
            <w:noWrap/>
            <w:hideMark/>
          </w:tcPr>
          <w:p w14:paraId="61A1AB54"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w:t>
            </w:r>
          </w:p>
        </w:tc>
        <w:tc>
          <w:tcPr>
            <w:tcW w:w="372" w:type="pct"/>
            <w:tcBorders>
              <w:top w:val="nil"/>
            </w:tcBorders>
            <w:shd w:val="clear" w:color="auto" w:fill="FFFFFF" w:themeFill="background1"/>
            <w:noWrap/>
            <w:hideMark/>
          </w:tcPr>
          <w:p w14:paraId="1236925B"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0,2</w:t>
            </w:r>
          </w:p>
        </w:tc>
      </w:tr>
      <w:tr w:rsidR="00DD3DF0" w:rsidRPr="00671E8F" w14:paraId="4D8E4F85"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166D5F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Донације</w:t>
            </w:r>
          </w:p>
        </w:tc>
        <w:tc>
          <w:tcPr>
            <w:tcW w:w="356" w:type="pct"/>
            <w:tcBorders>
              <w:top w:val="nil"/>
            </w:tcBorders>
            <w:shd w:val="clear" w:color="auto" w:fill="FFFFFF" w:themeFill="background1"/>
            <w:noWrap/>
            <w:hideMark/>
          </w:tcPr>
          <w:p w14:paraId="412AA87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38,3</w:t>
            </w:r>
          </w:p>
        </w:tc>
        <w:tc>
          <w:tcPr>
            <w:tcW w:w="356" w:type="pct"/>
            <w:tcBorders>
              <w:top w:val="nil"/>
            </w:tcBorders>
            <w:shd w:val="clear" w:color="auto" w:fill="FFFFFF" w:themeFill="background1"/>
            <w:noWrap/>
            <w:hideMark/>
          </w:tcPr>
          <w:p w14:paraId="1C8E9BC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35,4</w:t>
            </w:r>
          </w:p>
        </w:tc>
        <w:tc>
          <w:tcPr>
            <w:tcW w:w="360" w:type="pct"/>
            <w:tcBorders>
              <w:top w:val="nil"/>
            </w:tcBorders>
            <w:shd w:val="clear" w:color="auto" w:fill="FFFFFF" w:themeFill="background1"/>
            <w:noWrap/>
            <w:hideMark/>
          </w:tcPr>
          <w:p w14:paraId="25F9F48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w:t>
            </w:r>
          </w:p>
        </w:tc>
        <w:tc>
          <w:tcPr>
            <w:tcW w:w="348" w:type="pct"/>
            <w:tcBorders>
              <w:top w:val="nil"/>
            </w:tcBorders>
            <w:shd w:val="clear" w:color="auto" w:fill="FFFFFF" w:themeFill="background1"/>
            <w:noWrap/>
            <w:hideMark/>
          </w:tcPr>
          <w:p w14:paraId="0125FE5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w:t>
            </w:r>
          </w:p>
        </w:tc>
        <w:tc>
          <w:tcPr>
            <w:tcW w:w="372" w:type="pct"/>
            <w:tcBorders>
              <w:top w:val="nil"/>
            </w:tcBorders>
            <w:shd w:val="clear" w:color="auto" w:fill="FFFFFF" w:themeFill="background1"/>
            <w:noWrap/>
          </w:tcPr>
          <w:p w14:paraId="299A09C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tcPr>
          <w:p w14:paraId="15769C9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2615AA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0,4</w:t>
            </w:r>
          </w:p>
        </w:tc>
        <w:tc>
          <w:tcPr>
            <w:tcW w:w="372" w:type="pct"/>
            <w:tcBorders>
              <w:top w:val="nil"/>
            </w:tcBorders>
            <w:shd w:val="clear" w:color="auto" w:fill="FFFFFF" w:themeFill="background1"/>
            <w:noWrap/>
          </w:tcPr>
          <w:p w14:paraId="6BDE9C8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628CF6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0,2</w:t>
            </w:r>
          </w:p>
        </w:tc>
        <w:tc>
          <w:tcPr>
            <w:tcW w:w="372" w:type="pct"/>
            <w:tcBorders>
              <w:top w:val="nil"/>
            </w:tcBorders>
            <w:shd w:val="clear" w:color="auto" w:fill="FFFFFF" w:themeFill="background1"/>
            <w:noWrap/>
            <w:hideMark/>
          </w:tcPr>
          <w:p w14:paraId="76A9E3F4"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0,2</w:t>
            </w:r>
          </w:p>
        </w:tc>
        <w:tc>
          <w:tcPr>
            <w:tcW w:w="372" w:type="pct"/>
            <w:tcBorders>
              <w:top w:val="nil"/>
            </w:tcBorders>
            <w:shd w:val="clear" w:color="auto" w:fill="FFFFFF" w:themeFill="background1"/>
            <w:noWrap/>
            <w:hideMark/>
          </w:tcPr>
          <w:p w14:paraId="6E9B0EA9"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7F39EA09"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BFBFBF" w:themeFill="background1" w:themeFillShade="BF"/>
            <w:noWrap/>
            <w:vAlign w:val="bottom"/>
            <w:hideMark/>
          </w:tcPr>
          <w:p w14:paraId="678D9155" w14:textId="77777777" w:rsidR="00DD3DF0" w:rsidRPr="00671E8F" w:rsidRDefault="00DD3DF0" w:rsidP="00DD3DF0">
            <w:pPr>
              <w:tabs>
                <w:tab w:val="center" w:pos="4680"/>
                <w:tab w:val="right" w:pos="9360"/>
              </w:tabs>
              <w:rPr>
                <w:rFonts w:cstheme="minorHAnsi"/>
                <w:color w:val="002060"/>
                <w:sz w:val="14"/>
                <w:szCs w:val="14"/>
              </w:rPr>
            </w:pPr>
            <w:r w:rsidRPr="00671E8F">
              <w:rPr>
                <w:rFonts w:cstheme="minorHAnsi"/>
                <w:color w:val="002060"/>
                <w:sz w:val="14"/>
                <w:szCs w:val="14"/>
              </w:rPr>
              <w:t>Јавни расходи</w:t>
            </w:r>
          </w:p>
        </w:tc>
        <w:tc>
          <w:tcPr>
            <w:tcW w:w="356" w:type="pct"/>
            <w:tcBorders>
              <w:top w:val="nil"/>
            </w:tcBorders>
            <w:shd w:val="clear" w:color="auto" w:fill="BFBFBF" w:themeFill="background1" w:themeFillShade="BF"/>
            <w:noWrap/>
            <w:hideMark/>
          </w:tcPr>
          <w:p w14:paraId="3D0D58E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4.578,9</w:t>
            </w:r>
          </w:p>
        </w:tc>
        <w:tc>
          <w:tcPr>
            <w:tcW w:w="356" w:type="pct"/>
            <w:tcBorders>
              <w:top w:val="nil"/>
            </w:tcBorders>
            <w:shd w:val="clear" w:color="auto" w:fill="BFBFBF" w:themeFill="background1" w:themeFillShade="BF"/>
            <w:noWrap/>
            <w:hideMark/>
          </w:tcPr>
          <w:p w14:paraId="441936E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2.181,8</w:t>
            </w:r>
          </w:p>
        </w:tc>
        <w:tc>
          <w:tcPr>
            <w:tcW w:w="360" w:type="pct"/>
            <w:tcBorders>
              <w:top w:val="nil"/>
            </w:tcBorders>
            <w:shd w:val="clear" w:color="auto" w:fill="BFBFBF" w:themeFill="background1" w:themeFillShade="BF"/>
            <w:noWrap/>
            <w:hideMark/>
          </w:tcPr>
          <w:p w14:paraId="165C9F6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525,4</w:t>
            </w:r>
          </w:p>
        </w:tc>
        <w:tc>
          <w:tcPr>
            <w:tcW w:w="348" w:type="pct"/>
            <w:tcBorders>
              <w:top w:val="nil"/>
            </w:tcBorders>
            <w:shd w:val="clear" w:color="auto" w:fill="BFBFBF" w:themeFill="background1" w:themeFillShade="BF"/>
            <w:noWrap/>
            <w:hideMark/>
          </w:tcPr>
          <w:p w14:paraId="7A5BF79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478,9</w:t>
            </w:r>
          </w:p>
        </w:tc>
        <w:tc>
          <w:tcPr>
            <w:tcW w:w="372" w:type="pct"/>
            <w:tcBorders>
              <w:top w:val="nil"/>
            </w:tcBorders>
            <w:shd w:val="clear" w:color="auto" w:fill="BFBFBF" w:themeFill="background1" w:themeFillShade="BF"/>
            <w:noWrap/>
            <w:hideMark/>
          </w:tcPr>
          <w:p w14:paraId="3535B55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46,5</w:t>
            </w:r>
          </w:p>
        </w:tc>
        <w:tc>
          <w:tcPr>
            <w:tcW w:w="353" w:type="pct"/>
            <w:tcBorders>
              <w:top w:val="nil"/>
            </w:tcBorders>
            <w:shd w:val="clear" w:color="auto" w:fill="BFBFBF" w:themeFill="background1" w:themeFillShade="BF"/>
            <w:noWrap/>
            <w:hideMark/>
          </w:tcPr>
          <w:p w14:paraId="687ABD0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123,7</w:t>
            </w:r>
          </w:p>
        </w:tc>
        <w:tc>
          <w:tcPr>
            <w:tcW w:w="372" w:type="pct"/>
            <w:tcBorders>
              <w:top w:val="nil"/>
            </w:tcBorders>
            <w:shd w:val="clear" w:color="auto" w:fill="BFBFBF" w:themeFill="background1" w:themeFillShade="BF"/>
            <w:noWrap/>
            <w:hideMark/>
          </w:tcPr>
          <w:p w14:paraId="47B250A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1.748,0</w:t>
            </w:r>
          </w:p>
        </w:tc>
        <w:tc>
          <w:tcPr>
            <w:tcW w:w="372" w:type="pct"/>
            <w:tcBorders>
              <w:top w:val="nil"/>
            </w:tcBorders>
            <w:shd w:val="clear" w:color="auto" w:fill="BFBFBF" w:themeFill="background1" w:themeFillShade="BF"/>
            <w:noWrap/>
            <w:hideMark/>
          </w:tcPr>
          <w:p w14:paraId="1ECD808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1.100,6</w:t>
            </w:r>
          </w:p>
        </w:tc>
        <w:tc>
          <w:tcPr>
            <w:tcW w:w="372" w:type="pct"/>
            <w:tcBorders>
              <w:top w:val="nil"/>
            </w:tcBorders>
            <w:shd w:val="clear" w:color="auto" w:fill="BFBFBF" w:themeFill="background1" w:themeFillShade="BF"/>
            <w:noWrap/>
            <w:hideMark/>
          </w:tcPr>
          <w:p w14:paraId="4CC8445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613,2</w:t>
            </w:r>
          </w:p>
        </w:tc>
        <w:tc>
          <w:tcPr>
            <w:tcW w:w="372" w:type="pct"/>
            <w:tcBorders>
              <w:top w:val="nil"/>
            </w:tcBorders>
            <w:shd w:val="clear" w:color="auto" w:fill="BFBFBF" w:themeFill="background1" w:themeFillShade="BF"/>
            <w:noWrap/>
            <w:hideMark/>
          </w:tcPr>
          <w:p w14:paraId="39F25ECD"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25,0</w:t>
            </w:r>
          </w:p>
        </w:tc>
        <w:tc>
          <w:tcPr>
            <w:tcW w:w="372" w:type="pct"/>
            <w:tcBorders>
              <w:top w:val="nil"/>
            </w:tcBorders>
            <w:shd w:val="clear" w:color="auto" w:fill="BFBFBF" w:themeFill="background1" w:themeFillShade="BF"/>
            <w:noWrap/>
            <w:hideMark/>
          </w:tcPr>
          <w:p w14:paraId="222BA3DC"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9,1</w:t>
            </w:r>
          </w:p>
        </w:tc>
      </w:tr>
      <w:tr w:rsidR="00DD3DF0" w:rsidRPr="00671E8F" w14:paraId="45F654E7"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BD46788"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Текући расходи</w:t>
            </w:r>
          </w:p>
        </w:tc>
        <w:tc>
          <w:tcPr>
            <w:tcW w:w="356" w:type="pct"/>
            <w:tcBorders>
              <w:top w:val="nil"/>
            </w:tcBorders>
            <w:shd w:val="clear" w:color="auto" w:fill="FFFFFF" w:themeFill="background1"/>
            <w:noWrap/>
            <w:hideMark/>
          </w:tcPr>
          <w:p w14:paraId="4E94CDC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3.771,2</w:t>
            </w:r>
          </w:p>
        </w:tc>
        <w:tc>
          <w:tcPr>
            <w:tcW w:w="356" w:type="pct"/>
            <w:tcBorders>
              <w:top w:val="nil"/>
            </w:tcBorders>
            <w:shd w:val="clear" w:color="auto" w:fill="FFFFFF" w:themeFill="background1"/>
            <w:noWrap/>
            <w:hideMark/>
          </w:tcPr>
          <w:p w14:paraId="3DA84C5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1.524,7</w:t>
            </w:r>
          </w:p>
        </w:tc>
        <w:tc>
          <w:tcPr>
            <w:tcW w:w="360" w:type="pct"/>
            <w:tcBorders>
              <w:top w:val="nil"/>
            </w:tcBorders>
            <w:shd w:val="clear" w:color="auto" w:fill="FFFFFF" w:themeFill="background1"/>
            <w:noWrap/>
            <w:hideMark/>
          </w:tcPr>
          <w:p w14:paraId="7C85DD7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415,5</w:t>
            </w:r>
          </w:p>
        </w:tc>
        <w:tc>
          <w:tcPr>
            <w:tcW w:w="348" w:type="pct"/>
            <w:tcBorders>
              <w:top w:val="nil"/>
            </w:tcBorders>
            <w:shd w:val="clear" w:color="auto" w:fill="FFFFFF" w:themeFill="background1"/>
            <w:noWrap/>
            <w:hideMark/>
          </w:tcPr>
          <w:p w14:paraId="368E87C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374,8</w:t>
            </w:r>
          </w:p>
        </w:tc>
        <w:tc>
          <w:tcPr>
            <w:tcW w:w="372" w:type="pct"/>
            <w:tcBorders>
              <w:top w:val="nil"/>
            </w:tcBorders>
            <w:shd w:val="clear" w:color="auto" w:fill="FFFFFF" w:themeFill="background1"/>
            <w:noWrap/>
            <w:hideMark/>
          </w:tcPr>
          <w:p w14:paraId="14FBE43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40,7</w:t>
            </w:r>
          </w:p>
        </w:tc>
        <w:tc>
          <w:tcPr>
            <w:tcW w:w="353" w:type="pct"/>
            <w:tcBorders>
              <w:top w:val="nil"/>
            </w:tcBorders>
            <w:shd w:val="clear" w:color="auto" w:fill="FFFFFF" w:themeFill="background1"/>
            <w:noWrap/>
            <w:hideMark/>
          </w:tcPr>
          <w:p w14:paraId="1E6FD72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103,8</w:t>
            </w:r>
          </w:p>
        </w:tc>
        <w:tc>
          <w:tcPr>
            <w:tcW w:w="372" w:type="pct"/>
            <w:tcBorders>
              <w:top w:val="nil"/>
            </w:tcBorders>
            <w:shd w:val="clear" w:color="auto" w:fill="FFFFFF" w:themeFill="background1"/>
            <w:noWrap/>
            <w:hideMark/>
          </w:tcPr>
          <w:p w14:paraId="439E72C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1.727,4</w:t>
            </w:r>
          </w:p>
        </w:tc>
        <w:tc>
          <w:tcPr>
            <w:tcW w:w="372" w:type="pct"/>
            <w:tcBorders>
              <w:top w:val="nil"/>
            </w:tcBorders>
            <w:shd w:val="clear" w:color="auto" w:fill="FFFFFF" w:themeFill="background1"/>
            <w:noWrap/>
            <w:hideMark/>
          </w:tcPr>
          <w:p w14:paraId="30A4F95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1.099,1</w:t>
            </w:r>
          </w:p>
        </w:tc>
        <w:tc>
          <w:tcPr>
            <w:tcW w:w="372" w:type="pct"/>
            <w:tcBorders>
              <w:top w:val="nil"/>
            </w:tcBorders>
            <w:shd w:val="clear" w:color="auto" w:fill="FFFFFF" w:themeFill="background1"/>
            <w:noWrap/>
            <w:hideMark/>
          </w:tcPr>
          <w:p w14:paraId="43FDF39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594,6</w:t>
            </w:r>
          </w:p>
        </w:tc>
        <w:tc>
          <w:tcPr>
            <w:tcW w:w="372" w:type="pct"/>
            <w:tcBorders>
              <w:top w:val="nil"/>
            </w:tcBorders>
            <w:shd w:val="clear" w:color="auto" w:fill="FFFFFF" w:themeFill="background1"/>
            <w:noWrap/>
            <w:hideMark/>
          </w:tcPr>
          <w:p w14:paraId="0076CD2A"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24,6</w:t>
            </w:r>
          </w:p>
        </w:tc>
        <w:tc>
          <w:tcPr>
            <w:tcW w:w="372" w:type="pct"/>
            <w:tcBorders>
              <w:top w:val="nil"/>
            </w:tcBorders>
            <w:shd w:val="clear" w:color="auto" w:fill="FFFFFF" w:themeFill="background1"/>
            <w:noWrap/>
            <w:hideMark/>
          </w:tcPr>
          <w:p w14:paraId="68A9678C"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9,0</w:t>
            </w:r>
          </w:p>
        </w:tc>
      </w:tr>
      <w:tr w:rsidR="00DD3DF0" w:rsidRPr="00671E8F" w14:paraId="7D065D25"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6240E9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Расходи за запослене</w:t>
            </w:r>
          </w:p>
        </w:tc>
        <w:tc>
          <w:tcPr>
            <w:tcW w:w="356" w:type="pct"/>
            <w:tcBorders>
              <w:top w:val="nil"/>
            </w:tcBorders>
            <w:shd w:val="clear" w:color="auto" w:fill="FFFFFF" w:themeFill="background1"/>
            <w:noWrap/>
            <w:hideMark/>
          </w:tcPr>
          <w:p w14:paraId="004F92B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884,5</w:t>
            </w:r>
          </w:p>
        </w:tc>
        <w:tc>
          <w:tcPr>
            <w:tcW w:w="356" w:type="pct"/>
            <w:tcBorders>
              <w:top w:val="nil"/>
            </w:tcBorders>
            <w:shd w:val="clear" w:color="auto" w:fill="FFFFFF" w:themeFill="background1"/>
            <w:noWrap/>
            <w:hideMark/>
          </w:tcPr>
          <w:p w14:paraId="07BB44C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508,5</w:t>
            </w:r>
          </w:p>
        </w:tc>
        <w:tc>
          <w:tcPr>
            <w:tcW w:w="360" w:type="pct"/>
            <w:tcBorders>
              <w:top w:val="nil"/>
            </w:tcBorders>
            <w:shd w:val="clear" w:color="auto" w:fill="FFFFFF" w:themeFill="background1"/>
            <w:noWrap/>
            <w:hideMark/>
          </w:tcPr>
          <w:p w14:paraId="3649594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100,4</w:t>
            </w:r>
          </w:p>
        </w:tc>
        <w:tc>
          <w:tcPr>
            <w:tcW w:w="348" w:type="pct"/>
            <w:tcBorders>
              <w:top w:val="nil"/>
            </w:tcBorders>
            <w:shd w:val="clear" w:color="auto" w:fill="FFFFFF" w:themeFill="background1"/>
            <w:noWrap/>
            <w:hideMark/>
          </w:tcPr>
          <w:p w14:paraId="36F31E1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95,5</w:t>
            </w:r>
          </w:p>
        </w:tc>
        <w:tc>
          <w:tcPr>
            <w:tcW w:w="372" w:type="pct"/>
            <w:tcBorders>
              <w:top w:val="nil"/>
            </w:tcBorders>
            <w:shd w:val="clear" w:color="auto" w:fill="FFFFFF" w:themeFill="background1"/>
            <w:noWrap/>
            <w:hideMark/>
          </w:tcPr>
          <w:p w14:paraId="27D5A44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4,9</w:t>
            </w:r>
          </w:p>
        </w:tc>
        <w:tc>
          <w:tcPr>
            <w:tcW w:w="353" w:type="pct"/>
            <w:tcBorders>
              <w:top w:val="nil"/>
            </w:tcBorders>
            <w:shd w:val="clear" w:color="auto" w:fill="FFFFFF" w:themeFill="background1"/>
            <w:noWrap/>
            <w:hideMark/>
          </w:tcPr>
          <w:p w14:paraId="4A0C2EC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19,7</w:t>
            </w:r>
          </w:p>
        </w:tc>
        <w:tc>
          <w:tcPr>
            <w:tcW w:w="372" w:type="pct"/>
            <w:tcBorders>
              <w:top w:val="nil"/>
            </w:tcBorders>
            <w:shd w:val="clear" w:color="auto" w:fill="FFFFFF" w:themeFill="background1"/>
            <w:noWrap/>
            <w:hideMark/>
          </w:tcPr>
          <w:p w14:paraId="506B733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255,8</w:t>
            </w:r>
          </w:p>
        </w:tc>
        <w:tc>
          <w:tcPr>
            <w:tcW w:w="372" w:type="pct"/>
            <w:tcBorders>
              <w:top w:val="nil"/>
            </w:tcBorders>
            <w:shd w:val="clear" w:color="auto" w:fill="FFFFFF" w:themeFill="background1"/>
            <w:noWrap/>
            <w:hideMark/>
          </w:tcPr>
          <w:p w14:paraId="452FE68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w:t>
            </w:r>
          </w:p>
        </w:tc>
        <w:tc>
          <w:tcPr>
            <w:tcW w:w="372" w:type="pct"/>
            <w:tcBorders>
              <w:top w:val="nil"/>
            </w:tcBorders>
            <w:shd w:val="clear" w:color="auto" w:fill="FFFFFF" w:themeFill="background1"/>
            <w:noWrap/>
            <w:hideMark/>
          </w:tcPr>
          <w:p w14:paraId="59AC02A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248,5</w:t>
            </w:r>
          </w:p>
        </w:tc>
        <w:tc>
          <w:tcPr>
            <w:tcW w:w="372" w:type="pct"/>
            <w:tcBorders>
              <w:top w:val="nil"/>
            </w:tcBorders>
            <w:shd w:val="clear" w:color="auto" w:fill="FFFFFF" w:themeFill="background1"/>
            <w:noWrap/>
            <w:hideMark/>
          </w:tcPr>
          <w:p w14:paraId="36EE247F"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w:t>
            </w:r>
          </w:p>
        </w:tc>
        <w:tc>
          <w:tcPr>
            <w:tcW w:w="372" w:type="pct"/>
            <w:tcBorders>
              <w:top w:val="nil"/>
            </w:tcBorders>
            <w:shd w:val="clear" w:color="auto" w:fill="FFFFFF" w:themeFill="background1"/>
            <w:noWrap/>
          </w:tcPr>
          <w:p w14:paraId="68FAEA96"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7FD472D3"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83060C7"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Доприноси на терет послодавца</w:t>
            </w:r>
          </w:p>
        </w:tc>
        <w:tc>
          <w:tcPr>
            <w:tcW w:w="356" w:type="pct"/>
            <w:tcBorders>
              <w:top w:val="nil"/>
            </w:tcBorders>
            <w:shd w:val="clear" w:color="auto" w:fill="FFFFFF" w:themeFill="background1"/>
            <w:noWrap/>
            <w:hideMark/>
          </w:tcPr>
          <w:p w14:paraId="72FDBAB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132,7</w:t>
            </w:r>
          </w:p>
        </w:tc>
        <w:tc>
          <w:tcPr>
            <w:tcW w:w="356" w:type="pct"/>
            <w:tcBorders>
              <w:top w:val="nil"/>
            </w:tcBorders>
            <w:shd w:val="clear" w:color="auto" w:fill="FFFFFF" w:themeFill="background1"/>
            <w:noWrap/>
            <w:hideMark/>
          </w:tcPr>
          <w:p w14:paraId="0AF1B5A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80,6</w:t>
            </w:r>
          </w:p>
        </w:tc>
        <w:tc>
          <w:tcPr>
            <w:tcW w:w="360" w:type="pct"/>
            <w:tcBorders>
              <w:top w:val="nil"/>
            </w:tcBorders>
            <w:shd w:val="clear" w:color="auto" w:fill="FFFFFF" w:themeFill="background1"/>
            <w:noWrap/>
            <w:hideMark/>
          </w:tcPr>
          <w:p w14:paraId="75D2D58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12,8</w:t>
            </w:r>
          </w:p>
        </w:tc>
        <w:tc>
          <w:tcPr>
            <w:tcW w:w="348" w:type="pct"/>
            <w:tcBorders>
              <w:top w:val="nil"/>
            </w:tcBorders>
            <w:shd w:val="clear" w:color="auto" w:fill="FFFFFF" w:themeFill="background1"/>
            <w:noWrap/>
            <w:hideMark/>
          </w:tcPr>
          <w:p w14:paraId="3455B02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12,2</w:t>
            </w:r>
          </w:p>
        </w:tc>
        <w:tc>
          <w:tcPr>
            <w:tcW w:w="372" w:type="pct"/>
            <w:tcBorders>
              <w:top w:val="nil"/>
            </w:tcBorders>
            <w:shd w:val="clear" w:color="auto" w:fill="FFFFFF" w:themeFill="background1"/>
            <w:noWrap/>
            <w:hideMark/>
          </w:tcPr>
          <w:p w14:paraId="5653661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0,7</w:t>
            </w:r>
          </w:p>
        </w:tc>
        <w:tc>
          <w:tcPr>
            <w:tcW w:w="353" w:type="pct"/>
            <w:tcBorders>
              <w:top w:val="nil"/>
            </w:tcBorders>
            <w:shd w:val="clear" w:color="auto" w:fill="FFFFFF" w:themeFill="background1"/>
            <w:noWrap/>
            <w:hideMark/>
          </w:tcPr>
          <w:p w14:paraId="587F5FD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298D51E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35,8</w:t>
            </w:r>
          </w:p>
        </w:tc>
        <w:tc>
          <w:tcPr>
            <w:tcW w:w="372" w:type="pct"/>
            <w:tcBorders>
              <w:top w:val="nil"/>
            </w:tcBorders>
            <w:shd w:val="clear" w:color="auto" w:fill="FFFFFF" w:themeFill="background1"/>
            <w:noWrap/>
            <w:hideMark/>
          </w:tcPr>
          <w:p w14:paraId="2D8C536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72" w:type="pct"/>
            <w:tcBorders>
              <w:top w:val="nil"/>
            </w:tcBorders>
            <w:shd w:val="clear" w:color="auto" w:fill="FFFFFF" w:themeFill="background1"/>
            <w:noWrap/>
            <w:hideMark/>
          </w:tcPr>
          <w:p w14:paraId="7B69592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34,5</w:t>
            </w:r>
          </w:p>
        </w:tc>
        <w:tc>
          <w:tcPr>
            <w:tcW w:w="372" w:type="pct"/>
            <w:tcBorders>
              <w:top w:val="nil"/>
            </w:tcBorders>
            <w:shd w:val="clear" w:color="auto" w:fill="FFFFFF" w:themeFill="background1"/>
            <w:noWrap/>
            <w:hideMark/>
          </w:tcPr>
          <w:p w14:paraId="138D53B5"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0,5</w:t>
            </w:r>
          </w:p>
        </w:tc>
        <w:tc>
          <w:tcPr>
            <w:tcW w:w="372" w:type="pct"/>
            <w:tcBorders>
              <w:top w:val="nil"/>
            </w:tcBorders>
            <w:shd w:val="clear" w:color="auto" w:fill="FFFFFF" w:themeFill="background1"/>
            <w:noWrap/>
          </w:tcPr>
          <w:p w14:paraId="2FD0FF07"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2C2EE8C3"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4460D34"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Куповина роба и услуга</w:t>
            </w:r>
          </w:p>
        </w:tc>
        <w:tc>
          <w:tcPr>
            <w:tcW w:w="356" w:type="pct"/>
            <w:tcBorders>
              <w:top w:val="nil"/>
            </w:tcBorders>
            <w:shd w:val="clear" w:color="auto" w:fill="FFFFFF" w:themeFill="background1"/>
            <w:noWrap/>
            <w:hideMark/>
          </w:tcPr>
          <w:p w14:paraId="5E7543C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820,4</w:t>
            </w:r>
          </w:p>
        </w:tc>
        <w:tc>
          <w:tcPr>
            <w:tcW w:w="356" w:type="pct"/>
            <w:tcBorders>
              <w:top w:val="nil"/>
            </w:tcBorders>
            <w:shd w:val="clear" w:color="auto" w:fill="FFFFFF" w:themeFill="background1"/>
            <w:noWrap/>
            <w:hideMark/>
          </w:tcPr>
          <w:p w14:paraId="53B70D5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255,3</w:t>
            </w:r>
          </w:p>
        </w:tc>
        <w:tc>
          <w:tcPr>
            <w:tcW w:w="360" w:type="pct"/>
            <w:tcBorders>
              <w:top w:val="nil"/>
            </w:tcBorders>
            <w:shd w:val="clear" w:color="auto" w:fill="FFFFFF" w:themeFill="background1"/>
            <w:noWrap/>
            <w:hideMark/>
          </w:tcPr>
          <w:p w14:paraId="3088158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198,2</w:t>
            </w:r>
          </w:p>
        </w:tc>
        <w:tc>
          <w:tcPr>
            <w:tcW w:w="348" w:type="pct"/>
            <w:tcBorders>
              <w:top w:val="nil"/>
            </w:tcBorders>
            <w:shd w:val="clear" w:color="auto" w:fill="FFFFFF" w:themeFill="background1"/>
            <w:noWrap/>
            <w:hideMark/>
          </w:tcPr>
          <w:p w14:paraId="6FAEC21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194,5</w:t>
            </w:r>
          </w:p>
        </w:tc>
        <w:tc>
          <w:tcPr>
            <w:tcW w:w="372" w:type="pct"/>
            <w:tcBorders>
              <w:top w:val="nil"/>
            </w:tcBorders>
            <w:shd w:val="clear" w:color="auto" w:fill="FFFFFF" w:themeFill="background1"/>
            <w:noWrap/>
            <w:hideMark/>
          </w:tcPr>
          <w:p w14:paraId="1E58FBB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3,7</w:t>
            </w:r>
          </w:p>
        </w:tc>
        <w:tc>
          <w:tcPr>
            <w:tcW w:w="353" w:type="pct"/>
            <w:tcBorders>
              <w:top w:val="nil"/>
            </w:tcBorders>
            <w:shd w:val="clear" w:color="auto" w:fill="FFFFFF" w:themeFill="background1"/>
            <w:noWrap/>
            <w:hideMark/>
          </w:tcPr>
          <w:p w14:paraId="56BCA19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75,4</w:t>
            </w:r>
          </w:p>
        </w:tc>
        <w:tc>
          <w:tcPr>
            <w:tcW w:w="372" w:type="pct"/>
            <w:tcBorders>
              <w:top w:val="nil"/>
            </w:tcBorders>
            <w:shd w:val="clear" w:color="auto" w:fill="FFFFFF" w:themeFill="background1"/>
            <w:noWrap/>
            <w:hideMark/>
          </w:tcPr>
          <w:p w14:paraId="1D8F49F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291,5</w:t>
            </w:r>
          </w:p>
        </w:tc>
        <w:tc>
          <w:tcPr>
            <w:tcW w:w="372" w:type="pct"/>
            <w:tcBorders>
              <w:top w:val="nil"/>
            </w:tcBorders>
            <w:shd w:val="clear" w:color="auto" w:fill="FFFFFF" w:themeFill="background1"/>
            <w:noWrap/>
            <w:hideMark/>
          </w:tcPr>
          <w:p w14:paraId="1D14453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5,7</w:t>
            </w:r>
          </w:p>
        </w:tc>
        <w:tc>
          <w:tcPr>
            <w:tcW w:w="372" w:type="pct"/>
            <w:tcBorders>
              <w:top w:val="nil"/>
            </w:tcBorders>
            <w:shd w:val="clear" w:color="auto" w:fill="FFFFFF" w:themeFill="background1"/>
            <w:noWrap/>
            <w:hideMark/>
          </w:tcPr>
          <w:p w14:paraId="2DB1392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277,2</w:t>
            </w:r>
          </w:p>
        </w:tc>
        <w:tc>
          <w:tcPr>
            <w:tcW w:w="372" w:type="pct"/>
            <w:tcBorders>
              <w:top w:val="nil"/>
            </w:tcBorders>
            <w:shd w:val="clear" w:color="auto" w:fill="FFFFFF" w:themeFill="background1"/>
            <w:noWrap/>
            <w:hideMark/>
          </w:tcPr>
          <w:p w14:paraId="02EB9BDE"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w:t>
            </w:r>
          </w:p>
        </w:tc>
        <w:tc>
          <w:tcPr>
            <w:tcW w:w="372" w:type="pct"/>
            <w:tcBorders>
              <w:top w:val="nil"/>
            </w:tcBorders>
            <w:shd w:val="clear" w:color="auto" w:fill="FFFFFF" w:themeFill="background1"/>
            <w:noWrap/>
          </w:tcPr>
          <w:p w14:paraId="23C73452"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6,3</w:t>
            </w:r>
          </w:p>
        </w:tc>
      </w:tr>
      <w:tr w:rsidR="00DD3DF0" w:rsidRPr="00671E8F" w14:paraId="04D83A7C"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EA4497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Отплата камата</w:t>
            </w:r>
          </w:p>
        </w:tc>
        <w:tc>
          <w:tcPr>
            <w:tcW w:w="356" w:type="pct"/>
            <w:tcBorders>
              <w:top w:val="nil"/>
            </w:tcBorders>
            <w:shd w:val="clear" w:color="auto" w:fill="FFFFFF" w:themeFill="background1"/>
            <w:noWrap/>
            <w:hideMark/>
          </w:tcPr>
          <w:p w14:paraId="1FA274A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222,7</w:t>
            </w:r>
          </w:p>
        </w:tc>
        <w:tc>
          <w:tcPr>
            <w:tcW w:w="356" w:type="pct"/>
            <w:tcBorders>
              <w:top w:val="nil"/>
            </w:tcBorders>
            <w:shd w:val="clear" w:color="auto" w:fill="FFFFFF" w:themeFill="background1"/>
            <w:noWrap/>
            <w:hideMark/>
          </w:tcPr>
          <w:p w14:paraId="366112A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220,3</w:t>
            </w:r>
          </w:p>
        </w:tc>
        <w:tc>
          <w:tcPr>
            <w:tcW w:w="360" w:type="pct"/>
            <w:tcBorders>
              <w:top w:val="nil"/>
            </w:tcBorders>
            <w:shd w:val="clear" w:color="auto" w:fill="FFFFFF" w:themeFill="background1"/>
            <w:noWrap/>
            <w:hideMark/>
          </w:tcPr>
          <w:p w14:paraId="4514E25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2,3</w:t>
            </w:r>
          </w:p>
        </w:tc>
        <w:tc>
          <w:tcPr>
            <w:tcW w:w="348" w:type="pct"/>
            <w:tcBorders>
              <w:top w:val="nil"/>
            </w:tcBorders>
            <w:shd w:val="clear" w:color="auto" w:fill="FFFFFF" w:themeFill="background1"/>
            <w:noWrap/>
            <w:hideMark/>
          </w:tcPr>
          <w:p w14:paraId="4D3CD9E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w:t>
            </w:r>
          </w:p>
        </w:tc>
        <w:tc>
          <w:tcPr>
            <w:tcW w:w="372" w:type="pct"/>
            <w:tcBorders>
              <w:top w:val="nil"/>
            </w:tcBorders>
            <w:shd w:val="clear" w:color="auto" w:fill="FFFFFF" w:themeFill="background1"/>
            <w:noWrap/>
            <w:hideMark/>
          </w:tcPr>
          <w:p w14:paraId="327F939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c>
          <w:tcPr>
            <w:tcW w:w="353" w:type="pct"/>
            <w:tcBorders>
              <w:top w:val="nil"/>
            </w:tcBorders>
            <w:shd w:val="clear" w:color="auto" w:fill="FFFFFF" w:themeFill="background1"/>
            <w:noWrap/>
            <w:hideMark/>
          </w:tcPr>
          <w:p w14:paraId="634E9FB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0,1</w:t>
            </w:r>
          </w:p>
        </w:tc>
        <w:tc>
          <w:tcPr>
            <w:tcW w:w="372" w:type="pct"/>
            <w:tcBorders>
              <w:top w:val="nil"/>
            </w:tcBorders>
            <w:shd w:val="clear" w:color="auto" w:fill="FFFFFF" w:themeFill="background1"/>
            <w:noWrap/>
          </w:tcPr>
          <w:p w14:paraId="5A51F35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14F2265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8B6364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14DAECA"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C376987"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1F2C9500"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64863BC"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Субвенције</w:t>
            </w:r>
          </w:p>
        </w:tc>
        <w:tc>
          <w:tcPr>
            <w:tcW w:w="356" w:type="pct"/>
            <w:tcBorders>
              <w:top w:val="nil"/>
            </w:tcBorders>
            <w:shd w:val="clear" w:color="auto" w:fill="FFFFFF" w:themeFill="background1"/>
            <w:noWrap/>
            <w:hideMark/>
          </w:tcPr>
          <w:p w14:paraId="5227287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246,5</w:t>
            </w:r>
          </w:p>
        </w:tc>
        <w:tc>
          <w:tcPr>
            <w:tcW w:w="356" w:type="pct"/>
            <w:tcBorders>
              <w:top w:val="nil"/>
            </w:tcBorders>
            <w:shd w:val="clear" w:color="auto" w:fill="FFFFFF" w:themeFill="background1"/>
            <w:noWrap/>
            <w:hideMark/>
          </w:tcPr>
          <w:p w14:paraId="43476EB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197,6</w:t>
            </w:r>
          </w:p>
        </w:tc>
        <w:tc>
          <w:tcPr>
            <w:tcW w:w="360" w:type="pct"/>
            <w:tcBorders>
              <w:top w:val="nil"/>
            </w:tcBorders>
            <w:shd w:val="clear" w:color="auto" w:fill="FFFFFF" w:themeFill="background1"/>
            <w:noWrap/>
            <w:hideMark/>
          </w:tcPr>
          <w:p w14:paraId="266F190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48,9</w:t>
            </w:r>
          </w:p>
        </w:tc>
        <w:tc>
          <w:tcPr>
            <w:tcW w:w="348" w:type="pct"/>
            <w:tcBorders>
              <w:top w:val="nil"/>
            </w:tcBorders>
            <w:shd w:val="clear" w:color="auto" w:fill="FFFFFF" w:themeFill="background1"/>
            <w:noWrap/>
            <w:hideMark/>
          </w:tcPr>
          <w:p w14:paraId="0F20046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33,7</w:t>
            </w:r>
          </w:p>
        </w:tc>
        <w:tc>
          <w:tcPr>
            <w:tcW w:w="372" w:type="pct"/>
            <w:tcBorders>
              <w:top w:val="nil"/>
            </w:tcBorders>
            <w:shd w:val="clear" w:color="auto" w:fill="FFFFFF" w:themeFill="background1"/>
            <w:noWrap/>
            <w:hideMark/>
          </w:tcPr>
          <w:p w14:paraId="5A54A0C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15,2</w:t>
            </w:r>
          </w:p>
        </w:tc>
        <w:tc>
          <w:tcPr>
            <w:tcW w:w="353" w:type="pct"/>
            <w:tcBorders>
              <w:top w:val="nil"/>
            </w:tcBorders>
            <w:shd w:val="clear" w:color="auto" w:fill="FFFFFF" w:themeFill="background1"/>
            <w:noWrap/>
          </w:tcPr>
          <w:p w14:paraId="7BA7E9B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3BD4CD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039EBF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091F039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05D9273A"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6C2831B"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4CFA19D2"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C5CF3F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Социјална помоћ и трансфери</w:t>
            </w:r>
          </w:p>
        </w:tc>
        <w:tc>
          <w:tcPr>
            <w:tcW w:w="356" w:type="pct"/>
            <w:tcBorders>
              <w:top w:val="nil"/>
            </w:tcBorders>
            <w:shd w:val="clear" w:color="auto" w:fill="FFFFFF" w:themeFill="background1"/>
            <w:noWrap/>
            <w:hideMark/>
          </w:tcPr>
          <w:p w14:paraId="650767A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1.344,1</w:t>
            </w:r>
          </w:p>
        </w:tc>
        <w:tc>
          <w:tcPr>
            <w:tcW w:w="356" w:type="pct"/>
            <w:tcBorders>
              <w:top w:val="nil"/>
            </w:tcBorders>
            <w:shd w:val="clear" w:color="auto" w:fill="FFFFFF" w:themeFill="background1"/>
            <w:noWrap/>
            <w:hideMark/>
          </w:tcPr>
          <w:p w14:paraId="68212CB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197,3</w:t>
            </w:r>
          </w:p>
        </w:tc>
        <w:tc>
          <w:tcPr>
            <w:tcW w:w="360" w:type="pct"/>
            <w:tcBorders>
              <w:top w:val="nil"/>
            </w:tcBorders>
            <w:shd w:val="clear" w:color="auto" w:fill="FFFFFF" w:themeFill="background1"/>
            <w:noWrap/>
            <w:hideMark/>
          </w:tcPr>
          <w:p w14:paraId="5BBE472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6,6</w:t>
            </w:r>
          </w:p>
        </w:tc>
        <w:tc>
          <w:tcPr>
            <w:tcW w:w="348" w:type="pct"/>
            <w:tcBorders>
              <w:top w:val="nil"/>
            </w:tcBorders>
            <w:shd w:val="clear" w:color="auto" w:fill="FFFFFF" w:themeFill="background1"/>
            <w:noWrap/>
            <w:hideMark/>
          </w:tcPr>
          <w:p w14:paraId="2DBC334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6,3</w:t>
            </w:r>
          </w:p>
        </w:tc>
        <w:tc>
          <w:tcPr>
            <w:tcW w:w="372" w:type="pct"/>
            <w:tcBorders>
              <w:top w:val="nil"/>
            </w:tcBorders>
            <w:shd w:val="clear" w:color="auto" w:fill="FFFFFF" w:themeFill="background1"/>
            <w:noWrap/>
            <w:hideMark/>
          </w:tcPr>
          <w:p w14:paraId="280806A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c>
          <w:tcPr>
            <w:tcW w:w="353" w:type="pct"/>
            <w:tcBorders>
              <w:top w:val="nil"/>
            </w:tcBorders>
            <w:shd w:val="clear" w:color="auto" w:fill="FFFFFF" w:themeFill="background1"/>
            <w:noWrap/>
          </w:tcPr>
          <w:p w14:paraId="56F4290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FD6F51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1.140,3</w:t>
            </w:r>
          </w:p>
        </w:tc>
        <w:tc>
          <w:tcPr>
            <w:tcW w:w="372" w:type="pct"/>
            <w:tcBorders>
              <w:top w:val="nil"/>
            </w:tcBorders>
            <w:shd w:val="clear" w:color="auto" w:fill="FFFFFF" w:themeFill="background1"/>
            <w:noWrap/>
          </w:tcPr>
          <w:p w14:paraId="2486583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1.086,3</w:t>
            </w:r>
          </w:p>
        </w:tc>
        <w:tc>
          <w:tcPr>
            <w:tcW w:w="372" w:type="pct"/>
            <w:tcBorders>
              <w:top w:val="nil"/>
            </w:tcBorders>
            <w:shd w:val="clear" w:color="auto" w:fill="FFFFFF" w:themeFill="background1"/>
            <w:noWrap/>
          </w:tcPr>
          <w:p w14:paraId="50F3FBF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32,4</w:t>
            </w:r>
          </w:p>
        </w:tc>
        <w:tc>
          <w:tcPr>
            <w:tcW w:w="372" w:type="pct"/>
            <w:tcBorders>
              <w:top w:val="nil"/>
            </w:tcBorders>
            <w:shd w:val="clear" w:color="auto" w:fill="FFFFFF" w:themeFill="background1"/>
            <w:noWrap/>
          </w:tcPr>
          <w:p w14:paraId="3B172554"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19,1</w:t>
            </w:r>
          </w:p>
        </w:tc>
        <w:tc>
          <w:tcPr>
            <w:tcW w:w="372" w:type="pct"/>
            <w:tcBorders>
              <w:top w:val="nil"/>
            </w:tcBorders>
            <w:shd w:val="clear" w:color="auto" w:fill="FFFFFF" w:themeFill="background1"/>
            <w:noWrap/>
          </w:tcPr>
          <w:p w14:paraId="01FFCA22"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2,5</w:t>
            </w:r>
          </w:p>
        </w:tc>
      </w:tr>
      <w:tr w:rsidR="00DD3DF0" w:rsidRPr="00671E8F" w14:paraId="2E8EC8AA"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1BD723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i/>
                <w:iCs/>
                <w:color w:val="002060"/>
                <w:sz w:val="14"/>
                <w:szCs w:val="14"/>
              </w:rPr>
              <w:t xml:space="preserve">             </w:t>
            </w:r>
            <w:r w:rsidRPr="00671E8F">
              <w:rPr>
                <w:rFonts w:cstheme="minorHAnsi"/>
                <w:b w:val="0"/>
                <w:iCs/>
                <w:color w:val="002060"/>
                <w:sz w:val="14"/>
                <w:szCs w:val="14"/>
              </w:rPr>
              <w:t>oд чега пензије</w:t>
            </w:r>
          </w:p>
        </w:tc>
        <w:tc>
          <w:tcPr>
            <w:tcW w:w="356" w:type="pct"/>
            <w:tcBorders>
              <w:top w:val="nil"/>
            </w:tcBorders>
            <w:shd w:val="clear" w:color="auto" w:fill="FFFFFF" w:themeFill="background1"/>
            <w:noWrap/>
            <w:hideMark/>
          </w:tcPr>
          <w:p w14:paraId="4BD3B28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1.042,0</w:t>
            </w:r>
          </w:p>
        </w:tc>
        <w:tc>
          <w:tcPr>
            <w:tcW w:w="356" w:type="pct"/>
            <w:tcBorders>
              <w:top w:val="nil"/>
            </w:tcBorders>
            <w:shd w:val="clear" w:color="auto" w:fill="FFFFFF" w:themeFill="background1"/>
            <w:noWrap/>
          </w:tcPr>
          <w:p w14:paraId="137492E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tcPr>
          <w:p w14:paraId="7A3461A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4694788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8DF9F2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tcPr>
          <w:p w14:paraId="45E8FD5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64C0DE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1.042,0</w:t>
            </w:r>
          </w:p>
        </w:tc>
        <w:tc>
          <w:tcPr>
            <w:tcW w:w="372" w:type="pct"/>
            <w:tcBorders>
              <w:top w:val="nil"/>
            </w:tcBorders>
            <w:shd w:val="clear" w:color="auto" w:fill="FFFFFF" w:themeFill="background1"/>
            <w:noWrap/>
            <w:hideMark/>
          </w:tcPr>
          <w:p w14:paraId="7EBF520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1.042,0</w:t>
            </w:r>
          </w:p>
        </w:tc>
        <w:tc>
          <w:tcPr>
            <w:tcW w:w="372" w:type="pct"/>
            <w:tcBorders>
              <w:top w:val="nil"/>
            </w:tcBorders>
            <w:shd w:val="clear" w:color="auto" w:fill="FFFFFF" w:themeFill="background1"/>
            <w:noWrap/>
          </w:tcPr>
          <w:p w14:paraId="0CBBC0D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19E11B1F"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BDA3E23"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0285578B"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6B4F6A7"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Остали текући расходи</w:t>
            </w:r>
          </w:p>
        </w:tc>
        <w:tc>
          <w:tcPr>
            <w:tcW w:w="356" w:type="pct"/>
            <w:tcBorders>
              <w:top w:val="nil"/>
            </w:tcBorders>
            <w:shd w:val="clear" w:color="auto" w:fill="FFFFFF" w:themeFill="background1"/>
            <w:noWrap/>
            <w:hideMark/>
          </w:tcPr>
          <w:p w14:paraId="576736C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120,3</w:t>
            </w:r>
          </w:p>
        </w:tc>
        <w:tc>
          <w:tcPr>
            <w:tcW w:w="356" w:type="pct"/>
            <w:tcBorders>
              <w:top w:val="nil"/>
            </w:tcBorders>
            <w:shd w:val="clear" w:color="auto" w:fill="FFFFFF" w:themeFill="background1"/>
            <w:noWrap/>
            <w:hideMark/>
          </w:tcPr>
          <w:p w14:paraId="2DADC03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65,2</w:t>
            </w:r>
          </w:p>
        </w:tc>
        <w:tc>
          <w:tcPr>
            <w:tcW w:w="360" w:type="pct"/>
            <w:tcBorders>
              <w:top w:val="nil"/>
            </w:tcBorders>
            <w:shd w:val="clear" w:color="auto" w:fill="FFFFFF" w:themeFill="background1"/>
            <w:noWrap/>
            <w:hideMark/>
          </w:tcPr>
          <w:p w14:paraId="7DB4003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46,2</w:t>
            </w:r>
          </w:p>
        </w:tc>
        <w:tc>
          <w:tcPr>
            <w:tcW w:w="348" w:type="pct"/>
            <w:tcBorders>
              <w:top w:val="nil"/>
            </w:tcBorders>
            <w:shd w:val="clear" w:color="auto" w:fill="FFFFFF" w:themeFill="background1"/>
            <w:noWrap/>
            <w:hideMark/>
          </w:tcPr>
          <w:p w14:paraId="7D78BF4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30,7</w:t>
            </w:r>
          </w:p>
        </w:tc>
        <w:tc>
          <w:tcPr>
            <w:tcW w:w="372" w:type="pct"/>
            <w:tcBorders>
              <w:top w:val="nil"/>
            </w:tcBorders>
            <w:shd w:val="clear" w:color="auto" w:fill="FFFFFF" w:themeFill="background1"/>
            <w:noWrap/>
            <w:hideMark/>
          </w:tcPr>
          <w:p w14:paraId="1C4DFDE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15,6</w:t>
            </w:r>
          </w:p>
        </w:tc>
        <w:tc>
          <w:tcPr>
            <w:tcW w:w="353" w:type="pct"/>
            <w:tcBorders>
              <w:top w:val="nil"/>
            </w:tcBorders>
            <w:shd w:val="clear" w:color="auto" w:fill="FFFFFF" w:themeFill="background1"/>
            <w:noWrap/>
            <w:hideMark/>
          </w:tcPr>
          <w:p w14:paraId="77123FE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5,1</w:t>
            </w:r>
          </w:p>
        </w:tc>
        <w:tc>
          <w:tcPr>
            <w:tcW w:w="372" w:type="pct"/>
            <w:tcBorders>
              <w:top w:val="nil"/>
            </w:tcBorders>
            <w:shd w:val="clear" w:color="auto" w:fill="FFFFFF" w:themeFill="background1"/>
            <w:noWrap/>
            <w:hideMark/>
          </w:tcPr>
          <w:p w14:paraId="122BBCC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3,9</w:t>
            </w:r>
          </w:p>
        </w:tc>
        <w:tc>
          <w:tcPr>
            <w:tcW w:w="372" w:type="pct"/>
            <w:tcBorders>
              <w:top w:val="nil"/>
            </w:tcBorders>
            <w:shd w:val="clear" w:color="auto" w:fill="FFFFFF" w:themeFill="background1"/>
            <w:noWrap/>
            <w:hideMark/>
          </w:tcPr>
          <w:p w14:paraId="32F6931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w:t>
            </w:r>
          </w:p>
        </w:tc>
        <w:tc>
          <w:tcPr>
            <w:tcW w:w="372" w:type="pct"/>
            <w:tcBorders>
              <w:top w:val="nil"/>
            </w:tcBorders>
            <w:shd w:val="clear" w:color="auto" w:fill="FFFFFF" w:themeFill="background1"/>
            <w:noWrap/>
          </w:tcPr>
          <w:p w14:paraId="3875769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w:t>
            </w:r>
          </w:p>
        </w:tc>
        <w:tc>
          <w:tcPr>
            <w:tcW w:w="372" w:type="pct"/>
            <w:tcBorders>
              <w:top w:val="nil"/>
            </w:tcBorders>
            <w:shd w:val="clear" w:color="auto" w:fill="FFFFFF" w:themeFill="background1"/>
            <w:noWrap/>
          </w:tcPr>
          <w:p w14:paraId="0D52DF77"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c>
          <w:tcPr>
            <w:tcW w:w="372" w:type="pct"/>
            <w:tcBorders>
              <w:top w:val="nil"/>
            </w:tcBorders>
            <w:shd w:val="clear" w:color="auto" w:fill="FFFFFF" w:themeFill="background1"/>
            <w:noWrap/>
          </w:tcPr>
          <w:p w14:paraId="3F538796"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0,1</w:t>
            </w:r>
          </w:p>
        </w:tc>
      </w:tr>
      <w:tr w:rsidR="00DD3DF0" w:rsidRPr="00671E8F" w14:paraId="715CE69A"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07C1F00"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Капитални расходи</w:t>
            </w:r>
          </w:p>
        </w:tc>
        <w:tc>
          <w:tcPr>
            <w:tcW w:w="356" w:type="pct"/>
            <w:tcBorders>
              <w:top w:val="nil"/>
            </w:tcBorders>
            <w:shd w:val="clear" w:color="auto" w:fill="FFFFFF" w:themeFill="background1"/>
            <w:noWrap/>
            <w:hideMark/>
          </w:tcPr>
          <w:p w14:paraId="44BE22F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762,9</w:t>
            </w:r>
          </w:p>
        </w:tc>
        <w:tc>
          <w:tcPr>
            <w:tcW w:w="356" w:type="pct"/>
            <w:tcBorders>
              <w:top w:val="nil"/>
            </w:tcBorders>
            <w:shd w:val="clear" w:color="auto" w:fill="FFFFFF" w:themeFill="background1"/>
            <w:noWrap/>
            <w:hideMark/>
          </w:tcPr>
          <w:p w14:paraId="4D51022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614,7</w:t>
            </w:r>
          </w:p>
        </w:tc>
        <w:tc>
          <w:tcPr>
            <w:tcW w:w="360" w:type="pct"/>
            <w:tcBorders>
              <w:top w:val="nil"/>
            </w:tcBorders>
            <w:shd w:val="clear" w:color="auto" w:fill="FFFFFF" w:themeFill="background1"/>
            <w:noWrap/>
            <w:hideMark/>
          </w:tcPr>
          <w:p w14:paraId="37CD500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107,7</w:t>
            </w:r>
          </w:p>
        </w:tc>
        <w:tc>
          <w:tcPr>
            <w:tcW w:w="348" w:type="pct"/>
            <w:tcBorders>
              <w:top w:val="nil"/>
            </w:tcBorders>
            <w:shd w:val="clear" w:color="auto" w:fill="FFFFFF" w:themeFill="background1"/>
            <w:noWrap/>
            <w:hideMark/>
          </w:tcPr>
          <w:p w14:paraId="5A8370D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101,9</w:t>
            </w:r>
          </w:p>
        </w:tc>
        <w:tc>
          <w:tcPr>
            <w:tcW w:w="372" w:type="pct"/>
            <w:tcBorders>
              <w:top w:val="nil"/>
            </w:tcBorders>
            <w:shd w:val="clear" w:color="auto" w:fill="FFFFFF" w:themeFill="background1"/>
            <w:noWrap/>
            <w:hideMark/>
          </w:tcPr>
          <w:p w14:paraId="7F8D85B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5,8</w:t>
            </w:r>
          </w:p>
        </w:tc>
        <w:tc>
          <w:tcPr>
            <w:tcW w:w="353" w:type="pct"/>
            <w:tcBorders>
              <w:top w:val="nil"/>
            </w:tcBorders>
            <w:shd w:val="clear" w:color="auto" w:fill="FFFFFF" w:themeFill="background1"/>
            <w:noWrap/>
            <w:hideMark/>
          </w:tcPr>
          <w:p w14:paraId="735040A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19,9</w:t>
            </w:r>
          </w:p>
        </w:tc>
        <w:tc>
          <w:tcPr>
            <w:tcW w:w="372" w:type="pct"/>
            <w:tcBorders>
              <w:top w:val="nil"/>
            </w:tcBorders>
            <w:shd w:val="clear" w:color="auto" w:fill="FFFFFF" w:themeFill="background1"/>
            <w:noWrap/>
            <w:hideMark/>
          </w:tcPr>
          <w:p w14:paraId="68CD524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20,6</w:t>
            </w:r>
          </w:p>
        </w:tc>
        <w:tc>
          <w:tcPr>
            <w:tcW w:w="372" w:type="pct"/>
            <w:tcBorders>
              <w:top w:val="nil"/>
            </w:tcBorders>
            <w:shd w:val="clear" w:color="auto" w:fill="FFFFFF" w:themeFill="background1"/>
            <w:noWrap/>
            <w:hideMark/>
          </w:tcPr>
          <w:p w14:paraId="27D9971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w:t>
            </w:r>
          </w:p>
        </w:tc>
        <w:tc>
          <w:tcPr>
            <w:tcW w:w="372" w:type="pct"/>
            <w:tcBorders>
              <w:top w:val="nil"/>
            </w:tcBorders>
            <w:shd w:val="clear" w:color="auto" w:fill="FFFFFF" w:themeFill="background1"/>
            <w:noWrap/>
            <w:hideMark/>
          </w:tcPr>
          <w:p w14:paraId="6186943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18,6</w:t>
            </w:r>
          </w:p>
        </w:tc>
        <w:tc>
          <w:tcPr>
            <w:tcW w:w="372" w:type="pct"/>
            <w:tcBorders>
              <w:top w:val="nil"/>
            </w:tcBorders>
            <w:shd w:val="clear" w:color="auto" w:fill="FFFFFF" w:themeFill="background1"/>
            <w:noWrap/>
            <w:hideMark/>
          </w:tcPr>
          <w:p w14:paraId="02F0DEAC"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0,4</w:t>
            </w:r>
          </w:p>
        </w:tc>
        <w:tc>
          <w:tcPr>
            <w:tcW w:w="372" w:type="pct"/>
            <w:tcBorders>
              <w:top w:val="nil"/>
            </w:tcBorders>
            <w:shd w:val="clear" w:color="auto" w:fill="FFFFFF" w:themeFill="background1"/>
            <w:noWrap/>
            <w:hideMark/>
          </w:tcPr>
          <w:p w14:paraId="6D9B140B" w14:textId="77777777" w:rsidR="00DD3DF0" w:rsidRPr="00671E8F" w:rsidRDefault="00DD3DF0" w:rsidP="00DD3DF0">
            <w:pPr>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0,1</w:t>
            </w:r>
          </w:p>
        </w:tc>
      </w:tr>
      <w:tr w:rsidR="00DD3DF0" w:rsidRPr="00671E8F" w14:paraId="6889ED4C"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407956A"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Нето буџетске позајмице</w:t>
            </w:r>
          </w:p>
        </w:tc>
        <w:tc>
          <w:tcPr>
            <w:tcW w:w="356" w:type="pct"/>
            <w:tcBorders>
              <w:top w:val="nil"/>
            </w:tcBorders>
            <w:shd w:val="clear" w:color="auto" w:fill="FFFFFF" w:themeFill="background1"/>
            <w:noWrap/>
            <w:hideMark/>
          </w:tcPr>
          <w:p w14:paraId="01FBB38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22,6</w:t>
            </w:r>
          </w:p>
        </w:tc>
        <w:tc>
          <w:tcPr>
            <w:tcW w:w="356" w:type="pct"/>
            <w:tcBorders>
              <w:top w:val="nil"/>
            </w:tcBorders>
            <w:shd w:val="clear" w:color="auto" w:fill="FFFFFF" w:themeFill="background1"/>
            <w:noWrap/>
            <w:hideMark/>
          </w:tcPr>
          <w:p w14:paraId="3023792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20,5</w:t>
            </w:r>
          </w:p>
        </w:tc>
        <w:tc>
          <w:tcPr>
            <w:tcW w:w="360" w:type="pct"/>
            <w:tcBorders>
              <w:top w:val="nil"/>
            </w:tcBorders>
            <w:shd w:val="clear" w:color="auto" w:fill="FFFFFF" w:themeFill="background1"/>
            <w:noWrap/>
          </w:tcPr>
          <w:p w14:paraId="5BEC3DC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w:t>
            </w:r>
          </w:p>
        </w:tc>
        <w:tc>
          <w:tcPr>
            <w:tcW w:w="348" w:type="pct"/>
            <w:tcBorders>
              <w:top w:val="nil"/>
            </w:tcBorders>
            <w:shd w:val="clear" w:color="auto" w:fill="FFFFFF" w:themeFill="background1"/>
            <w:noWrap/>
          </w:tcPr>
          <w:p w14:paraId="110A5C3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w:t>
            </w:r>
          </w:p>
        </w:tc>
        <w:tc>
          <w:tcPr>
            <w:tcW w:w="372" w:type="pct"/>
            <w:tcBorders>
              <w:top w:val="nil"/>
            </w:tcBorders>
            <w:shd w:val="clear" w:color="auto" w:fill="FFFFFF" w:themeFill="background1"/>
            <w:noWrap/>
            <w:hideMark/>
          </w:tcPr>
          <w:p w14:paraId="557FDBC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251E630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9CA4E0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11F27E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34A6A7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8E3FF45"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DC4F8CE" w14:textId="77777777" w:rsidR="00DD3DF0" w:rsidRPr="00671E8F" w:rsidRDefault="00DD3DF0" w:rsidP="00DD3DF0">
            <w:pPr>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321B3A14"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E615D1F"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 xml:space="preserve">    Активиране гаранције</w:t>
            </w:r>
          </w:p>
        </w:tc>
        <w:tc>
          <w:tcPr>
            <w:tcW w:w="356" w:type="pct"/>
            <w:tcBorders>
              <w:top w:val="nil"/>
            </w:tcBorders>
            <w:shd w:val="clear" w:color="auto" w:fill="FFFFFF" w:themeFill="background1"/>
            <w:noWrap/>
            <w:hideMark/>
          </w:tcPr>
          <w:p w14:paraId="483E1FF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22,1</w:t>
            </w:r>
          </w:p>
        </w:tc>
        <w:tc>
          <w:tcPr>
            <w:tcW w:w="356" w:type="pct"/>
            <w:tcBorders>
              <w:top w:val="nil"/>
            </w:tcBorders>
            <w:shd w:val="clear" w:color="auto" w:fill="FFFFFF" w:themeFill="background1"/>
            <w:noWrap/>
            <w:hideMark/>
          </w:tcPr>
          <w:p w14:paraId="125C247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22,1</w:t>
            </w:r>
          </w:p>
        </w:tc>
        <w:tc>
          <w:tcPr>
            <w:tcW w:w="360" w:type="pct"/>
            <w:tcBorders>
              <w:top w:val="nil"/>
            </w:tcBorders>
            <w:shd w:val="clear" w:color="auto" w:fill="FFFFFF" w:themeFill="background1"/>
            <w:noWrap/>
          </w:tcPr>
          <w:p w14:paraId="73EEA5E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0,0</w:t>
            </w:r>
          </w:p>
        </w:tc>
        <w:tc>
          <w:tcPr>
            <w:tcW w:w="348" w:type="pct"/>
            <w:tcBorders>
              <w:top w:val="nil"/>
            </w:tcBorders>
            <w:shd w:val="clear" w:color="auto" w:fill="FFFFFF" w:themeFill="background1"/>
            <w:noWrap/>
          </w:tcPr>
          <w:p w14:paraId="255F076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9ACB42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187B73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E8CDFF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D7A0EC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E94F49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378A6C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6A2797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21FFC4BE"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BFBFBF" w:themeFill="background1" w:themeFillShade="BF"/>
            <w:noWrap/>
            <w:vAlign w:val="bottom"/>
            <w:hideMark/>
          </w:tcPr>
          <w:p w14:paraId="598FD54D" w14:textId="77777777" w:rsidR="00DD3DF0" w:rsidRPr="00671E8F" w:rsidRDefault="00DD3DF0" w:rsidP="00DD3DF0">
            <w:pPr>
              <w:tabs>
                <w:tab w:val="center" w:pos="4680"/>
                <w:tab w:val="right" w:pos="9360"/>
              </w:tabs>
              <w:rPr>
                <w:rFonts w:cstheme="minorHAnsi"/>
                <w:color w:val="002060"/>
                <w:sz w:val="14"/>
                <w:szCs w:val="14"/>
              </w:rPr>
            </w:pPr>
            <w:r w:rsidRPr="00671E8F">
              <w:rPr>
                <w:rFonts w:cstheme="minorHAnsi"/>
                <w:color w:val="002060"/>
                <w:sz w:val="14"/>
                <w:szCs w:val="14"/>
              </w:rPr>
              <w:t>Фискални резултат искљ. трансфере</w:t>
            </w:r>
          </w:p>
        </w:tc>
        <w:tc>
          <w:tcPr>
            <w:tcW w:w="356" w:type="pct"/>
            <w:tcBorders>
              <w:top w:val="nil"/>
            </w:tcBorders>
            <w:shd w:val="clear" w:color="auto" w:fill="BFBFBF" w:themeFill="background1" w:themeFillShade="BF"/>
            <w:noWrap/>
            <w:hideMark/>
          </w:tcPr>
          <w:p w14:paraId="7DF6C21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-314,0</w:t>
            </w:r>
          </w:p>
        </w:tc>
        <w:tc>
          <w:tcPr>
            <w:tcW w:w="356" w:type="pct"/>
            <w:tcBorders>
              <w:top w:val="nil"/>
            </w:tcBorders>
            <w:shd w:val="clear" w:color="auto" w:fill="BFBFBF" w:themeFill="background1" w:themeFillShade="BF"/>
            <w:noWrap/>
            <w:hideMark/>
          </w:tcPr>
          <w:p w14:paraId="7E81B5E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111,1</w:t>
            </w:r>
          </w:p>
        </w:tc>
        <w:tc>
          <w:tcPr>
            <w:tcW w:w="360" w:type="pct"/>
            <w:tcBorders>
              <w:top w:val="nil"/>
            </w:tcBorders>
            <w:shd w:val="clear" w:color="auto" w:fill="BFBFBF" w:themeFill="background1" w:themeFillShade="BF"/>
            <w:noWrap/>
            <w:hideMark/>
          </w:tcPr>
          <w:p w14:paraId="512BC04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-18,2</w:t>
            </w:r>
          </w:p>
        </w:tc>
        <w:tc>
          <w:tcPr>
            <w:tcW w:w="348" w:type="pct"/>
            <w:tcBorders>
              <w:top w:val="nil"/>
            </w:tcBorders>
            <w:shd w:val="clear" w:color="auto" w:fill="BFBFBF" w:themeFill="background1" w:themeFillShade="BF"/>
            <w:noWrap/>
            <w:hideMark/>
          </w:tcPr>
          <w:p w14:paraId="167C0C2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-19,8</w:t>
            </w:r>
          </w:p>
        </w:tc>
        <w:tc>
          <w:tcPr>
            <w:tcW w:w="372" w:type="pct"/>
            <w:tcBorders>
              <w:top w:val="nil"/>
            </w:tcBorders>
            <w:shd w:val="clear" w:color="auto" w:fill="BFBFBF" w:themeFill="background1" w:themeFillShade="BF"/>
            <w:noWrap/>
            <w:hideMark/>
          </w:tcPr>
          <w:p w14:paraId="2FEC16E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1,5</w:t>
            </w:r>
          </w:p>
        </w:tc>
        <w:tc>
          <w:tcPr>
            <w:tcW w:w="353" w:type="pct"/>
            <w:tcBorders>
              <w:top w:val="nil"/>
            </w:tcBorders>
            <w:shd w:val="clear" w:color="auto" w:fill="BFBFBF" w:themeFill="background1" w:themeFillShade="BF"/>
            <w:noWrap/>
            <w:hideMark/>
          </w:tcPr>
          <w:p w14:paraId="0F368B3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-43,2</w:t>
            </w:r>
          </w:p>
        </w:tc>
        <w:tc>
          <w:tcPr>
            <w:tcW w:w="372" w:type="pct"/>
            <w:tcBorders>
              <w:top w:val="nil"/>
            </w:tcBorders>
            <w:shd w:val="clear" w:color="auto" w:fill="BFBFBF" w:themeFill="background1" w:themeFillShade="BF"/>
            <w:noWrap/>
            <w:hideMark/>
          </w:tcPr>
          <w:p w14:paraId="3A8839F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-363,7</w:t>
            </w:r>
          </w:p>
        </w:tc>
        <w:tc>
          <w:tcPr>
            <w:tcW w:w="372" w:type="pct"/>
            <w:tcBorders>
              <w:top w:val="nil"/>
            </w:tcBorders>
            <w:shd w:val="clear" w:color="auto" w:fill="BFBFBF" w:themeFill="background1" w:themeFillShade="BF"/>
            <w:noWrap/>
            <w:hideMark/>
          </w:tcPr>
          <w:p w14:paraId="17238E6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-168,8</w:t>
            </w:r>
          </w:p>
        </w:tc>
        <w:tc>
          <w:tcPr>
            <w:tcW w:w="372" w:type="pct"/>
            <w:tcBorders>
              <w:top w:val="nil"/>
            </w:tcBorders>
            <w:shd w:val="clear" w:color="auto" w:fill="BFBFBF" w:themeFill="background1" w:themeFillShade="BF"/>
            <w:noWrap/>
            <w:hideMark/>
          </w:tcPr>
          <w:p w14:paraId="4A1B7DB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-194,6</w:t>
            </w:r>
          </w:p>
        </w:tc>
        <w:tc>
          <w:tcPr>
            <w:tcW w:w="372" w:type="pct"/>
            <w:tcBorders>
              <w:top w:val="nil"/>
            </w:tcBorders>
            <w:shd w:val="clear" w:color="auto" w:fill="BFBFBF" w:themeFill="background1" w:themeFillShade="BF"/>
            <w:noWrap/>
            <w:hideMark/>
          </w:tcPr>
          <w:p w14:paraId="1BB3472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4,0</w:t>
            </w:r>
          </w:p>
        </w:tc>
        <w:tc>
          <w:tcPr>
            <w:tcW w:w="372" w:type="pct"/>
            <w:tcBorders>
              <w:top w:val="nil"/>
            </w:tcBorders>
            <w:shd w:val="clear" w:color="auto" w:fill="BFBFBF" w:themeFill="background1" w:themeFillShade="BF"/>
            <w:noWrap/>
            <w:hideMark/>
          </w:tcPr>
          <w:p w14:paraId="47BC687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-4,3</w:t>
            </w:r>
          </w:p>
        </w:tc>
      </w:tr>
      <w:tr w:rsidR="00DD3DF0" w:rsidRPr="00671E8F" w14:paraId="3FBF2AD7"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C2B730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Трансфери од других нивоа власти</w:t>
            </w:r>
          </w:p>
        </w:tc>
        <w:tc>
          <w:tcPr>
            <w:tcW w:w="356" w:type="pct"/>
            <w:tcBorders>
              <w:top w:val="nil"/>
            </w:tcBorders>
            <w:shd w:val="clear" w:color="auto" w:fill="FFFFFF" w:themeFill="background1"/>
            <w:noWrap/>
            <w:hideMark/>
          </w:tcPr>
          <w:p w14:paraId="59E7E03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670,2</w:t>
            </w:r>
          </w:p>
        </w:tc>
        <w:tc>
          <w:tcPr>
            <w:tcW w:w="356" w:type="pct"/>
            <w:tcBorders>
              <w:top w:val="nil"/>
            </w:tcBorders>
            <w:shd w:val="clear" w:color="auto" w:fill="FFFFFF" w:themeFill="background1"/>
            <w:noWrap/>
            <w:hideMark/>
          </w:tcPr>
          <w:p w14:paraId="2F91FC7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60" w:type="pct"/>
            <w:tcBorders>
              <w:top w:val="nil"/>
            </w:tcBorders>
            <w:shd w:val="clear" w:color="auto" w:fill="FFFFFF" w:themeFill="background1"/>
            <w:noWrap/>
            <w:hideMark/>
          </w:tcPr>
          <w:p w14:paraId="0E8E600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88,9</w:t>
            </w:r>
          </w:p>
        </w:tc>
        <w:tc>
          <w:tcPr>
            <w:tcW w:w="348" w:type="pct"/>
            <w:tcBorders>
              <w:top w:val="nil"/>
            </w:tcBorders>
            <w:shd w:val="clear" w:color="auto" w:fill="FFFFFF" w:themeFill="background1"/>
            <w:noWrap/>
            <w:hideMark/>
          </w:tcPr>
          <w:p w14:paraId="0707CD3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76,5</w:t>
            </w:r>
          </w:p>
        </w:tc>
        <w:tc>
          <w:tcPr>
            <w:tcW w:w="372" w:type="pct"/>
            <w:tcBorders>
              <w:top w:val="nil"/>
            </w:tcBorders>
            <w:shd w:val="clear" w:color="auto" w:fill="FFFFFF" w:themeFill="background1"/>
            <w:noWrap/>
            <w:hideMark/>
          </w:tcPr>
          <w:p w14:paraId="5159299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12,4</w:t>
            </w:r>
          </w:p>
        </w:tc>
        <w:tc>
          <w:tcPr>
            <w:tcW w:w="353" w:type="pct"/>
            <w:tcBorders>
              <w:top w:val="nil"/>
            </w:tcBorders>
            <w:shd w:val="clear" w:color="auto" w:fill="FFFFFF" w:themeFill="background1"/>
            <w:noWrap/>
            <w:hideMark/>
          </w:tcPr>
          <w:p w14:paraId="649DB24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72" w:type="pct"/>
            <w:tcBorders>
              <w:top w:val="nil"/>
            </w:tcBorders>
            <w:shd w:val="clear" w:color="auto" w:fill="FFFFFF" w:themeFill="background1"/>
            <w:noWrap/>
            <w:hideMark/>
          </w:tcPr>
          <w:p w14:paraId="10CCB2D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484,8</w:t>
            </w:r>
          </w:p>
        </w:tc>
        <w:tc>
          <w:tcPr>
            <w:tcW w:w="372" w:type="pct"/>
            <w:tcBorders>
              <w:top w:val="nil"/>
            </w:tcBorders>
            <w:shd w:val="clear" w:color="auto" w:fill="FFFFFF" w:themeFill="background1"/>
            <w:noWrap/>
            <w:hideMark/>
          </w:tcPr>
          <w:p w14:paraId="17F4ED2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277,1</w:t>
            </w:r>
          </w:p>
        </w:tc>
        <w:tc>
          <w:tcPr>
            <w:tcW w:w="372" w:type="pct"/>
            <w:tcBorders>
              <w:top w:val="nil"/>
            </w:tcBorders>
            <w:shd w:val="clear" w:color="auto" w:fill="FFFFFF" w:themeFill="background1"/>
            <w:noWrap/>
            <w:hideMark/>
          </w:tcPr>
          <w:p w14:paraId="2A3A698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202,6</w:t>
            </w:r>
          </w:p>
        </w:tc>
        <w:tc>
          <w:tcPr>
            <w:tcW w:w="372" w:type="pct"/>
            <w:tcBorders>
              <w:top w:val="nil"/>
            </w:tcBorders>
            <w:shd w:val="clear" w:color="auto" w:fill="FFFFFF" w:themeFill="background1"/>
            <w:noWrap/>
            <w:hideMark/>
          </w:tcPr>
          <w:p w14:paraId="1DEF25A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72" w:type="pct"/>
            <w:tcBorders>
              <w:top w:val="nil"/>
            </w:tcBorders>
            <w:shd w:val="clear" w:color="auto" w:fill="FFFFFF" w:themeFill="background1"/>
            <w:noWrap/>
            <w:hideMark/>
          </w:tcPr>
          <w:p w14:paraId="7A8447B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w:t>
            </w:r>
          </w:p>
        </w:tc>
      </w:tr>
      <w:tr w:rsidR="00DD3DF0" w:rsidRPr="00671E8F" w14:paraId="3319433B"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23DB5658"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Буџет Републике</w:t>
            </w:r>
          </w:p>
        </w:tc>
        <w:tc>
          <w:tcPr>
            <w:tcW w:w="356" w:type="pct"/>
            <w:tcBorders>
              <w:top w:val="nil"/>
            </w:tcBorders>
            <w:shd w:val="clear" w:color="auto" w:fill="FFFFFF" w:themeFill="background1"/>
            <w:noWrap/>
            <w:hideMark/>
          </w:tcPr>
          <w:p w14:paraId="308C387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478,5</w:t>
            </w:r>
          </w:p>
        </w:tc>
        <w:tc>
          <w:tcPr>
            <w:tcW w:w="356" w:type="pct"/>
            <w:tcBorders>
              <w:top w:val="nil"/>
            </w:tcBorders>
            <w:shd w:val="clear" w:color="auto" w:fill="FFFFFF" w:themeFill="background1"/>
            <w:noWrap/>
            <w:hideMark/>
          </w:tcPr>
          <w:p w14:paraId="0E5E5C6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550AF5D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80,5</w:t>
            </w:r>
          </w:p>
        </w:tc>
        <w:tc>
          <w:tcPr>
            <w:tcW w:w="348" w:type="pct"/>
            <w:tcBorders>
              <w:top w:val="nil"/>
            </w:tcBorders>
            <w:shd w:val="clear" w:color="auto" w:fill="FFFFFF" w:themeFill="background1"/>
            <w:noWrap/>
            <w:hideMark/>
          </w:tcPr>
          <w:p w14:paraId="2085211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68,1</w:t>
            </w:r>
          </w:p>
        </w:tc>
        <w:tc>
          <w:tcPr>
            <w:tcW w:w="372" w:type="pct"/>
            <w:tcBorders>
              <w:top w:val="nil"/>
            </w:tcBorders>
            <w:shd w:val="clear" w:color="auto" w:fill="FFFFFF" w:themeFill="background1"/>
            <w:noWrap/>
            <w:hideMark/>
          </w:tcPr>
          <w:p w14:paraId="2E52C10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12,4</w:t>
            </w:r>
          </w:p>
        </w:tc>
        <w:tc>
          <w:tcPr>
            <w:tcW w:w="353" w:type="pct"/>
            <w:tcBorders>
              <w:top w:val="nil"/>
            </w:tcBorders>
            <w:shd w:val="clear" w:color="auto" w:fill="FFFFFF" w:themeFill="background1"/>
            <w:noWrap/>
            <w:hideMark/>
          </w:tcPr>
          <w:p w14:paraId="37C4DFD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72" w:type="pct"/>
            <w:tcBorders>
              <w:top w:val="nil"/>
            </w:tcBorders>
            <w:shd w:val="clear" w:color="auto" w:fill="FFFFFF" w:themeFill="background1"/>
            <w:noWrap/>
            <w:hideMark/>
          </w:tcPr>
          <w:p w14:paraId="16CB5BC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354,8</w:t>
            </w:r>
          </w:p>
        </w:tc>
        <w:tc>
          <w:tcPr>
            <w:tcW w:w="372" w:type="pct"/>
            <w:tcBorders>
              <w:top w:val="nil"/>
            </w:tcBorders>
            <w:shd w:val="clear" w:color="auto" w:fill="FFFFFF" w:themeFill="background1"/>
            <w:noWrap/>
            <w:hideMark/>
          </w:tcPr>
          <w:p w14:paraId="128D792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265,8</w:t>
            </w:r>
          </w:p>
        </w:tc>
        <w:tc>
          <w:tcPr>
            <w:tcW w:w="372" w:type="pct"/>
            <w:tcBorders>
              <w:top w:val="nil"/>
            </w:tcBorders>
            <w:shd w:val="clear" w:color="auto" w:fill="FFFFFF" w:themeFill="background1"/>
            <w:noWrap/>
            <w:hideMark/>
          </w:tcPr>
          <w:p w14:paraId="586D910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88,0</w:t>
            </w:r>
          </w:p>
        </w:tc>
        <w:tc>
          <w:tcPr>
            <w:tcW w:w="372" w:type="pct"/>
            <w:tcBorders>
              <w:top w:val="nil"/>
            </w:tcBorders>
            <w:shd w:val="clear" w:color="auto" w:fill="FFFFFF" w:themeFill="background1"/>
            <w:noWrap/>
            <w:hideMark/>
          </w:tcPr>
          <w:p w14:paraId="7E628F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72" w:type="pct"/>
            <w:tcBorders>
              <w:top w:val="nil"/>
            </w:tcBorders>
            <w:shd w:val="clear" w:color="auto" w:fill="FFFFFF" w:themeFill="background1"/>
            <w:noWrap/>
            <w:hideMark/>
          </w:tcPr>
          <w:p w14:paraId="261FF57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r>
      <w:tr w:rsidR="00DD3DF0" w:rsidRPr="00671E8F" w14:paraId="2CD6CBB5"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B34F636"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Градови и општине</w:t>
            </w:r>
          </w:p>
        </w:tc>
        <w:tc>
          <w:tcPr>
            <w:tcW w:w="356" w:type="pct"/>
            <w:tcBorders>
              <w:top w:val="nil"/>
            </w:tcBorders>
            <w:shd w:val="clear" w:color="auto" w:fill="FFFFFF" w:themeFill="background1"/>
            <w:noWrap/>
          </w:tcPr>
          <w:p w14:paraId="69D6764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56,8</w:t>
            </w:r>
          </w:p>
        </w:tc>
        <w:tc>
          <w:tcPr>
            <w:tcW w:w="356" w:type="pct"/>
            <w:tcBorders>
              <w:top w:val="nil"/>
            </w:tcBorders>
            <w:shd w:val="clear" w:color="auto" w:fill="FFFFFF" w:themeFill="background1"/>
            <w:noWrap/>
            <w:hideMark/>
          </w:tcPr>
          <w:p w14:paraId="63840A4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60" w:type="pct"/>
            <w:tcBorders>
              <w:top w:val="nil"/>
            </w:tcBorders>
            <w:shd w:val="clear" w:color="auto" w:fill="FFFFFF" w:themeFill="background1"/>
            <w:noWrap/>
            <w:hideMark/>
          </w:tcPr>
          <w:p w14:paraId="5B8A73F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698FE3C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023598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772FA93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A7BED9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7F56735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2931D4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50D71CC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779203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0F6DA141"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4751A8C8"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AП Војводина</w:t>
            </w:r>
          </w:p>
        </w:tc>
        <w:tc>
          <w:tcPr>
            <w:tcW w:w="356" w:type="pct"/>
            <w:tcBorders>
              <w:top w:val="nil"/>
            </w:tcBorders>
            <w:shd w:val="clear" w:color="auto" w:fill="FFFFFF" w:themeFill="background1"/>
            <w:noWrap/>
          </w:tcPr>
          <w:p w14:paraId="22C4EC2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13,9</w:t>
            </w:r>
          </w:p>
        </w:tc>
        <w:tc>
          <w:tcPr>
            <w:tcW w:w="356" w:type="pct"/>
            <w:tcBorders>
              <w:top w:val="nil"/>
            </w:tcBorders>
            <w:shd w:val="clear" w:color="auto" w:fill="FFFFFF" w:themeFill="background1"/>
            <w:noWrap/>
            <w:hideMark/>
          </w:tcPr>
          <w:p w14:paraId="77A56D4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205E7BC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w:t>
            </w:r>
          </w:p>
        </w:tc>
        <w:tc>
          <w:tcPr>
            <w:tcW w:w="348" w:type="pct"/>
            <w:tcBorders>
              <w:top w:val="nil"/>
            </w:tcBorders>
            <w:shd w:val="clear" w:color="auto" w:fill="FFFFFF" w:themeFill="background1"/>
            <w:noWrap/>
            <w:hideMark/>
          </w:tcPr>
          <w:p w14:paraId="63BFA80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w:t>
            </w:r>
          </w:p>
        </w:tc>
        <w:tc>
          <w:tcPr>
            <w:tcW w:w="372" w:type="pct"/>
            <w:tcBorders>
              <w:top w:val="nil"/>
            </w:tcBorders>
            <w:shd w:val="clear" w:color="auto" w:fill="FFFFFF" w:themeFill="background1"/>
            <w:noWrap/>
            <w:hideMark/>
          </w:tcPr>
          <w:p w14:paraId="4A9D345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BED986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4FC034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5,5</w:t>
            </w:r>
          </w:p>
        </w:tc>
        <w:tc>
          <w:tcPr>
            <w:tcW w:w="372" w:type="pct"/>
            <w:tcBorders>
              <w:top w:val="nil"/>
            </w:tcBorders>
            <w:shd w:val="clear" w:color="auto" w:fill="FFFFFF" w:themeFill="background1"/>
            <w:noWrap/>
            <w:hideMark/>
          </w:tcPr>
          <w:p w14:paraId="43178C0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964717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5,5</w:t>
            </w:r>
          </w:p>
        </w:tc>
        <w:tc>
          <w:tcPr>
            <w:tcW w:w="372" w:type="pct"/>
            <w:tcBorders>
              <w:top w:val="nil"/>
            </w:tcBorders>
            <w:shd w:val="clear" w:color="auto" w:fill="FFFFFF" w:themeFill="background1"/>
            <w:noWrap/>
            <w:hideMark/>
          </w:tcPr>
          <w:p w14:paraId="1D62AD0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D95305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4666B9E3"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BCFEE16"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Фонд ПИО</w:t>
            </w:r>
          </w:p>
        </w:tc>
        <w:tc>
          <w:tcPr>
            <w:tcW w:w="356" w:type="pct"/>
            <w:tcBorders>
              <w:top w:val="nil"/>
            </w:tcBorders>
            <w:shd w:val="clear" w:color="auto" w:fill="FFFFFF" w:themeFill="background1"/>
            <w:noWrap/>
            <w:hideMark/>
          </w:tcPr>
          <w:p w14:paraId="72EDBA0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108,4</w:t>
            </w:r>
          </w:p>
        </w:tc>
        <w:tc>
          <w:tcPr>
            <w:tcW w:w="356" w:type="pct"/>
            <w:tcBorders>
              <w:top w:val="nil"/>
            </w:tcBorders>
            <w:shd w:val="clear" w:color="auto" w:fill="FFFFFF" w:themeFill="background1"/>
            <w:noWrap/>
            <w:hideMark/>
          </w:tcPr>
          <w:p w14:paraId="2506781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043999D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30D0A42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F354E9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4B14F76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E652B7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108,4</w:t>
            </w:r>
          </w:p>
        </w:tc>
        <w:tc>
          <w:tcPr>
            <w:tcW w:w="372" w:type="pct"/>
            <w:tcBorders>
              <w:top w:val="nil"/>
            </w:tcBorders>
            <w:shd w:val="clear" w:color="auto" w:fill="FFFFFF" w:themeFill="background1"/>
            <w:noWrap/>
            <w:hideMark/>
          </w:tcPr>
          <w:p w14:paraId="0A41AC1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474580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104,3</w:t>
            </w:r>
          </w:p>
        </w:tc>
        <w:tc>
          <w:tcPr>
            <w:tcW w:w="372" w:type="pct"/>
            <w:tcBorders>
              <w:top w:val="nil"/>
            </w:tcBorders>
            <w:shd w:val="clear" w:color="auto" w:fill="FFFFFF" w:themeFill="background1"/>
            <w:noWrap/>
          </w:tcPr>
          <w:p w14:paraId="4E62FF8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6F1D43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w:t>
            </w:r>
          </w:p>
        </w:tc>
      </w:tr>
      <w:tr w:rsidR="00DD3DF0" w:rsidRPr="00671E8F" w14:paraId="3E585158"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6DF621FD"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РФЗО</w:t>
            </w:r>
          </w:p>
        </w:tc>
        <w:tc>
          <w:tcPr>
            <w:tcW w:w="356" w:type="pct"/>
            <w:tcBorders>
              <w:top w:val="nil"/>
            </w:tcBorders>
            <w:shd w:val="clear" w:color="auto" w:fill="FFFFFF" w:themeFill="background1"/>
            <w:noWrap/>
            <w:hideMark/>
          </w:tcPr>
          <w:p w14:paraId="1682CFA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56" w:type="pct"/>
            <w:tcBorders>
              <w:top w:val="nil"/>
            </w:tcBorders>
            <w:shd w:val="clear" w:color="auto" w:fill="FFFFFF" w:themeFill="background1"/>
            <w:noWrap/>
            <w:hideMark/>
          </w:tcPr>
          <w:p w14:paraId="33655DD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52CDB39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38702B7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240F64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513517E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7CE1BF8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72" w:type="pct"/>
            <w:tcBorders>
              <w:top w:val="nil"/>
            </w:tcBorders>
            <w:shd w:val="clear" w:color="auto" w:fill="FFFFFF" w:themeFill="background1"/>
            <w:noWrap/>
            <w:hideMark/>
          </w:tcPr>
          <w:p w14:paraId="7B7E292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72" w:type="pct"/>
            <w:tcBorders>
              <w:top w:val="nil"/>
            </w:tcBorders>
            <w:shd w:val="clear" w:color="auto" w:fill="FFFFFF" w:themeFill="background1"/>
            <w:noWrap/>
          </w:tcPr>
          <w:p w14:paraId="31FDF8D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741109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1625AC8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0AB3D67B"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D356D7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НСЗ</w:t>
            </w:r>
          </w:p>
        </w:tc>
        <w:tc>
          <w:tcPr>
            <w:tcW w:w="356" w:type="pct"/>
            <w:tcBorders>
              <w:top w:val="nil"/>
            </w:tcBorders>
            <w:shd w:val="clear" w:color="auto" w:fill="FFFFFF" w:themeFill="background1"/>
            <w:noWrap/>
            <w:hideMark/>
          </w:tcPr>
          <w:p w14:paraId="65B4650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w:t>
            </w:r>
          </w:p>
        </w:tc>
        <w:tc>
          <w:tcPr>
            <w:tcW w:w="356" w:type="pct"/>
            <w:tcBorders>
              <w:top w:val="nil"/>
            </w:tcBorders>
            <w:shd w:val="clear" w:color="auto" w:fill="FFFFFF" w:themeFill="background1"/>
            <w:noWrap/>
            <w:hideMark/>
          </w:tcPr>
          <w:p w14:paraId="5494F41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71641C4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289E6D9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0DE4B7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4B02BEE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36231C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w:t>
            </w:r>
          </w:p>
        </w:tc>
        <w:tc>
          <w:tcPr>
            <w:tcW w:w="372" w:type="pct"/>
            <w:tcBorders>
              <w:top w:val="nil"/>
            </w:tcBorders>
            <w:shd w:val="clear" w:color="auto" w:fill="FFFFFF" w:themeFill="background1"/>
            <w:noWrap/>
            <w:hideMark/>
          </w:tcPr>
          <w:p w14:paraId="291C904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47D8171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1,4</w:t>
            </w:r>
          </w:p>
        </w:tc>
        <w:tc>
          <w:tcPr>
            <w:tcW w:w="372" w:type="pct"/>
            <w:tcBorders>
              <w:top w:val="nil"/>
            </w:tcBorders>
            <w:shd w:val="clear" w:color="auto" w:fill="FFFFFF" w:themeFill="background1"/>
            <w:noWrap/>
          </w:tcPr>
          <w:p w14:paraId="47F992C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C80F7E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43AA2FE5"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037D393"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Фонд СОВО</w:t>
            </w:r>
          </w:p>
        </w:tc>
        <w:tc>
          <w:tcPr>
            <w:tcW w:w="356" w:type="pct"/>
            <w:tcBorders>
              <w:top w:val="nil"/>
            </w:tcBorders>
            <w:shd w:val="clear" w:color="auto" w:fill="FFFFFF" w:themeFill="background1"/>
            <w:noWrap/>
          </w:tcPr>
          <w:p w14:paraId="68BC6C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6" w:type="pct"/>
            <w:tcBorders>
              <w:top w:val="nil"/>
            </w:tcBorders>
            <w:shd w:val="clear" w:color="auto" w:fill="FFFFFF" w:themeFill="background1"/>
            <w:noWrap/>
            <w:hideMark/>
          </w:tcPr>
          <w:p w14:paraId="1F93547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721B025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1135792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B76AEC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231B022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E2F269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1E7D86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664C83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361008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B5E172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62AC6D43"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2FC350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Остали нивои</w:t>
            </w:r>
          </w:p>
        </w:tc>
        <w:tc>
          <w:tcPr>
            <w:tcW w:w="356" w:type="pct"/>
            <w:tcBorders>
              <w:top w:val="nil"/>
            </w:tcBorders>
            <w:shd w:val="clear" w:color="auto" w:fill="FFFFFF" w:themeFill="background1"/>
            <w:noWrap/>
          </w:tcPr>
          <w:p w14:paraId="508B9A1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6" w:type="pct"/>
            <w:tcBorders>
              <w:top w:val="nil"/>
            </w:tcBorders>
            <w:shd w:val="clear" w:color="auto" w:fill="FFFFFF" w:themeFill="background1"/>
            <w:noWrap/>
            <w:hideMark/>
          </w:tcPr>
          <w:p w14:paraId="16A3866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1A68D92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hideMark/>
          </w:tcPr>
          <w:p w14:paraId="43600AB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688860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4E8B333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D39331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66A500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78CDF6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26266F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4155D6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25B2E280"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BE89C6D"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Трансфери другим нивоима власти</w:t>
            </w:r>
          </w:p>
        </w:tc>
        <w:tc>
          <w:tcPr>
            <w:tcW w:w="356" w:type="pct"/>
            <w:tcBorders>
              <w:top w:val="nil"/>
            </w:tcBorders>
            <w:shd w:val="clear" w:color="auto" w:fill="FFFFFF" w:themeFill="background1"/>
            <w:noWrap/>
            <w:hideMark/>
          </w:tcPr>
          <w:p w14:paraId="75C5C97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670,2</w:t>
            </w:r>
          </w:p>
        </w:tc>
        <w:tc>
          <w:tcPr>
            <w:tcW w:w="356" w:type="pct"/>
            <w:tcBorders>
              <w:top w:val="nil"/>
            </w:tcBorders>
            <w:shd w:val="clear" w:color="auto" w:fill="FFFFFF" w:themeFill="background1"/>
            <w:noWrap/>
            <w:hideMark/>
          </w:tcPr>
          <w:p w14:paraId="3FCE486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478,5</w:t>
            </w:r>
          </w:p>
        </w:tc>
        <w:tc>
          <w:tcPr>
            <w:tcW w:w="360" w:type="pct"/>
            <w:tcBorders>
              <w:top w:val="nil"/>
            </w:tcBorders>
            <w:shd w:val="clear" w:color="auto" w:fill="FFFFFF" w:themeFill="background1"/>
            <w:noWrap/>
            <w:hideMark/>
          </w:tcPr>
          <w:p w14:paraId="67BC423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70,7</w:t>
            </w:r>
          </w:p>
        </w:tc>
        <w:tc>
          <w:tcPr>
            <w:tcW w:w="348" w:type="pct"/>
            <w:tcBorders>
              <w:top w:val="nil"/>
            </w:tcBorders>
            <w:shd w:val="clear" w:color="auto" w:fill="FFFFFF" w:themeFill="background1"/>
            <w:noWrap/>
            <w:hideMark/>
          </w:tcPr>
          <w:p w14:paraId="3C4493D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56,8</w:t>
            </w:r>
          </w:p>
        </w:tc>
        <w:tc>
          <w:tcPr>
            <w:tcW w:w="372" w:type="pct"/>
            <w:tcBorders>
              <w:top w:val="nil"/>
            </w:tcBorders>
            <w:shd w:val="clear" w:color="auto" w:fill="FFFFFF" w:themeFill="background1"/>
            <w:noWrap/>
          </w:tcPr>
          <w:p w14:paraId="2DE9705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13,9</w:t>
            </w:r>
          </w:p>
        </w:tc>
        <w:tc>
          <w:tcPr>
            <w:tcW w:w="353" w:type="pct"/>
            <w:tcBorders>
              <w:top w:val="nil"/>
            </w:tcBorders>
            <w:shd w:val="clear" w:color="auto" w:fill="FFFFFF" w:themeFill="background1"/>
            <w:noWrap/>
          </w:tcPr>
          <w:p w14:paraId="6F88428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0,0</w:t>
            </w:r>
          </w:p>
        </w:tc>
        <w:tc>
          <w:tcPr>
            <w:tcW w:w="372" w:type="pct"/>
            <w:tcBorders>
              <w:top w:val="nil"/>
            </w:tcBorders>
            <w:shd w:val="clear" w:color="auto" w:fill="FFFFFF" w:themeFill="background1"/>
            <w:noWrap/>
            <w:hideMark/>
          </w:tcPr>
          <w:p w14:paraId="596DFFD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121,1</w:t>
            </w:r>
          </w:p>
        </w:tc>
        <w:tc>
          <w:tcPr>
            <w:tcW w:w="372" w:type="pct"/>
            <w:tcBorders>
              <w:top w:val="nil"/>
            </w:tcBorders>
            <w:shd w:val="clear" w:color="auto" w:fill="FFFFFF" w:themeFill="background1"/>
            <w:noWrap/>
            <w:hideMark/>
          </w:tcPr>
          <w:p w14:paraId="6BFD25E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108,4</w:t>
            </w:r>
          </w:p>
        </w:tc>
        <w:tc>
          <w:tcPr>
            <w:tcW w:w="372" w:type="pct"/>
            <w:tcBorders>
              <w:top w:val="nil"/>
            </w:tcBorders>
            <w:shd w:val="clear" w:color="auto" w:fill="FFFFFF" w:themeFill="background1"/>
            <w:noWrap/>
            <w:hideMark/>
          </w:tcPr>
          <w:p w14:paraId="69A5368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72" w:type="pct"/>
            <w:tcBorders>
              <w:top w:val="nil"/>
            </w:tcBorders>
            <w:shd w:val="clear" w:color="auto" w:fill="FFFFFF" w:themeFill="background1"/>
            <w:noWrap/>
            <w:hideMark/>
          </w:tcPr>
          <w:p w14:paraId="022B0C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4,7</w:t>
            </w:r>
          </w:p>
        </w:tc>
        <w:tc>
          <w:tcPr>
            <w:tcW w:w="372" w:type="pct"/>
            <w:tcBorders>
              <w:top w:val="nil"/>
            </w:tcBorders>
            <w:shd w:val="clear" w:color="auto" w:fill="FFFFFF" w:themeFill="background1"/>
            <w:noWrap/>
          </w:tcPr>
          <w:p w14:paraId="487E05D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0,0</w:t>
            </w:r>
          </w:p>
        </w:tc>
      </w:tr>
      <w:tr w:rsidR="00DD3DF0" w:rsidRPr="00671E8F" w14:paraId="3A23B619"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AA8075D"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Буџет Републике</w:t>
            </w:r>
          </w:p>
        </w:tc>
        <w:tc>
          <w:tcPr>
            <w:tcW w:w="356" w:type="pct"/>
            <w:tcBorders>
              <w:top w:val="nil"/>
            </w:tcBorders>
            <w:shd w:val="clear" w:color="auto" w:fill="FFFFFF" w:themeFill="background1"/>
            <w:noWrap/>
            <w:hideMark/>
          </w:tcPr>
          <w:p w14:paraId="7B2F63D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56" w:type="pct"/>
            <w:tcBorders>
              <w:top w:val="nil"/>
            </w:tcBorders>
            <w:shd w:val="clear" w:color="auto" w:fill="FFFFFF" w:themeFill="background1"/>
            <w:noWrap/>
            <w:hideMark/>
          </w:tcPr>
          <w:p w14:paraId="6415D58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60" w:type="pct"/>
            <w:tcBorders>
              <w:top w:val="nil"/>
            </w:tcBorders>
            <w:shd w:val="clear" w:color="auto" w:fill="FFFFFF" w:themeFill="background1"/>
            <w:noWrap/>
            <w:hideMark/>
          </w:tcPr>
          <w:p w14:paraId="34AE166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48" w:type="pct"/>
            <w:tcBorders>
              <w:top w:val="nil"/>
            </w:tcBorders>
            <w:shd w:val="clear" w:color="auto" w:fill="FFFFFF" w:themeFill="background1"/>
            <w:noWrap/>
            <w:hideMark/>
          </w:tcPr>
          <w:p w14:paraId="159D5BC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53,4</w:t>
            </w:r>
          </w:p>
        </w:tc>
        <w:tc>
          <w:tcPr>
            <w:tcW w:w="372" w:type="pct"/>
            <w:tcBorders>
              <w:top w:val="nil"/>
            </w:tcBorders>
            <w:shd w:val="clear" w:color="auto" w:fill="FFFFFF" w:themeFill="background1"/>
            <w:noWrap/>
            <w:hideMark/>
          </w:tcPr>
          <w:p w14:paraId="50D5F71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3B762B5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F69829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DC3E0D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E94F62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3B4783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D755AA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33FD5DA9"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070DB979"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Градови и општине</w:t>
            </w:r>
          </w:p>
        </w:tc>
        <w:tc>
          <w:tcPr>
            <w:tcW w:w="356" w:type="pct"/>
            <w:tcBorders>
              <w:top w:val="nil"/>
            </w:tcBorders>
            <w:shd w:val="clear" w:color="auto" w:fill="FFFFFF" w:themeFill="background1"/>
            <w:noWrap/>
            <w:hideMark/>
          </w:tcPr>
          <w:p w14:paraId="3491090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76,5</w:t>
            </w:r>
          </w:p>
        </w:tc>
        <w:tc>
          <w:tcPr>
            <w:tcW w:w="356" w:type="pct"/>
            <w:tcBorders>
              <w:top w:val="nil"/>
            </w:tcBorders>
            <w:shd w:val="clear" w:color="auto" w:fill="FFFFFF" w:themeFill="background1"/>
            <w:noWrap/>
            <w:hideMark/>
          </w:tcPr>
          <w:p w14:paraId="3B13787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68,1</w:t>
            </w:r>
          </w:p>
        </w:tc>
        <w:tc>
          <w:tcPr>
            <w:tcW w:w="360" w:type="pct"/>
            <w:tcBorders>
              <w:top w:val="nil"/>
            </w:tcBorders>
            <w:shd w:val="clear" w:color="auto" w:fill="FFFFFF" w:themeFill="background1"/>
            <w:noWrap/>
            <w:hideMark/>
          </w:tcPr>
          <w:p w14:paraId="7500D51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w:t>
            </w:r>
          </w:p>
        </w:tc>
        <w:tc>
          <w:tcPr>
            <w:tcW w:w="348" w:type="pct"/>
            <w:tcBorders>
              <w:top w:val="nil"/>
            </w:tcBorders>
            <w:shd w:val="clear" w:color="auto" w:fill="FFFFFF" w:themeFill="background1"/>
            <w:noWrap/>
          </w:tcPr>
          <w:p w14:paraId="3BFC33E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560806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8,4</w:t>
            </w:r>
          </w:p>
        </w:tc>
        <w:tc>
          <w:tcPr>
            <w:tcW w:w="353" w:type="pct"/>
            <w:tcBorders>
              <w:top w:val="nil"/>
            </w:tcBorders>
            <w:shd w:val="clear" w:color="auto" w:fill="FFFFFF" w:themeFill="background1"/>
            <w:noWrap/>
            <w:hideMark/>
          </w:tcPr>
          <w:p w14:paraId="722A0A6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1DE640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5BB0C44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765A55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183D4A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3981649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43819A7E"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9FEE90C"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AП Војводина</w:t>
            </w:r>
          </w:p>
        </w:tc>
        <w:tc>
          <w:tcPr>
            <w:tcW w:w="356" w:type="pct"/>
            <w:tcBorders>
              <w:top w:val="nil"/>
            </w:tcBorders>
            <w:shd w:val="clear" w:color="auto" w:fill="FFFFFF" w:themeFill="background1"/>
            <w:noWrap/>
            <w:hideMark/>
          </w:tcPr>
          <w:p w14:paraId="633F443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12,4</w:t>
            </w:r>
          </w:p>
        </w:tc>
        <w:tc>
          <w:tcPr>
            <w:tcW w:w="356" w:type="pct"/>
            <w:tcBorders>
              <w:top w:val="nil"/>
            </w:tcBorders>
            <w:shd w:val="clear" w:color="auto" w:fill="FFFFFF" w:themeFill="background1"/>
            <w:noWrap/>
            <w:hideMark/>
          </w:tcPr>
          <w:p w14:paraId="0D29613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12,4</w:t>
            </w:r>
          </w:p>
        </w:tc>
        <w:tc>
          <w:tcPr>
            <w:tcW w:w="360" w:type="pct"/>
            <w:tcBorders>
              <w:top w:val="nil"/>
            </w:tcBorders>
            <w:shd w:val="clear" w:color="auto" w:fill="FFFFFF" w:themeFill="background1"/>
            <w:noWrap/>
            <w:hideMark/>
          </w:tcPr>
          <w:p w14:paraId="0783C71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657968B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7DB3FB0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7CB1B8E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91001F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62723B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690E61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FD6C67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D885DC2"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0F81BB59"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E10A465"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Фонд ПИО</w:t>
            </w:r>
          </w:p>
        </w:tc>
        <w:tc>
          <w:tcPr>
            <w:tcW w:w="356" w:type="pct"/>
            <w:tcBorders>
              <w:top w:val="nil"/>
            </w:tcBorders>
            <w:shd w:val="clear" w:color="auto" w:fill="FFFFFF" w:themeFill="background1"/>
            <w:noWrap/>
            <w:hideMark/>
          </w:tcPr>
          <w:p w14:paraId="3F7FA19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277,1</w:t>
            </w:r>
          </w:p>
        </w:tc>
        <w:tc>
          <w:tcPr>
            <w:tcW w:w="356" w:type="pct"/>
            <w:tcBorders>
              <w:top w:val="nil"/>
            </w:tcBorders>
            <w:shd w:val="clear" w:color="auto" w:fill="FFFFFF" w:themeFill="background1"/>
            <w:noWrap/>
            <w:hideMark/>
          </w:tcPr>
          <w:p w14:paraId="1E67E59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265,8</w:t>
            </w:r>
          </w:p>
        </w:tc>
        <w:tc>
          <w:tcPr>
            <w:tcW w:w="360" w:type="pct"/>
            <w:tcBorders>
              <w:top w:val="nil"/>
            </w:tcBorders>
            <w:shd w:val="clear" w:color="auto" w:fill="FFFFFF" w:themeFill="background1"/>
            <w:noWrap/>
            <w:hideMark/>
          </w:tcPr>
          <w:p w14:paraId="12DFBEB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2CA4BC7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6DFD5D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141C399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19D9C8B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11,3</w:t>
            </w:r>
          </w:p>
        </w:tc>
        <w:tc>
          <w:tcPr>
            <w:tcW w:w="372" w:type="pct"/>
            <w:tcBorders>
              <w:top w:val="nil"/>
            </w:tcBorders>
            <w:shd w:val="clear" w:color="auto" w:fill="FFFFFF" w:themeFill="background1"/>
            <w:noWrap/>
          </w:tcPr>
          <w:p w14:paraId="52F70307"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693C13D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8,0</w:t>
            </w:r>
          </w:p>
        </w:tc>
        <w:tc>
          <w:tcPr>
            <w:tcW w:w="372" w:type="pct"/>
            <w:tcBorders>
              <w:top w:val="nil"/>
            </w:tcBorders>
            <w:shd w:val="clear" w:color="auto" w:fill="FFFFFF" w:themeFill="background1"/>
            <w:noWrap/>
            <w:hideMark/>
          </w:tcPr>
          <w:p w14:paraId="40D2C37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tcPr>
          <w:p w14:paraId="70A1F00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2A0C3D5A"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7EFCFC67"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РФЗО</w:t>
            </w:r>
          </w:p>
        </w:tc>
        <w:tc>
          <w:tcPr>
            <w:tcW w:w="356" w:type="pct"/>
            <w:tcBorders>
              <w:top w:val="nil"/>
            </w:tcBorders>
            <w:shd w:val="clear" w:color="auto" w:fill="FFFFFF" w:themeFill="background1"/>
            <w:noWrap/>
            <w:hideMark/>
          </w:tcPr>
          <w:p w14:paraId="4A6BE8A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202,6</w:t>
            </w:r>
          </w:p>
        </w:tc>
        <w:tc>
          <w:tcPr>
            <w:tcW w:w="356" w:type="pct"/>
            <w:tcBorders>
              <w:top w:val="nil"/>
            </w:tcBorders>
            <w:shd w:val="clear" w:color="auto" w:fill="FFFFFF" w:themeFill="background1"/>
            <w:noWrap/>
            <w:hideMark/>
          </w:tcPr>
          <w:p w14:paraId="28C9954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88,0</w:t>
            </w:r>
          </w:p>
        </w:tc>
        <w:tc>
          <w:tcPr>
            <w:tcW w:w="360" w:type="pct"/>
            <w:tcBorders>
              <w:top w:val="nil"/>
            </w:tcBorders>
            <w:shd w:val="clear" w:color="auto" w:fill="FFFFFF" w:themeFill="background1"/>
            <w:noWrap/>
            <w:hideMark/>
          </w:tcPr>
          <w:p w14:paraId="5871991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8,9</w:t>
            </w:r>
          </w:p>
        </w:tc>
        <w:tc>
          <w:tcPr>
            <w:tcW w:w="348" w:type="pct"/>
            <w:tcBorders>
              <w:top w:val="nil"/>
            </w:tcBorders>
            <w:shd w:val="clear" w:color="auto" w:fill="FFFFFF" w:themeFill="background1"/>
            <w:noWrap/>
            <w:hideMark/>
          </w:tcPr>
          <w:p w14:paraId="190BEE3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3,4</w:t>
            </w:r>
          </w:p>
        </w:tc>
        <w:tc>
          <w:tcPr>
            <w:tcW w:w="372" w:type="pct"/>
            <w:tcBorders>
              <w:top w:val="nil"/>
            </w:tcBorders>
            <w:shd w:val="clear" w:color="auto" w:fill="FFFFFF" w:themeFill="background1"/>
            <w:noWrap/>
            <w:hideMark/>
          </w:tcPr>
          <w:p w14:paraId="79BD7C8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5,5</w:t>
            </w:r>
          </w:p>
        </w:tc>
        <w:tc>
          <w:tcPr>
            <w:tcW w:w="353" w:type="pct"/>
            <w:tcBorders>
              <w:top w:val="nil"/>
            </w:tcBorders>
            <w:shd w:val="clear" w:color="auto" w:fill="FFFFFF" w:themeFill="background1"/>
            <w:noWrap/>
            <w:hideMark/>
          </w:tcPr>
          <w:p w14:paraId="75603A9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07B5699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105,7</w:t>
            </w:r>
          </w:p>
        </w:tc>
        <w:tc>
          <w:tcPr>
            <w:tcW w:w="372" w:type="pct"/>
            <w:tcBorders>
              <w:top w:val="nil"/>
            </w:tcBorders>
            <w:shd w:val="clear" w:color="auto" w:fill="FFFFFF" w:themeFill="background1"/>
            <w:noWrap/>
            <w:hideMark/>
          </w:tcPr>
          <w:p w14:paraId="55A05D2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104,3</w:t>
            </w:r>
          </w:p>
        </w:tc>
        <w:tc>
          <w:tcPr>
            <w:tcW w:w="372" w:type="pct"/>
            <w:tcBorders>
              <w:top w:val="nil"/>
            </w:tcBorders>
            <w:shd w:val="clear" w:color="auto" w:fill="FFFFFF" w:themeFill="background1"/>
            <w:noWrap/>
          </w:tcPr>
          <w:p w14:paraId="0422B42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42670AB9"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1,4</w:t>
            </w:r>
          </w:p>
        </w:tc>
        <w:tc>
          <w:tcPr>
            <w:tcW w:w="372" w:type="pct"/>
            <w:tcBorders>
              <w:top w:val="nil"/>
            </w:tcBorders>
            <w:shd w:val="clear" w:color="auto" w:fill="FFFFFF" w:themeFill="background1"/>
            <w:noWrap/>
          </w:tcPr>
          <w:p w14:paraId="0613360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2F90C58B"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29A6FE0"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НСЗ</w:t>
            </w:r>
          </w:p>
        </w:tc>
        <w:tc>
          <w:tcPr>
            <w:tcW w:w="356" w:type="pct"/>
            <w:tcBorders>
              <w:top w:val="nil"/>
            </w:tcBorders>
            <w:shd w:val="clear" w:color="auto" w:fill="FFFFFF" w:themeFill="background1"/>
            <w:noWrap/>
            <w:hideMark/>
          </w:tcPr>
          <w:p w14:paraId="69C2B77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56" w:type="pct"/>
            <w:tcBorders>
              <w:top w:val="nil"/>
            </w:tcBorders>
            <w:shd w:val="clear" w:color="auto" w:fill="FFFFFF" w:themeFill="background1"/>
            <w:noWrap/>
            <w:hideMark/>
          </w:tcPr>
          <w:p w14:paraId="6E0561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0,8</w:t>
            </w:r>
          </w:p>
        </w:tc>
        <w:tc>
          <w:tcPr>
            <w:tcW w:w="360" w:type="pct"/>
            <w:tcBorders>
              <w:top w:val="nil"/>
            </w:tcBorders>
            <w:shd w:val="clear" w:color="auto" w:fill="FFFFFF" w:themeFill="background1"/>
            <w:noWrap/>
            <w:hideMark/>
          </w:tcPr>
          <w:p w14:paraId="5F7246E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3E16B88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08B0E34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50B563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1EF80DEC"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D3ACD3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43DF461E"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791BAE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CBBE6C4"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0B748A9C"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5FF74541"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Фонд СОВО</w:t>
            </w:r>
          </w:p>
        </w:tc>
        <w:tc>
          <w:tcPr>
            <w:tcW w:w="356" w:type="pct"/>
            <w:tcBorders>
              <w:top w:val="nil"/>
            </w:tcBorders>
            <w:shd w:val="clear" w:color="auto" w:fill="FFFFFF" w:themeFill="background1"/>
            <w:noWrap/>
            <w:hideMark/>
          </w:tcPr>
          <w:p w14:paraId="2C28ADB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w:t>
            </w:r>
          </w:p>
        </w:tc>
        <w:tc>
          <w:tcPr>
            <w:tcW w:w="356" w:type="pct"/>
            <w:tcBorders>
              <w:top w:val="nil"/>
            </w:tcBorders>
            <w:shd w:val="clear" w:color="auto" w:fill="FFFFFF" w:themeFill="background1"/>
            <w:noWrap/>
            <w:hideMark/>
          </w:tcPr>
          <w:p w14:paraId="2F9C72C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0,3</w:t>
            </w:r>
          </w:p>
        </w:tc>
        <w:tc>
          <w:tcPr>
            <w:tcW w:w="360" w:type="pct"/>
            <w:tcBorders>
              <w:top w:val="nil"/>
            </w:tcBorders>
            <w:shd w:val="clear" w:color="auto" w:fill="FFFFFF" w:themeFill="background1"/>
            <w:noWrap/>
            <w:hideMark/>
          </w:tcPr>
          <w:p w14:paraId="1FEB684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250D1410"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01C7653C"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598363D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hideMark/>
          </w:tcPr>
          <w:p w14:paraId="209A466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w:t>
            </w:r>
          </w:p>
        </w:tc>
        <w:tc>
          <w:tcPr>
            <w:tcW w:w="372" w:type="pct"/>
            <w:tcBorders>
              <w:top w:val="nil"/>
            </w:tcBorders>
            <w:shd w:val="clear" w:color="auto" w:fill="FFFFFF" w:themeFill="background1"/>
            <w:noWrap/>
            <w:hideMark/>
          </w:tcPr>
          <w:p w14:paraId="598B2A8A"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w:t>
            </w:r>
          </w:p>
        </w:tc>
        <w:tc>
          <w:tcPr>
            <w:tcW w:w="372" w:type="pct"/>
            <w:tcBorders>
              <w:top w:val="nil"/>
            </w:tcBorders>
            <w:shd w:val="clear" w:color="auto" w:fill="FFFFFF" w:themeFill="background1"/>
            <w:noWrap/>
          </w:tcPr>
          <w:p w14:paraId="4AEBE386"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6845B07"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EA50318"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p>
        </w:tc>
      </w:tr>
      <w:tr w:rsidR="00DD3DF0" w:rsidRPr="00671E8F" w14:paraId="0E7F167B"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10F642D0"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Остали нивои</w:t>
            </w:r>
          </w:p>
        </w:tc>
        <w:tc>
          <w:tcPr>
            <w:tcW w:w="356" w:type="pct"/>
            <w:tcBorders>
              <w:top w:val="nil"/>
            </w:tcBorders>
            <w:shd w:val="clear" w:color="auto" w:fill="FFFFFF" w:themeFill="background1"/>
            <w:noWrap/>
            <w:hideMark/>
          </w:tcPr>
          <w:p w14:paraId="526DEB9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56" w:type="pct"/>
            <w:tcBorders>
              <w:top w:val="nil"/>
            </w:tcBorders>
            <w:shd w:val="clear" w:color="auto" w:fill="FFFFFF" w:themeFill="background1"/>
            <w:noWrap/>
            <w:hideMark/>
          </w:tcPr>
          <w:p w14:paraId="5DF5063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60" w:type="pct"/>
            <w:tcBorders>
              <w:top w:val="nil"/>
            </w:tcBorders>
            <w:shd w:val="clear" w:color="auto" w:fill="FFFFFF" w:themeFill="background1"/>
            <w:noWrap/>
            <w:hideMark/>
          </w:tcPr>
          <w:p w14:paraId="1BFCEC9D"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48" w:type="pct"/>
            <w:tcBorders>
              <w:top w:val="nil"/>
            </w:tcBorders>
            <w:shd w:val="clear" w:color="auto" w:fill="FFFFFF" w:themeFill="background1"/>
            <w:noWrap/>
          </w:tcPr>
          <w:p w14:paraId="510DFB1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2066296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53" w:type="pct"/>
            <w:tcBorders>
              <w:top w:val="nil"/>
            </w:tcBorders>
            <w:shd w:val="clear" w:color="auto" w:fill="FFFFFF" w:themeFill="background1"/>
            <w:noWrap/>
            <w:hideMark/>
          </w:tcPr>
          <w:p w14:paraId="0A4E0C10"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F31808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591C96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8B95193"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387B547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c>
          <w:tcPr>
            <w:tcW w:w="372" w:type="pct"/>
            <w:tcBorders>
              <w:top w:val="nil"/>
            </w:tcBorders>
            <w:shd w:val="clear" w:color="auto" w:fill="FFFFFF" w:themeFill="background1"/>
            <w:noWrap/>
          </w:tcPr>
          <w:p w14:paraId="6E640775"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rPr>
            </w:pPr>
          </w:p>
        </w:tc>
      </w:tr>
      <w:tr w:rsidR="00DD3DF0" w:rsidRPr="00671E8F" w14:paraId="1D169016" w14:textId="77777777" w:rsidTr="00DD3DF0">
        <w:trPr>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tcBorders>
            <w:shd w:val="clear" w:color="auto" w:fill="FFFFFF" w:themeFill="background1"/>
            <w:noWrap/>
            <w:vAlign w:val="bottom"/>
            <w:hideMark/>
          </w:tcPr>
          <w:p w14:paraId="3C8E33A4" w14:textId="77777777" w:rsidR="00DD3DF0" w:rsidRPr="00671E8F" w:rsidRDefault="00DD3DF0" w:rsidP="00DD3DF0">
            <w:pPr>
              <w:tabs>
                <w:tab w:val="center" w:pos="4680"/>
                <w:tab w:val="right" w:pos="9360"/>
              </w:tabs>
              <w:rPr>
                <w:rFonts w:cstheme="minorHAnsi"/>
                <w:b w:val="0"/>
                <w:color w:val="002060"/>
                <w:sz w:val="14"/>
                <w:szCs w:val="14"/>
              </w:rPr>
            </w:pPr>
            <w:r w:rsidRPr="00671E8F">
              <w:rPr>
                <w:rFonts w:cstheme="minorHAnsi"/>
                <w:b w:val="0"/>
                <w:color w:val="002060"/>
                <w:sz w:val="14"/>
                <w:szCs w:val="14"/>
              </w:rPr>
              <w:t>Нето трансфери другим нивоима власти</w:t>
            </w:r>
          </w:p>
        </w:tc>
        <w:tc>
          <w:tcPr>
            <w:tcW w:w="356" w:type="pct"/>
            <w:tcBorders>
              <w:top w:val="nil"/>
            </w:tcBorders>
            <w:shd w:val="clear" w:color="auto" w:fill="FFFFFF" w:themeFill="background1"/>
            <w:noWrap/>
          </w:tcPr>
          <w:p w14:paraId="365FF4F1"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0,0</w:t>
            </w:r>
          </w:p>
        </w:tc>
        <w:tc>
          <w:tcPr>
            <w:tcW w:w="356" w:type="pct"/>
            <w:tcBorders>
              <w:top w:val="nil"/>
            </w:tcBorders>
            <w:shd w:val="clear" w:color="auto" w:fill="FFFFFF" w:themeFill="background1"/>
            <w:noWrap/>
            <w:hideMark/>
          </w:tcPr>
          <w:p w14:paraId="1A449DA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-425,1</w:t>
            </w:r>
          </w:p>
        </w:tc>
        <w:tc>
          <w:tcPr>
            <w:tcW w:w="360" w:type="pct"/>
            <w:tcBorders>
              <w:top w:val="nil"/>
            </w:tcBorders>
            <w:shd w:val="clear" w:color="auto" w:fill="FFFFFF" w:themeFill="background1"/>
            <w:noWrap/>
            <w:hideMark/>
          </w:tcPr>
          <w:p w14:paraId="5560591F"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18,2</w:t>
            </w:r>
          </w:p>
        </w:tc>
        <w:tc>
          <w:tcPr>
            <w:tcW w:w="348" w:type="pct"/>
            <w:tcBorders>
              <w:top w:val="nil"/>
            </w:tcBorders>
            <w:shd w:val="clear" w:color="auto" w:fill="FFFFFF" w:themeFill="background1"/>
            <w:noWrap/>
            <w:hideMark/>
          </w:tcPr>
          <w:p w14:paraId="6C47CB1B"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19,8</w:t>
            </w:r>
          </w:p>
        </w:tc>
        <w:tc>
          <w:tcPr>
            <w:tcW w:w="372" w:type="pct"/>
            <w:tcBorders>
              <w:top w:val="nil"/>
            </w:tcBorders>
            <w:shd w:val="clear" w:color="auto" w:fill="FFFFFF" w:themeFill="background1"/>
            <w:noWrap/>
            <w:hideMark/>
          </w:tcPr>
          <w:p w14:paraId="1947CAA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-1,5</w:t>
            </w:r>
          </w:p>
        </w:tc>
        <w:tc>
          <w:tcPr>
            <w:tcW w:w="353" w:type="pct"/>
            <w:tcBorders>
              <w:top w:val="nil"/>
            </w:tcBorders>
            <w:shd w:val="clear" w:color="auto" w:fill="FFFFFF" w:themeFill="background1"/>
            <w:noWrap/>
            <w:hideMark/>
          </w:tcPr>
          <w:p w14:paraId="7235A48E"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43,2</w:t>
            </w:r>
          </w:p>
        </w:tc>
        <w:tc>
          <w:tcPr>
            <w:tcW w:w="372" w:type="pct"/>
            <w:tcBorders>
              <w:top w:val="nil"/>
            </w:tcBorders>
            <w:shd w:val="clear" w:color="auto" w:fill="FFFFFF" w:themeFill="background1"/>
            <w:noWrap/>
            <w:hideMark/>
          </w:tcPr>
          <w:p w14:paraId="0EF6D78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363,7</w:t>
            </w:r>
          </w:p>
        </w:tc>
        <w:tc>
          <w:tcPr>
            <w:tcW w:w="372" w:type="pct"/>
            <w:tcBorders>
              <w:top w:val="nil"/>
            </w:tcBorders>
            <w:shd w:val="clear" w:color="auto" w:fill="FFFFFF" w:themeFill="background1"/>
            <w:noWrap/>
            <w:hideMark/>
          </w:tcPr>
          <w:p w14:paraId="2EB6CD94"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168,8</w:t>
            </w:r>
          </w:p>
        </w:tc>
        <w:tc>
          <w:tcPr>
            <w:tcW w:w="372" w:type="pct"/>
            <w:tcBorders>
              <w:top w:val="nil"/>
            </w:tcBorders>
            <w:shd w:val="clear" w:color="auto" w:fill="FFFFFF" w:themeFill="background1"/>
            <w:noWrap/>
            <w:hideMark/>
          </w:tcPr>
          <w:p w14:paraId="35F96C73"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194,6</w:t>
            </w:r>
          </w:p>
        </w:tc>
        <w:tc>
          <w:tcPr>
            <w:tcW w:w="372" w:type="pct"/>
            <w:tcBorders>
              <w:top w:val="nil"/>
            </w:tcBorders>
            <w:shd w:val="clear" w:color="auto" w:fill="FFFFFF" w:themeFill="background1"/>
            <w:noWrap/>
            <w:hideMark/>
          </w:tcPr>
          <w:p w14:paraId="3CC24EC5"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-4,0</w:t>
            </w:r>
          </w:p>
        </w:tc>
        <w:tc>
          <w:tcPr>
            <w:tcW w:w="372" w:type="pct"/>
            <w:tcBorders>
              <w:top w:val="nil"/>
            </w:tcBorders>
            <w:shd w:val="clear" w:color="auto" w:fill="FFFFFF" w:themeFill="background1"/>
            <w:noWrap/>
            <w:hideMark/>
          </w:tcPr>
          <w:p w14:paraId="0554B0FD" w14:textId="77777777" w:rsidR="00DD3DF0" w:rsidRPr="00671E8F" w:rsidRDefault="00DD3DF0" w:rsidP="00DD3DF0">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rPr>
            </w:pPr>
            <w:r w:rsidRPr="00671E8F">
              <w:rPr>
                <w:rFonts w:cstheme="minorHAnsi"/>
                <w:color w:val="002060"/>
                <w:sz w:val="14"/>
                <w:szCs w:val="14"/>
              </w:rPr>
              <w:t>4,3</w:t>
            </w:r>
          </w:p>
        </w:tc>
      </w:tr>
      <w:tr w:rsidR="00DD3DF0" w:rsidRPr="00671E8F" w14:paraId="6789BFA6" w14:textId="77777777" w:rsidTr="00DD3DF0">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994" w:type="pct"/>
            <w:tcBorders>
              <w:top w:val="nil"/>
              <w:bottom w:val="single" w:sz="4" w:space="0" w:color="auto"/>
            </w:tcBorders>
            <w:shd w:val="clear" w:color="auto" w:fill="BFBFBF" w:themeFill="background1" w:themeFillShade="BF"/>
            <w:noWrap/>
            <w:vAlign w:val="bottom"/>
            <w:hideMark/>
          </w:tcPr>
          <w:p w14:paraId="05A25BFC" w14:textId="77777777" w:rsidR="00DD3DF0" w:rsidRPr="00671E8F" w:rsidRDefault="00DD3DF0" w:rsidP="00DD3DF0">
            <w:pPr>
              <w:tabs>
                <w:tab w:val="center" w:pos="4680"/>
                <w:tab w:val="right" w:pos="9360"/>
              </w:tabs>
              <w:rPr>
                <w:rFonts w:cstheme="minorHAnsi"/>
                <w:color w:val="002060"/>
                <w:sz w:val="14"/>
                <w:szCs w:val="14"/>
              </w:rPr>
            </w:pPr>
            <w:r w:rsidRPr="00671E8F">
              <w:rPr>
                <w:rFonts w:cstheme="minorHAnsi"/>
                <w:color w:val="002060"/>
                <w:sz w:val="14"/>
                <w:szCs w:val="14"/>
              </w:rPr>
              <w:t>Фискални резултат</w:t>
            </w:r>
          </w:p>
        </w:tc>
        <w:tc>
          <w:tcPr>
            <w:tcW w:w="356" w:type="pct"/>
            <w:tcBorders>
              <w:top w:val="nil"/>
              <w:bottom w:val="single" w:sz="4" w:space="0" w:color="auto"/>
            </w:tcBorders>
            <w:shd w:val="clear" w:color="auto" w:fill="BFBFBF" w:themeFill="background1" w:themeFillShade="BF"/>
            <w:noWrap/>
            <w:hideMark/>
          </w:tcPr>
          <w:p w14:paraId="40AF8AAB"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-314,0</w:t>
            </w:r>
          </w:p>
        </w:tc>
        <w:tc>
          <w:tcPr>
            <w:tcW w:w="356" w:type="pct"/>
            <w:tcBorders>
              <w:top w:val="nil"/>
              <w:bottom w:val="single" w:sz="4" w:space="0" w:color="auto"/>
            </w:tcBorders>
            <w:shd w:val="clear" w:color="auto" w:fill="BFBFBF" w:themeFill="background1" w:themeFillShade="BF"/>
            <w:noWrap/>
            <w:hideMark/>
          </w:tcPr>
          <w:p w14:paraId="29679DD6"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-314,0</w:t>
            </w:r>
          </w:p>
        </w:tc>
        <w:tc>
          <w:tcPr>
            <w:tcW w:w="360" w:type="pct"/>
            <w:tcBorders>
              <w:top w:val="nil"/>
              <w:bottom w:val="single" w:sz="4" w:space="0" w:color="auto"/>
            </w:tcBorders>
            <w:shd w:val="clear" w:color="auto" w:fill="BFBFBF" w:themeFill="background1" w:themeFillShade="BF"/>
            <w:noWrap/>
            <w:hideMark/>
          </w:tcPr>
          <w:p w14:paraId="071EDAC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48" w:type="pct"/>
            <w:tcBorders>
              <w:top w:val="nil"/>
              <w:bottom w:val="single" w:sz="4" w:space="0" w:color="auto"/>
            </w:tcBorders>
            <w:shd w:val="clear" w:color="auto" w:fill="BFBFBF" w:themeFill="background1" w:themeFillShade="BF"/>
            <w:noWrap/>
            <w:hideMark/>
          </w:tcPr>
          <w:p w14:paraId="45BCF64A"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7D414C7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53" w:type="pct"/>
            <w:tcBorders>
              <w:top w:val="nil"/>
              <w:bottom w:val="single" w:sz="4" w:space="0" w:color="auto"/>
            </w:tcBorders>
            <w:shd w:val="clear" w:color="auto" w:fill="BFBFBF" w:themeFill="background1" w:themeFillShade="BF"/>
            <w:noWrap/>
            <w:hideMark/>
          </w:tcPr>
          <w:p w14:paraId="4D1FA4C2"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5200886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797DE721"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6E18C5A9"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4763DB28"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c>
          <w:tcPr>
            <w:tcW w:w="372" w:type="pct"/>
            <w:tcBorders>
              <w:top w:val="nil"/>
              <w:bottom w:val="single" w:sz="4" w:space="0" w:color="auto"/>
            </w:tcBorders>
            <w:shd w:val="clear" w:color="auto" w:fill="BFBFBF" w:themeFill="background1" w:themeFillShade="BF"/>
            <w:noWrap/>
            <w:hideMark/>
          </w:tcPr>
          <w:p w14:paraId="5CDB639F" w14:textId="77777777" w:rsidR="00DD3DF0" w:rsidRPr="00671E8F" w:rsidRDefault="00DD3DF0" w:rsidP="00DD3DF0">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rPr>
            </w:pPr>
            <w:r w:rsidRPr="00671E8F">
              <w:rPr>
                <w:rFonts w:cstheme="minorHAnsi"/>
                <w:b/>
                <w:color w:val="002060"/>
                <w:sz w:val="14"/>
                <w:szCs w:val="14"/>
              </w:rPr>
              <w:t>0,0</w:t>
            </w:r>
          </w:p>
        </w:tc>
      </w:tr>
    </w:tbl>
    <w:p w14:paraId="6D3E73EF" w14:textId="008798B7" w:rsidR="00451AC9" w:rsidRPr="00671E8F" w:rsidRDefault="00DD3DF0" w:rsidP="008D6E71">
      <w:pPr>
        <w:tabs>
          <w:tab w:val="center" w:pos="4680"/>
          <w:tab w:val="right" w:pos="9360"/>
        </w:tabs>
        <w:spacing w:before="40" w:after="60" w:line="240" w:lineRule="auto"/>
        <w:ind w:right="340"/>
        <w:rPr>
          <w:rFonts w:cstheme="minorHAnsi"/>
          <w:sz w:val="16"/>
          <w:szCs w:val="16"/>
        </w:rPr>
      </w:pPr>
      <w:r w:rsidRPr="00671E8F">
        <w:rPr>
          <w:rFonts w:cstheme="minorHAnsi"/>
          <w:sz w:val="16"/>
          <w:szCs w:val="16"/>
        </w:rPr>
        <w:t>У табели је приказан оквирни износ прихода и расхода у 2023. години који је у већој мери заснован на статистичкој методологији рачуна јавних финансија него на рачуноводственој. Будући да током буџетског процеса може доћи до измена у висини и структури појединих категорија, ови и</w:t>
      </w:r>
      <w:r w:rsidR="008D6E71" w:rsidRPr="00671E8F">
        <w:rPr>
          <w:rFonts w:cstheme="minorHAnsi"/>
          <w:sz w:val="16"/>
          <w:szCs w:val="16"/>
        </w:rPr>
        <w:t>зноси нису законски обавезујући</w:t>
      </w:r>
    </w:p>
    <w:p w14:paraId="426F530D" w14:textId="0C804690" w:rsidR="002A7EA9" w:rsidRPr="00671E8F" w:rsidRDefault="00512331" w:rsidP="00BC55A8">
      <w:pPr>
        <w:pStyle w:val="Heading1"/>
        <w:spacing w:after="160"/>
        <w:rPr>
          <w:rFonts w:asciiTheme="minorHAnsi" w:hAnsiTheme="minorHAnsi" w:cstheme="minorHAnsi"/>
          <w:color w:val="002060"/>
          <w:sz w:val="24"/>
          <w:szCs w:val="26"/>
        </w:rPr>
      </w:pPr>
      <w:bookmarkStart w:id="97" w:name="_Toc181190977"/>
      <w:r w:rsidRPr="00671E8F">
        <w:rPr>
          <w:rFonts w:asciiTheme="minorHAnsi" w:hAnsiTheme="minorHAnsi" w:cstheme="minorHAnsi"/>
          <w:color w:val="002060"/>
          <w:sz w:val="24"/>
          <w:szCs w:val="26"/>
        </w:rPr>
        <w:lastRenderedPageBreak/>
        <w:t xml:space="preserve">Прилог 3 – Преглед </w:t>
      </w:r>
      <w:r w:rsidR="00847EDA" w:rsidRPr="00671E8F">
        <w:rPr>
          <w:rFonts w:asciiTheme="minorHAnsi" w:hAnsiTheme="minorHAnsi" w:cstheme="minorHAnsi"/>
          <w:color w:val="002060"/>
          <w:sz w:val="24"/>
          <w:szCs w:val="26"/>
        </w:rPr>
        <w:t xml:space="preserve">инвестиционих </w:t>
      </w:r>
      <w:r w:rsidRPr="00671E8F">
        <w:rPr>
          <w:rFonts w:asciiTheme="minorHAnsi" w:hAnsiTheme="minorHAnsi" w:cstheme="minorHAnsi"/>
          <w:color w:val="002060"/>
          <w:sz w:val="24"/>
          <w:szCs w:val="26"/>
        </w:rPr>
        <w:t xml:space="preserve">пројеката у републичком буџету </w:t>
      </w:r>
      <w:r w:rsidR="00351B52" w:rsidRPr="00671E8F">
        <w:rPr>
          <w:rFonts w:asciiTheme="minorHAnsi" w:hAnsiTheme="minorHAnsi" w:cstheme="minorHAnsi"/>
          <w:color w:val="002060"/>
          <w:sz w:val="24"/>
          <w:szCs w:val="26"/>
        </w:rPr>
        <w:t>–</w:t>
      </w:r>
      <w:r w:rsidRPr="00671E8F">
        <w:rPr>
          <w:rFonts w:asciiTheme="minorHAnsi" w:hAnsiTheme="minorHAnsi" w:cstheme="minorHAnsi"/>
          <w:color w:val="002060"/>
          <w:sz w:val="24"/>
          <w:szCs w:val="26"/>
        </w:rPr>
        <w:t xml:space="preserve"> издаци за нефинансијску имовину</w:t>
      </w:r>
      <w:r w:rsidR="00847EDA" w:rsidRPr="00671E8F">
        <w:rPr>
          <w:rFonts w:asciiTheme="minorHAnsi" w:hAnsiTheme="minorHAnsi" w:cstheme="minorHAnsi"/>
          <w:color w:val="002060"/>
          <w:sz w:val="24"/>
          <w:szCs w:val="26"/>
        </w:rPr>
        <w:t xml:space="preserve"> (изнад 20 милиона евра)</w:t>
      </w:r>
      <w:bookmarkEnd w:id="97"/>
    </w:p>
    <w:tbl>
      <w:tblPr>
        <w:tblStyle w:val="TableGrid"/>
        <w:tblW w:w="15192" w:type="dxa"/>
        <w:tblInd w:w="-455" w:type="dxa"/>
        <w:tblLook w:val="04A0" w:firstRow="1" w:lastRow="0" w:firstColumn="1" w:lastColumn="0" w:noHBand="0" w:noVBand="1"/>
      </w:tblPr>
      <w:tblGrid>
        <w:gridCol w:w="487"/>
        <w:gridCol w:w="1049"/>
        <w:gridCol w:w="3253"/>
        <w:gridCol w:w="1731"/>
        <w:gridCol w:w="1868"/>
        <w:gridCol w:w="1701"/>
        <w:gridCol w:w="1701"/>
        <w:gridCol w:w="1654"/>
        <w:gridCol w:w="1748"/>
      </w:tblGrid>
      <w:tr w:rsidR="00BC55A8" w:rsidRPr="00671E8F" w14:paraId="08E3E3AC" w14:textId="77777777" w:rsidTr="00BC55A8">
        <w:trPr>
          <w:trHeight w:val="1035"/>
          <w:tblHeader/>
        </w:trPr>
        <w:tc>
          <w:tcPr>
            <w:tcW w:w="487" w:type="dxa"/>
            <w:shd w:val="clear" w:color="auto" w:fill="D9E2F3" w:themeFill="accent1" w:themeFillTint="33"/>
            <w:vAlign w:val="center"/>
            <w:hideMark/>
          </w:tcPr>
          <w:p w14:paraId="191EFCE6" w14:textId="78485E1E" w:rsidR="00BC55A8" w:rsidRPr="00671E8F" w:rsidRDefault="00BC55A8" w:rsidP="00BC55A8">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Р. бр.</w:t>
            </w:r>
          </w:p>
        </w:tc>
        <w:tc>
          <w:tcPr>
            <w:tcW w:w="1049" w:type="dxa"/>
            <w:shd w:val="clear" w:color="auto" w:fill="D9E2F3" w:themeFill="accent1" w:themeFillTint="33"/>
            <w:vAlign w:val="center"/>
            <w:hideMark/>
          </w:tcPr>
          <w:p w14:paraId="54D8CB56"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Шифра пројекта</w:t>
            </w:r>
          </w:p>
        </w:tc>
        <w:tc>
          <w:tcPr>
            <w:tcW w:w="3253" w:type="dxa"/>
            <w:shd w:val="clear" w:color="auto" w:fill="D9E2F3" w:themeFill="accent1" w:themeFillTint="33"/>
            <w:vAlign w:val="center"/>
            <w:hideMark/>
          </w:tcPr>
          <w:p w14:paraId="1BFD7C89"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Назив капиталног пројекта</w:t>
            </w:r>
          </w:p>
        </w:tc>
        <w:tc>
          <w:tcPr>
            <w:tcW w:w="1731" w:type="dxa"/>
            <w:shd w:val="clear" w:color="auto" w:fill="D9E2F3" w:themeFill="accent1" w:themeFillTint="33"/>
            <w:vAlign w:val="center"/>
            <w:hideMark/>
          </w:tcPr>
          <w:p w14:paraId="669F4286"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Трошак до 2024. год.</w:t>
            </w:r>
          </w:p>
        </w:tc>
        <w:tc>
          <w:tcPr>
            <w:tcW w:w="1868" w:type="dxa"/>
            <w:shd w:val="clear" w:color="auto" w:fill="D9E2F3" w:themeFill="accent1" w:themeFillTint="33"/>
            <w:vAlign w:val="center"/>
            <w:hideMark/>
          </w:tcPr>
          <w:p w14:paraId="06C7F5B6"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Процењени трошак у 2024. год.</w:t>
            </w:r>
          </w:p>
        </w:tc>
        <w:tc>
          <w:tcPr>
            <w:tcW w:w="1701" w:type="dxa"/>
            <w:shd w:val="clear" w:color="auto" w:fill="D9E2F3" w:themeFill="accent1" w:themeFillTint="33"/>
            <w:vAlign w:val="center"/>
            <w:hideMark/>
          </w:tcPr>
          <w:p w14:paraId="4029F13A"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Буџетирани износ у 2025. год.</w:t>
            </w:r>
          </w:p>
        </w:tc>
        <w:tc>
          <w:tcPr>
            <w:tcW w:w="1701" w:type="dxa"/>
            <w:shd w:val="clear" w:color="auto" w:fill="D9E2F3" w:themeFill="accent1" w:themeFillTint="33"/>
            <w:vAlign w:val="center"/>
            <w:hideMark/>
          </w:tcPr>
          <w:p w14:paraId="24181B0F"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Пројектовани трошак у 2026. год.</w:t>
            </w:r>
          </w:p>
        </w:tc>
        <w:tc>
          <w:tcPr>
            <w:tcW w:w="1654" w:type="dxa"/>
            <w:shd w:val="clear" w:color="auto" w:fill="D9E2F3" w:themeFill="accent1" w:themeFillTint="33"/>
            <w:vAlign w:val="center"/>
            <w:hideMark/>
          </w:tcPr>
          <w:p w14:paraId="4BD2D1E2"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Пројектовани трошак у 2027. год.</w:t>
            </w:r>
          </w:p>
        </w:tc>
        <w:tc>
          <w:tcPr>
            <w:tcW w:w="1748" w:type="dxa"/>
            <w:shd w:val="clear" w:color="auto" w:fill="D9E2F3" w:themeFill="accent1" w:themeFillTint="33"/>
            <w:vAlign w:val="center"/>
            <w:hideMark/>
          </w:tcPr>
          <w:p w14:paraId="71CAB738" w14:textId="77777777" w:rsidR="00BC55A8" w:rsidRPr="00671E8F" w:rsidRDefault="00BC55A8" w:rsidP="00351B52">
            <w:pPr>
              <w:jc w:val="center"/>
              <w:rPr>
                <w:rFonts w:ascii="Calibri" w:eastAsia="Times New Roman" w:hAnsi="Calibri" w:cs="Calibri"/>
                <w:b/>
                <w:bCs/>
                <w:i/>
                <w:iCs/>
                <w:color w:val="002060"/>
                <w:szCs w:val="20"/>
              </w:rPr>
            </w:pPr>
            <w:r w:rsidRPr="00671E8F">
              <w:rPr>
                <w:rFonts w:ascii="Calibri" w:eastAsia="Times New Roman" w:hAnsi="Calibri" w:cs="Calibri"/>
                <w:b/>
                <w:bCs/>
                <w:i/>
                <w:iCs/>
                <w:color w:val="002060"/>
                <w:szCs w:val="20"/>
              </w:rPr>
              <w:t>Процењена укупна вредност пројекта</w:t>
            </w:r>
          </w:p>
        </w:tc>
      </w:tr>
      <w:tr w:rsidR="00BC55A8" w:rsidRPr="00671E8F" w14:paraId="522B978C" w14:textId="77777777" w:rsidTr="00BC55A8">
        <w:trPr>
          <w:trHeight w:val="255"/>
        </w:trPr>
        <w:tc>
          <w:tcPr>
            <w:tcW w:w="487" w:type="dxa"/>
            <w:noWrap/>
            <w:vAlign w:val="center"/>
            <w:hideMark/>
          </w:tcPr>
          <w:p w14:paraId="29A1E89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w:t>
            </w:r>
          </w:p>
        </w:tc>
        <w:tc>
          <w:tcPr>
            <w:tcW w:w="1049" w:type="dxa"/>
            <w:noWrap/>
            <w:vAlign w:val="center"/>
            <w:hideMark/>
          </w:tcPr>
          <w:p w14:paraId="4363ED8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5001</w:t>
            </w:r>
          </w:p>
        </w:tc>
        <w:tc>
          <w:tcPr>
            <w:tcW w:w="3253" w:type="dxa"/>
            <w:vAlign w:val="center"/>
            <w:hideMark/>
          </w:tcPr>
          <w:p w14:paraId="6B9C0844"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Набавка опреме,изградња хангара и пратећих објеката</w:t>
            </w:r>
          </w:p>
        </w:tc>
        <w:tc>
          <w:tcPr>
            <w:tcW w:w="1731" w:type="dxa"/>
            <w:noWrap/>
            <w:vAlign w:val="center"/>
            <w:hideMark/>
          </w:tcPr>
          <w:p w14:paraId="5BF609B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893.935.544</w:t>
            </w:r>
          </w:p>
        </w:tc>
        <w:tc>
          <w:tcPr>
            <w:tcW w:w="1868" w:type="dxa"/>
            <w:noWrap/>
            <w:vAlign w:val="center"/>
            <w:hideMark/>
          </w:tcPr>
          <w:p w14:paraId="08DEC83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980.171.000</w:t>
            </w:r>
          </w:p>
        </w:tc>
        <w:tc>
          <w:tcPr>
            <w:tcW w:w="1701" w:type="dxa"/>
            <w:noWrap/>
            <w:vAlign w:val="center"/>
            <w:hideMark/>
          </w:tcPr>
          <w:p w14:paraId="65B36B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5.486.437.000</w:t>
            </w:r>
          </w:p>
        </w:tc>
        <w:tc>
          <w:tcPr>
            <w:tcW w:w="1701" w:type="dxa"/>
            <w:noWrap/>
            <w:vAlign w:val="center"/>
            <w:hideMark/>
          </w:tcPr>
          <w:p w14:paraId="2F255EF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992.089.271</w:t>
            </w:r>
          </w:p>
        </w:tc>
        <w:tc>
          <w:tcPr>
            <w:tcW w:w="1654" w:type="dxa"/>
            <w:noWrap/>
            <w:vAlign w:val="center"/>
            <w:hideMark/>
          </w:tcPr>
          <w:p w14:paraId="47B9343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271455C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8.352.632.815</w:t>
            </w:r>
          </w:p>
        </w:tc>
      </w:tr>
      <w:tr w:rsidR="00BC55A8" w:rsidRPr="00671E8F" w14:paraId="4A88C7A3" w14:textId="77777777" w:rsidTr="00BC55A8">
        <w:trPr>
          <w:trHeight w:val="255"/>
        </w:trPr>
        <w:tc>
          <w:tcPr>
            <w:tcW w:w="487" w:type="dxa"/>
            <w:noWrap/>
            <w:vAlign w:val="center"/>
            <w:hideMark/>
          </w:tcPr>
          <w:p w14:paraId="6D61B10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w:t>
            </w:r>
          </w:p>
        </w:tc>
        <w:tc>
          <w:tcPr>
            <w:tcW w:w="1049" w:type="dxa"/>
            <w:noWrap/>
            <w:vAlign w:val="center"/>
            <w:hideMark/>
          </w:tcPr>
          <w:p w14:paraId="57D1F55F"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5073</w:t>
            </w:r>
          </w:p>
        </w:tc>
        <w:tc>
          <w:tcPr>
            <w:tcW w:w="3253" w:type="dxa"/>
            <w:vAlign w:val="center"/>
            <w:hideMark/>
          </w:tcPr>
          <w:p w14:paraId="2CBF1973"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Националног фудбалског стадиона</w:t>
            </w:r>
          </w:p>
        </w:tc>
        <w:tc>
          <w:tcPr>
            <w:tcW w:w="1731" w:type="dxa"/>
            <w:noWrap/>
            <w:vAlign w:val="center"/>
            <w:hideMark/>
          </w:tcPr>
          <w:p w14:paraId="3A4025B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7.600.000.000</w:t>
            </w:r>
          </w:p>
        </w:tc>
        <w:tc>
          <w:tcPr>
            <w:tcW w:w="1868" w:type="dxa"/>
            <w:noWrap/>
            <w:vAlign w:val="center"/>
            <w:hideMark/>
          </w:tcPr>
          <w:p w14:paraId="49F4E97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20.100.000.000</w:t>
            </w:r>
          </w:p>
        </w:tc>
        <w:tc>
          <w:tcPr>
            <w:tcW w:w="1701" w:type="dxa"/>
            <w:noWrap/>
            <w:vAlign w:val="center"/>
            <w:hideMark/>
          </w:tcPr>
          <w:p w14:paraId="53ADC60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18.600.000.000</w:t>
            </w:r>
          </w:p>
        </w:tc>
        <w:tc>
          <w:tcPr>
            <w:tcW w:w="1701" w:type="dxa"/>
            <w:noWrap/>
            <w:vAlign w:val="center"/>
            <w:hideMark/>
          </w:tcPr>
          <w:p w14:paraId="4C93238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21.200.000.000</w:t>
            </w:r>
          </w:p>
        </w:tc>
        <w:tc>
          <w:tcPr>
            <w:tcW w:w="1654" w:type="dxa"/>
            <w:noWrap/>
            <w:vAlign w:val="center"/>
            <w:hideMark/>
          </w:tcPr>
          <w:p w14:paraId="43C5FCB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1D7C745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67.500.000.000</w:t>
            </w:r>
          </w:p>
        </w:tc>
      </w:tr>
      <w:tr w:rsidR="00BC55A8" w:rsidRPr="00671E8F" w14:paraId="5B202416" w14:textId="77777777" w:rsidTr="00BC55A8">
        <w:trPr>
          <w:trHeight w:val="255"/>
        </w:trPr>
        <w:tc>
          <w:tcPr>
            <w:tcW w:w="487" w:type="dxa"/>
            <w:noWrap/>
            <w:vAlign w:val="center"/>
            <w:hideMark/>
          </w:tcPr>
          <w:p w14:paraId="7C5F865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w:t>
            </w:r>
          </w:p>
        </w:tc>
        <w:tc>
          <w:tcPr>
            <w:tcW w:w="1049" w:type="dxa"/>
            <w:noWrap/>
            <w:vAlign w:val="center"/>
            <w:hideMark/>
          </w:tcPr>
          <w:p w14:paraId="77B288E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5088</w:t>
            </w:r>
          </w:p>
        </w:tc>
        <w:tc>
          <w:tcPr>
            <w:tcW w:w="3253" w:type="dxa"/>
            <w:vAlign w:val="center"/>
            <w:hideMark/>
          </w:tcPr>
          <w:p w14:paraId="173C0913"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Линијска инфраструктура</w:t>
            </w:r>
          </w:p>
        </w:tc>
        <w:tc>
          <w:tcPr>
            <w:tcW w:w="1731" w:type="dxa"/>
            <w:noWrap/>
            <w:vAlign w:val="center"/>
            <w:hideMark/>
          </w:tcPr>
          <w:p w14:paraId="7534E60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10.100.000.000</w:t>
            </w:r>
          </w:p>
        </w:tc>
        <w:tc>
          <w:tcPr>
            <w:tcW w:w="1868" w:type="dxa"/>
            <w:noWrap/>
            <w:vAlign w:val="center"/>
            <w:hideMark/>
          </w:tcPr>
          <w:p w14:paraId="096AA43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6.200.000.000</w:t>
            </w:r>
          </w:p>
        </w:tc>
        <w:tc>
          <w:tcPr>
            <w:tcW w:w="1701" w:type="dxa"/>
            <w:noWrap/>
            <w:vAlign w:val="center"/>
            <w:hideMark/>
          </w:tcPr>
          <w:p w14:paraId="5B2AB90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12.400.000.000</w:t>
            </w:r>
          </w:p>
        </w:tc>
        <w:tc>
          <w:tcPr>
            <w:tcW w:w="1701" w:type="dxa"/>
            <w:noWrap/>
            <w:vAlign w:val="center"/>
            <w:hideMark/>
          </w:tcPr>
          <w:p w14:paraId="1108523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11.800.000.000</w:t>
            </w:r>
          </w:p>
        </w:tc>
        <w:tc>
          <w:tcPr>
            <w:tcW w:w="1654" w:type="dxa"/>
            <w:noWrap/>
            <w:vAlign w:val="center"/>
            <w:hideMark/>
          </w:tcPr>
          <w:p w14:paraId="07464B8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2ECBCA6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40.500.000.000</w:t>
            </w:r>
          </w:p>
        </w:tc>
      </w:tr>
      <w:tr w:rsidR="00BC55A8" w:rsidRPr="00671E8F" w14:paraId="251664E8" w14:textId="77777777" w:rsidTr="00BC55A8">
        <w:trPr>
          <w:trHeight w:val="510"/>
        </w:trPr>
        <w:tc>
          <w:tcPr>
            <w:tcW w:w="487" w:type="dxa"/>
            <w:noWrap/>
            <w:vAlign w:val="center"/>
            <w:hideMark/>
          </w:tcPr>
          <w:p w14:paraId="7B153DF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w:t>
            </w:r>
          </w:p>
        </w:tc>
        <w:tc>
          <w:tcPr>
            <w:tcW w:w="1049" w:type="dxa"/>
            <w:noWrap/>
            <w:vAlign w:val="center"/>
            <w:hideMark/>
          </w:tcPr>
          <w:p w14:paraId="78F68AEF"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5081</w:t>
            </w:r>
          </w:p>
        </w:tc>
        <w:tc>
          <w:tcPr>
            <w:tcW w:w="3253" w:type="dxa"/>
            <w:vAlign w:val="center"/>
            <w:hideMark/>
          </w:tcPr>
          <w:p w14:paraId="253CF62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EXPO Београд 2027 - Београдски сајам, Зона Б (форум, изложбени простори, паркинг, уређење), Пословна зона Е, топлотни извор</w:t>
            </w:r>
          </w:p>
        </w:tc>
        <w:tc>
          <w:tcPr>
            <w:tcW w:w="1731" w:type="dxa"/>
            <w:noWrap/>
            <w:vAlign w:val="center"/>
            <w:hideMark/>
          </w:tcPr>
          <w:p w14:paraId="2EBCDFD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3.092.787.755</w:t>
            </w:r>
          </w:p>
        </w:tc>
        <w:tc>
          <w:tcPr>
            <w:tcW w:w="1868" w:type="dxa"/>
            <w:noWrap/>
            <w:vAlign w:val="center"/>
            <w:hideMark/>
          </w:tcPr>
          <w:p w14:paraId="1EE4C7A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43.000.000.000</w:t>
            </w:r>
          </w:p>
        </w:tc>
        <w:tc>
          <w:tcPr>
            <w:tcW w:w="1701" w:type="dxa"/>
            <w:noWrap/>
            <w:vAlign w:val="center"/>
            <w:hideMark/>
          </w:tcPr>
          <w:p w14:paraId="49CC052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46.000.000.000</w:t>
            </w:r>
          </w:p>
        </w:tc>
        <w:tc>
          <w:tcPr>
            <w:tcW w:w="1701" w:type="dxa"/>
            <w:noWrap/>
            <w:vAlign w:val="center"/>
            <w:hideMark/>
          </w:tcPr>
          <w:p w14:paraId="32EE2E1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47.500.000.000</w:t>
            </w:r>
          </w:p>
        </w:tc>
        <w:tc>
          <w:tcPr>
            <w:tcW w:w="1654" w:type="dxa"/>
            <w:noWrap/>
            <w:vAlign w:val="center"/>
            <w:hideMark/>
          </w:tcPr>
          <w:p w14:paraId="766BE7E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24AD3D5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139.592.787.755</w:t>
            </w:r>
          </w:p>
        </w:tc>
      </w:tr>
      <w:tr w:rsidR="00BC55A8" w:rsidRPr="00671E8F" w14:paraId="711A31DC" w14:textId="77777777" w:rsidTr="00BC55A8">
        <w:trPr>
          <w:trHeight w:val="255"/>
        </w:trPr>
        <w:tc>
          <w:tcPr>
            <w:tcW w:w="487" w:type="dxa"/>
            <w:noWrap/>
            <w:vAlign w:val="center"/>
            <w:hideMark/>
          </w:tcPr>
          <w:p w14:paraId="6729E44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w:t>
            </w:r>
          </w:p>
        </w:tc>
        <w:tc>
          <w:tcPr>
            <w:tcW w:w="1049" w:type="dxa"/>
            <w:noWrap/>
            <w:vAlign w:val="center"/>
            <w:hideMark/>
          </w:tcPr>
          <w:p w14:paraId="4D2698DC"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5086</w:t>
            </w:r>
          </w:p>
        </w:tc>
        <w:tc>
          <w:tcPr>
            <w:tcW w:w="3253" w:type="dxa"/>
            <w:vAlign w:val="center"/>
            <w:hideMark/>
          </w:tcPr>
          <w:p w14:paraId="5CC3047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Тунел од Карађорђеве улице до Дунавске падине</w:t>
            </w:r>
          </w:p>
        </w:tc>
        <w:tc>
          <w:tcPr>
            <w:tcW w:w="1731" w:type="dxa"/>
            <w:noWrap/>
            <w:vAlign w:val="center"/>
            <w:hideMark/>
          </w:tcPr>
          <w:p w14:paraId="408E38B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2B21CFB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4B2B860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6.000.000.000</w:t>
            </w:r>
          </w:p>
        </w:tc>
        <w:tc>
          <w:tcPr>
            <w:tcW w:w="1701" w:type="dxa"/>
            <w:noWrap/>
            <w:vAlign w:val="center"/>
            <w:hideMark/>
          </w:tcPr>
          <w:p w14:paraId="5FC100B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654" w:type="dxa"/>
            <w:noWrap/>
            <w:vAlign w:val="center"/>
            <w:hideMark/>
          </w:tcPr>
          <w:p w14:paraId="0A44A4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748" w:type="dxa"/>
            <w:noWrap/>
            <w:vAlign w:val="center"/>
            <w:hideMark/>
          </w:tcPr>
          <w:p w14:paraId="065B215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26.000.000.000</w:t>
            </w:r>
          </w:p>
        </w:tc>
      </w:tr>
      <w:tr w:rsidR="00BC55A8" w:rsidRPr="00671E8F" w14:paraId="3F78A655" w14:textId="77777777" w:rsidTr="00BC55A8">
        <w:trPr>
          <w:trHeight w:val="255"/>
        </w:trPr>
        <w:tc>
          <w:tcPr>
            <w:tcW w:w="487" w:type="dxa"/>
            <w:noWrap/>
            <w:vAlign w:val="center"/>
            <w:hideMark/>
          </w:tcPr>
          <w:p w14:paraId="14F7B46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w:t>
            </w:r>
          </w:p>
        </w:tc>
        <w:tc>
          <w:tcPr>
            <w:tcW w:w="1049" w:type="dxa"/>
            <w:noWrap/>
            <w:vAlign w:val="center"/>
            <w:hideMark/>
          </w:tcPr>
          <w:p w14:paraId="7DD12B22"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5008</w:t>
            </w:r>
          </w:p>
        </w:tc>
        <w:tc>
          <w:tcPr>
            <w:tcW w:w="3253" w:type="dxa"/>
            <w:vAlign w:val="center"/>
            <w:hideMark/>
          </w:tcPr>
          <w:p w14:paraId="5C70B56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Брза саобраћајница Iб реда Нови Сад-Рума</w:t>
            </w:r>
          </w:p>
        </w:tc>
        <w:tc>
          <w:tcPr>
            <w:tcW w:w="1731" w:type="dxa"/>
            <w:noWrap/>
            <w:vAlign w:val="center"/>
            <w:hideMark/>
          </w:tcPr>
          <w:p w14:paraId="6AEB382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29.263.012.962</w:t>
            </w:r>
          </w:p>
        </w:tc>
        <w:tc>
          <w:tcPr>
            <w:tcW w:w="1868" w:type="dxa"/>
            <w:noWrap/>
            <w:vAlign w:val="center"/>
            <w:hideMark/>
          </w:tcPr>
          <w:p w14:paraId="5CD6424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13.691.831.000</w:t>
            </w:r>
          </w:p>
        </w:tc>
        <w:tc>
          <w:tcPr>
            <w:tcW w:w="1701" w:type="dxa"/>
            <w:noWrap/>
            <w:vAlign w:val="center"/>
            <w:hideMark/>
          </w:tcPr>
          <w:p w14:paraId="22B97F6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15.800.000.000</w:t>
            </w:r>
          </w:p>
        </w:tc>
        <w:tc>
          <w:tcPr>
            <w:tcW w:w="1701" w:type="dxa"/>
            <w:noWrap/>
            <w:vAlign w:val="center"/>
            <w:hideMark/>
          </w:tcPr>
          <w:p w14:paraId="415A461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15.600.000.000</w:t>
            </w:r>
          </w:p>
        </w:tc>
        <w:tc>
          <w:tcPr>
            <w:tcW w:w="1654" w:type="dxa"/>
            <w:noWrap/>
            <w:vAlign w:val="center"/>
            <w:hideMark/>
          </w:tcPr>
          <w:p w14:paraId="3F3F19B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72C9B6D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74.354.843.962</w:t>
            </w:r>
          </w:p>
        </w:tc>
      </w:tr>
      <w:tr w:rsidR="00BC55A8" w:rsidRPr="00671E8F" w14:paraId="71885718" w14:textId="77777777" w:rsidTr="00BC55A8">
        <w:trPr>
          <w:trHeight w:val="255"/>
        </w:trPr>
        <w:tc>
          <w:tcPr>
            <w:tcW w:w="487" w:type="dxa"/>
            <w:noWrap/>
            <w:vAlign w:val="center"/>
            <w:hideMark/>
          </w:tcPr>
          <w:p w14:paraId="1291DC5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w:t>
            </w:r>
          </w:p>
        </w:tc>
        <w:tc>
          <w:tcPr>
            <w:tcW w:w="1049" w:type="dxa"/>
            <w:noWrap/>
            <w:vAlign w:val="center"/>
            <w:hideMark/>
          </w:tcPr>
          <w:p w14:paraId="00BE4701"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5015</w:t>
            </w:r>
          </w:p>
        </w:tc>
        <w:tc>
          <w:tcPr>
            <w:tcW w:w="3253" w:type="dxa"/>
            <w:vAlign w:val="center"/>
            <w:hideMark/>
          </w:tcPr>
          <w:p w14:paraId="1EB6A59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Пројекат мађарско - српске железнице</w:t>
            </w:r>
          </w:p>
        </w:tc>
        <w:tc>
          <w:tcPr>
            <w:tcW w:w="1731" w:type="dxa"/>
            <w:noWrap/>
            <w:vAlign w:val="center"/>
            <w:hideMark/>
          </w:tcPr>
          <w:p w14:paraId="5FFB5C7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93.055.560.075</w:t>
            </w:r>
          </w:p>
        </w:tc>
        <w:tc>
          <w:tcPr>
            <w:tcW w:w="1868" w:type="dxa"/>
            <w:noWrap/>
            <w:vAlign w:val="center"/>
            <w:hideMark/>
          </w:tcPr>
          <w:p w14:paraId="4917E31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39.429.433.000</w:t>
            </w:r>
          </w:p>
        </w:tc>
        <w:tc>
          <w:tcPr>
            <w:tcW w:w="1701" w:type="dxa"/>
            <w:noWrap/>
            <w:vAlign w:val="center"/>
            <w:hideMark/>
          </w:tcPr>
          <w:p w14:paraId="346FCA0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17.989.622.000</w:t>
            </w:r>
          </w:p>
        </w:tc>
        <w:tc>
          <w:tcPr>
            <w:tcW w:w="1701" w:type="dxa"/>
            <w:noWrap/>
            <w:vAlign w:val="center"/>
            <w:hideMark/>
          </w:tcPr>
          <w:p w14:paraId="3FA5BB1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654" w:type="dxa"/>
            <w:noWrap/>
            <w:vAlign w:val="center"/>
            <w:hideMark/>
          </w:tcPr>
          <w:p w14:paraId="54065D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13319E0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155.474.615.075</w:t>
            </w:r>
          </w:p>
        </w:tc>
      </w:tr>
      <w:tr w:rsidR="00BC55A8" w:rsidRPr="00671E8F" w14:paraId="7CAD859C" w14:textId="77777777" w:rsidTr="00BC55A8">
        <w:trPr>
          <w:trHeight w:val="510"/>
        </w:trPr>
        <w:tc>
          <w:tcPr>
            <w:tcW w:w="487" w:type="dxa"/>
            <w:noWrap/>
            <w:vAlign w:val="center"/>
            <w:hideMark/>
          </w:tcPr>
          <w:p w14:paraId="16822AC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w:t>
            </w:r>
          </w:p>
        </w:tc>
        <w:tc>
          <w:tcPr>
            <w:tcW w:w="1049" w:type="dxa"/>
            <w:noWrap/>
            <w:vAlign w:val="center"/>
            <w:hideMark/>
          </w:tcPr>
          <w:p w14:paraId="1AB0064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5019</w:t>
            </w:r>
          </w:p>
        </w:tc>
        <w:tc>
          <w:tcPr>
            <w:tcW w:w="3253" w:type="dxa"/>
            <w:vAlign w:val="center"/>
            <w:hideMark/>
          </w:tcPr>
          <w:p w14:paraId="6DECF66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београдске обилазнице на аутопуту E-70/E-75, деоница: Мост преко реке Саве код Остружнице-Бубањ Поток (сектори 4, 5 и 6)</w:t>
            </w:r>
          </w:p>
        </w:tc>
        <w:tc>
          <w:tcPr>
            <w:tcW w:w="1731" w:type="dxa"/>
            <w:noWrap/>
            <w:vAlign w:val="center"/>
            <w:hideMark/>
          </w:tcPr>
          <w:p w14:paraId="36B4D05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40.909.834.220</w:t>
            </w:r>
          </w:p>
        </w:tc>
        <w:tc>
          <w:tcPr>
            <w:tcW w:w="1868" w:type="dxa"/>
            <w:noWrap/>
            <w:vAlign w:val="center"/>
            <w:hideMark/>
          </w:tcPr>
          <w:p w14:paraId="51AA53A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3.401.117.000</w:t>
            </w:r>
          </w:p>
        </w:tc>
        <w:tc>
          <w:tcPr>
            <w:tcW w:w="1701" w:type="dxa"/>
            <w:noWrap/>
            <w:vAlign w:val="center"/>
            <w:hideMark/>
          </w:tcPr>
          <w:p w14:paraId="0E572B2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w:t>
            </w:r>
          </w:p>
        </w:tc>
        <w:tc>
          <w:tcPr>
            <w:tcW w:w="1701" w:type="dxa"/>
            <w:noWrap/>
            <w:vAlign w:val="center"/>
            <w:hideMark/>
          </w:tcPr>
          <w:p w14:paraId="411EF43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355.474.241</w:t>
            </w:r>
          </w:p>
        </w:tc>
        <w:tc>
          <w:tcPr>
            <w:tcW w:w="1654" w:type="dxa"/>
            <w:noWrap/>
            <w:vAlign w:val="center"/>
            <w:hideMark/>
          </w:tcPr>
          <w:p w14:paraId="5B8CEB8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48338CC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44.726.425.460</w:t>
            </w:r>
          </w:p>
        </w:tc>
      </w:tr>
      <w:tr w:rsidR="00BC55A8" w:rsidRPr="00671E8F" w14:paraId="4F1FC343" w14:textId="77777777" w:rsidTr="00BC55A8">
        <w:trPr>
          <w:trHeight w:val="255"/>
        </w:trPr>
        <w:tc>
          <w:tcPr>
            <w:tcW w:w="487" w:type="dxa"/>
            <w:noWrap/>
            <w:vAlign w:val="center"/>
            <w:hideMark/>
          </w:tcPr>
          <w:p w14:paraId="27EBBC8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w:t>
            </w:r>
          </w:p>
        </w:tc>
        <w:tc>
          <w:tcPr>
            <w:tcW w:w="1049" w:type="dxa"/>
            <w:noWrap/>
            <w:vAlign w:val="center"/>
            <w:hideMark/>
          </w:tcPr>
          <w:p w14:paraId="19ABDDC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5027</w:t>
            </w:r>
          </w:p>
        </w:tc>
        <w:tc>
          <w:tcPr>
            <w:tcW w:w="3253" w:type="dxa"/>
            <w:vAlign w:val="center"/>
            <w:hideMark/>
          </w:tcPr>
          <w:p w14:paraId="7167321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Реконструкција железничке пруге Ниш - Димитровград</w:t>
            </w:r>
          </w:p>
        </w:tc>
        <w:tc>
          <w:tcPr>
            <w:tcW w:w="1731" w:type="dxa"/>
            <w:noWrap/>
            <w:vAlign w:val="center"/>
            <w:hideMark/>
          </w:tcPr>
          <w:p w14:paraId="1EF99BA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2.002.238.045</w:t>
            </w:r>
          </w:p>
        </w:tc>
        <w:tc>
          <w:tcPr>
            <w:tcW w:w="1868" w:type="dxa"/>
            <w:noWrap/>
            <w:vAlign w:val="center"/>
            <w:hideMark/>
          </w:tcPr>
          <w:p w14:paraId="68D56D3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7.180.839.000</w:t>
            </w:r>
          </w:p>
        </w:tc>
        <w:tc>
          <w:tcPr>
            <w:tcW w:w="1701" w:type="dxa"/>
            <w:noWrap/>
            <w:vAlign w:val="center"/>
            <w:hideMark/>
          </w:tcPr>
          <w:p w14:paraId="5ECCF5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13.000.000.000</w:t>
            </w:r>
          </w:p>
        </w:tc>
        <w:tc>
          <w:tcPr>
            <w:tcW w:w="1701" w:type="dxa"/>
            <w:noWrap/>
            <w:vAlign w:val="center"/>
            <w:hideMark/>
          </w:tcPr>
          <w:p w14:paraId="77ECA9D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12.002.014.000</w:t>
            </w:r>
          </w:p>
        </w:tc>
        <w:tc>
          <w:tcPr>
            <w:tcW w:w="1654" w:type="dxa"/>
            <w:noWrap/>
            <w:vAlign w:val="center"/>
            <w:hideMark/>
          </w:tcPr>
          <w:p w14:paraId="4D3CE03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11.998.293.000</w:t>
            </w:r>
          </w:p>
        </w:tc>
        <w:tc>
          <w:tcPr>
            <w:tcW w:w="1748" w:type="dxa"/>
            <w:noWrap/>
            <w:vAlign w:val="center"/>
            <w:hideMark/>
          </w:tcPr>
          <w:p w14:paraId="33729DE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46.737.645.320</w:t>
            </w:r>
          </w:p>
        </w:tc>
      </w:tr>
      <w:tr w:rsidR="00BC55A8" w:rsidRPr="00671E8F" w14:paraId="10BECF3F" w14:textId="77777777" w:rsidTr="00BC55A8">
        <w:trPr>
          <w:trHeight w:val="255"/>
        </w:trPr>
        <w:tc>
          <w:tcPr>
            <w:tcW w:w="487" w:type="dxa"/>
            <w:noWrap/>
            <w:vAlign w:val="center"/>
            <w:hideMark/>
          </w:tcPr>
          <w:p w14:paraId="1092CB3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w:t>
            </w:r>
          </w:p>
        </w:tc>
        <w:tc>
          <w:tcPr>
            <w:tcW w:w="1049" w:type="dxa"/>
            <w:noWrap/>
            <w:vAlign w:val="center"/>
            <w:hideMark/>
          </w:tcPr>
          <w:p w14:paraId="6A8AC9B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5034</w:t>
            </w:r>
          </w:p>
        </w:tc>
        <w:tc>
          <w:tcPr>
            <w:tcW w:w="3253" w:type="dxa"/>
            <w:vAlign w:val="center"/>
            <w:hideMark/>
          </w:tcPr>
          <w:p w14:paraId="6968FE9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Е-763, деоница: Прељина - Пожега</w:t>
            </w:r>
          </w:p>
        </w:tc>
        <w:tc>
          <w:tcPr>
            <w:tcW w:w="1731" w:type="dxa"/>
            <w:noWrap/>
            <w:vAlign w:val="center"/>
            <w:hideMark/>
          </w:tcPr>
          <w:p w14:paraId="7BFBDE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47.255.537.751</w:t>
            </w:r>
          </w:p>
        </w:tc>
        <w:tc>
          <w:tcPr>
            <w:tcW w:w="1868" w:type="dxa"/>
            <w:noWrap/>
            <w:vAlign w:val="center"/>
            <w:hideMark/>
          </w:tcPr>
          <w:p w14:paraId="08A2AA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8.339.825.000</w:t>
            </w:r>
          </w:p>
        </w:tc>
        <w:tc>
          <w:tcPr>
            <w:tcW w:w="1701" w:type="dxa"/>
            <w:noWrap/>
            <w:vAlign w:val="center"/>
            <w:hideMark/>
          </w:tcPr>
          <w:p w14:paraId="6368F4A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11.201.000.000</w:t>
            </w:r>
          </w:p>
        </w:tc>
        <w:tc>
          <w:tcPr>
            <w:tcW w:w="1701" w:type="dxa"/>
            <w:noWrap/>
            <w:vAlign w:val="center"/>
            <w:hideMark/>
          </w:tcPr>
          <w:p w14:paraId="4C7E30A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6.001.000.000</w:t>
            </w:r>
          </w:p>
        </w:tc>
        <w:tc>
          <w:tcPr>
            <w:tcW w:w="1654" w:type="dxa"/>
            <w:noWrap/>
            <w:vAlign w:val="center"/>
            <w:hideMark/>
          </w:tcPr>
          <w:p w14:paraId="201DB19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1.630.367.769</w:t>
            </w:r>
          </w:p>
        </w:tc>
        <w:tc>
          <w:tcPr>
            <w:tcW w:w="1748" w:type="dxa"/>
            <w:noWrap/>
            <w:vAlign w:val="center"/>
            <w:hideMark/>
          </w:tcPr>
          <w:p w14:paraId="2E33B54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74.427.730.519</w:t>
            </w:r>
          </w:p>
        </w:tc>
      </w:tr>
      <w:tr w:rsidR="00BC55A8" w:rsidRPr="00671E8F" w14:paraId="714E36A0" w14:textId="77777777" w:rsidTr="00BC55A8">
        <w:trPr>
          <w:trHeight w:val="255"/>
        </w:trPr>
        <w:tc>
          <w:tcPr>
            <w:tcW w:w="487" w:type="dxa"/>
            <w:noWrap/>
            <w:vAlign w:val="center"/>
            <w:hideMark/>
          </w:tcPr>
          <w:p w14:paraId="032164E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w:t>
            </w:r>
          </w:p>
        </w:tc>
        <w:tc>
          <w:tcPr>
            <w:tcW w:w="1049" w:type="dxa"/>
            <w:noWrap/>
            <w:vAlign w:val="center"/>
            <w:hideMark/>
          </w:tcPr>
          <w:p w14:paraId="3329A50D"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5035</w:t>
            </w:r>
          </w:p>
        </w:tc>
        <w:tc>
          <w:tcPr>
            <w:tcW w:w="3253" w:type="dxa"/>
            <w:vAlign w:val="center"/>
            <w:hideMark/>
          </w:tcPr>
          <w:p w14:paraId="5FADAC1B"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Е-761, деоница: Појате - Прељина</w:t>
            </w:r>
          </w:p>
        </w:tc>
        <w:tc>
          <w:tcPr>
            <w:tcW w:w="1731" w:type="dxa"/>
            <w:noWrap/>
            <w:vAlign w:val="center"/>
            <w:hideMark/>
          </w:tcPr>
          <w:p w14:paraId="24B0641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138.233.130.443</w:t>
            </w:r>
          </w:p>
        </w:tc>
        <w:tc>
          <w:tcPr>
            <w:tcW w:w="1868" w:type="dxa"/>
            <w:noWrap/>
            <w:vAlign w:val="center"/>
            <w:hideMark/>
          </w:tcPr>
          <w:p w14:paraId="1DFDCAB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38.683.562.000</w:t>
            </w:r>
          </w:p>
        </w:tc>
        <w:tc>
          <w:tcPr>
            <w:tcW w:w="1701" w:type="dxa"/>
            <w:noWrap/>
            <w:vAlign w:val="center"/>
            <w:hideMark/>
          </w:tcPr>
          <w:p w14:paraId="2C566C9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30.000.000.000</w:t>
            </w:r>
          </w:p>
        </w:tc>
        <w:tc>
          <w:tcPr>
            <w:tcW w:w="1701" w:type="dxa"/>
            <w:noWrap/>
            <w:vAlign w:val="center"/>
            <w:hideMark/>
          </w:tcPr>
          <w:p w14:paraId="0A912A8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29.000.000.000</w:t>
            </w:r>
          </w:p>
        </w:tc>
        <w:tc>
          <w:tcPr>
            <w:tcW w:w="1654" w:type="dxa"/>
            <w:noWrap/>
            <w:vAlign w:val="center"/>
            <w:hideMark/>
          </w:tcPr>
          <w:p w14:paraId="7E19946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16.123.666.218</w:t>
            </w:r>
          </w:p>
        </w:tc>
        <w:tc>
          <w:tcPr>
            <w:tcW w:w="1748" w:type="dxa"/>
            <w:noWrap/>
            <w:vAlign w:val="center"/>
            <w:hideMark/>
          </w:tcPr>
          <w:p w14:paraId="365EE39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252.040.358.660</w:t>
            </w:r>
          </w:p>
        </w:tc>
      </w:tr>
      <w:tr w:rsidR="00BC55A8" w:rsidRPr="00671E8F" w14:paraId="26643B24" w14:textId="77777777" w:rsidTr="00BC55A8">
        <w:trPr>
          <w:trHeight w:val="255"/>
        </w:trPr>
        <w:tc>
          <w:tcPr>
            <w:tcW w:w="487" w:type="dxa"/>
            <w:noWrap/>
            <w:vAlign w:val="center"/>
            <w:hideMark/>
          </w:tcPr>
          <w:p w14:paraId="6092945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w:t>
            </w:r>
          </w:p>
        </w:tc>
        <w:tc>
          <w:tcPr>
            <w:tcW w:w="1049" w:type="dxa"/>
            <w:noWrap/>
            <w:vAlign w:val="center"/>
            <w:hideMark/>
          </w:tcPr>
          <w:p w14:paraId="72524730"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5042</w:t>
            </w:r>
          </w:p>
        </w:tc>
        <w:tc>
          <w:tcPr>
            <w:tcW w:w="3253" w:type="dxa"/>
            <w:vAlign w:val="center"/>
            <w:hideMark/>
          </w:tcPr>
          <w:p w14:paraId="5981FE5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Вађење потонуле немачке флоте из Другог светског рата</w:t>
            </w:r>
          </w:p>
        </w:tc>
        <w:tc>
          <w:tcPr>
            <w:tcW w:w="1731" w:type="dxa"/>
            <w:noWrap/>
            <w:vAlign w:val="center"/>
            <w:hideMark/>
          </w:tcPr>
          <w:p w14:paraId="6B080E6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870.214.507</w:t>
            </w:r>
          </w:p>
        </w:tc>
        <w:tc>
          <w:tcPr>
            <w:tcW w:w="1868" w:type="dxa"/>
            <w:noWrap/>
            <w:vAlign w:val="center"/>
            <w:hideMark/>
          </w:tcPr>
          <w:p w14:paraId="2F1E40D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117.643.000</w:t>
            </w:r>
          </w:p>
        </w:tc>
        <w:tc>
          <w:tcPr>
            <w:tcW w:w="1701" w:type="dxa"/>
            <w:noWrap/>
            <w:vAlign w:val="center"/>
            <w:hideMark/>
          </w:tcPr>
          <w:p w14:paraId="36AB536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527.400.000</w:t>
            </w:r>
          </w:p>
        </w:tc>
        <w:tc>
          <w:tcPr>
            <w:tcW w:w="1701" w:type="dxa"/>
            <w:noWrap/>
            <w:vAlign w:val="center"/>
            <w:hideMark/>
          </w:tcPr>
          <w:p w14:paraId="65AB463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551.038.000</w:t>
            </w:r>
          </w:p>
        </w:tc>
        <w:tc>
          <w:tcPr>
            <w:tcW w:w="1654" w:type="dxa"/>
            <w:noWrap/>
            <w:vAlign w:val="center"/>
            <w:hideMark/>
          </w:tcPr>
          <w:p w14:paraId="76B1CE3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705.640.000</w:t>
            </w:r>
          </w:p>
        </w:tc>
        <w:tc>
          <w:tcPr>
            <w:tcW w:w="1748" w:type="dxa"/>
            <w:noWrap/>
            <w:vAlign w:val="center"/>
            <w:hideMark/>
          </w:tcPr>
          <w:p w14:paraId="1E405E0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4.106.955.999</w:t>
            </w:r>
          </w:p>
        </w:tc>
      </w:tr>
      <w:tr w:rsidR="00BC55A8" w:rsidRPr="00671E8F" w14:paraId="53D605C9" w14:textId="77777777" w:rsidTr="00BC55A8">
        <w:trPr>
          <w:trHeight w:val="255"/>
        </w:trPr>
        <w:tc>
          <w:tcPr>
            <w:tcW w:w="487" w:type="dxa"/>
            <w:noWrap/>
            <w:vAlign w:val="center"/>
            <w:hideMark/>
          </w:tcPr>
          <w:p w14:paraId="6E3D8C9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w:t>
            </w:r>
          </w:p>
        </w:tc>
        <w:tc>
          <w:tcPr>
            <w:tcW w:w="1049" w:type="dxa"/>
            <w:noWrap/>
            <w:vAlign w:val="center"/>
            <w:hideMark/>
          </w:tcPr>
          <w:p w14:paraId="4A46BB98"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5043</w:t>
            </w:r>
          </w:p>
        </w:tc>
        <w:tc>
          <w:tcPr>
            <w:tcW w:w="3253" w:type="dxa"/>
            <w:vAlign w:val="center"/>
            <w:hideMark/>
          </w:tcPr>
          <w:p w14:paraId="1697881E"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Е-761 Београд-Сарајево</w:t>
            </w:r>
          </w:p>
        </w:tc>
        <w:tc>
          <w:tcPr>
            <w:tcW w:w="1731" w:type="dxa"/>
            <w:noWrap/>
            <w:vAlign w:val="center"/>
            <w:hideMark/>
          </w:tcPr>
          <w:p w14:paraId="4E4DAED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31.635.841.581</w:t>
            </w:r>
          </w:p>
        </w:tc>
        <w:tc>
          <w:tcPr>
            <w:tcW w:w="1868" w:type="dxa"/>
            <w:noWrap/>
            <w:vAlign w:val="center"/>
            <w:hideMark/>
          </w:tcPr>
          <w:p w14:paraId="1538E33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2.350.000.000</w:t>
            </w:r>
          </w:p>
        </w:tc>
        <w:tc>
          <w:tcPr>
            <w:tcW w:w="1701" w:type="dxa"/>
            <w:noWrap/>
            <w:vAlign w:val="center"/>
            <w:hideMark/>
          </w:tcPr>
          <w:p w14:paraId="42728E6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7.800.000.000</w:t>
            </w:r>
          </w:p>
        </w:tc>
        <w:tc>
          <w:tcPr>
            <w:tcW w:w="1701" w:type="dxa"/>
            <w:noWrap/>
            <w:vAlign w:val="center"/>
            <w:hideMark/>
          </w:tcPr>
          <w:p w14:paraId="3FCDC6D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3.700.000.000</w:t>
            </w:r>
          </w:p>
        </w:tc>
        <w:tc>
          <w:tcPr>
            <w:tcW w:w="1654" w:type="dxa"/>
            <w:noWrap/>
            <w:vAlign w:val="center"/>
            <w:hideMark/>
          </w:tcPr>
          <w:p w14:paraId="5451A2C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2.514.158.419</w:t>
            </w:r>
          </w:p>
        </w:tc>
        <w:tc>
          <w:tcPr>
            <w:tcW w:w="1748" w:type="dxa"/>
            <w:noWrap/>
            <w:vAlign w:val="center"/>
            <w:hideMark/>
          </w:tcPr>
          <w:p w14:paraId="5ADFB95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48.000.000.000</w:t>
            </w:r>
          </w:p>
        </w:tc>
      </w:tr>
      <w:tr w:rsidR="00BC55A8" w:rsidRPr="00671E8F" w14:paraId="547AB55E" w14:textId="77777777" w:rsidTr="00BC55A8">
        <w:trPr>
          <w:trHeight w:val="255"/>
        </w:trPr>
        <w:tc>
          <w:tcPr>
            <w:tcW w:w="487" w:type="dxa"/>
            <w:noWrap/>
            <w:vAlign w:val="center"/>
            <w:hideMark/>
          </w:tcPr>
          <w:p w14:paraId="54A8DF4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14</w:t>
            </w:r>
          </w:p>
        </w:tc>
        <w:tc>
          <w:tcPr>
            <w:tcW w:w="1049" w:type="dxa"/>
            <w:noWrap/>
            <w:vAlign w:val="center"/>
            <w:hideMark/>
          </w:tcPr>
          <w:p w14:paraId="6D8AE99B"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5045</w:t>
            </w:r>
          </w:p>
        </w:tc>
        <w:tc>
          <w:tcPr>
            <w:tcW w:w="3253" w:type="dxa"/>
            <w:vAlign w:val="center"/>
            <w:hideMark/>
          </w:tcPr>
          <w:p w14:paraId="0530C35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саобраћајнице Рума - Шабац - Лозница</w:t>
            </w:r>
          </w:p>
        </w:tc>
        <w:tc>
          <w:tcPr>
            <w:tcW w:w="1731" w:type="dxa"/>
            <w:noWrap/>
            <w:vAlign w:val="center"/>
            <w:hideMark/>
          </w:tcPr>
          <w:p w14:paraId="3AC2A6F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56.738.079.260</w:t>
            </w:r>
          </w:p>
        </w:tc>
        <w:tc>
          <w:tcPr>
            <w:tcW w:w="1868" w:type="dxa"/>
            <w:noWrap/>
            <w:vAlign w:val="center"/>
            <w:hideMark/>
          </w:tcPr>
          <w:p w14:paraId="588C1AB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24.428.313.000</w:t>
            </w:r>
          </w:p>
        </w:tc>
        <w:tc>
          <w:tcPr>
            <w:tcW w:w="1701" w:type="dxa"/>
            <w:noWrap/>
            <w:vAlign w:val="center"/>
            <w:hideMark/>
          </w:tcPr>
          <w:p w14:paraId="11E98ED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15.900.000.000</w:t>
            </w:r>
          </w:p>
        </w:tc>
        <w:tc>
          <w:tcPr>
            <w:tcW w:w="1701" w:type="dxa"/>
            <w:noWrap/>
            <w:vAlign w:val="center"/>
            <w:hideMark/>
          </w:tcPr>
          <w:p w14:paraId="48187B1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4.200.000.000</w:t>
            </w:r>
          </w:p>
        </w:tc>
        <w:tc>
          <w:tcPr>
            <w:tcW w:w="1654" w:type="dxa"/>
            <w:noWrap/>
            <w:vAlign w:val="center"/>
            <w:hideMark/>
          </w:tcPr>
          <w:p w14:paraId="6E37A7D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5.303.607.740</w:t>
            </w:r>
          </w:p>
        </w:tc>
        <w:tc>
          <w:tcPr>
            <w:tcW w:w="1748" w:type="dxa"/>
            <w:noWrap/>
            <w:vAlign w:val="center"/>
            <w:hideMark/>
          </w:tcPr>
          <w:p w14:paraId="682E54D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106.570.000.000</w:t>
            </w:r>
          </w:p>
        </w:tc>
      </w:tr>
      <w:tr w:rsidR="00BC55A8" w:rsidRPr="00671E8F" w14:paraId="6BE76439" w14:textId="77777777" w:rsidTr="00BC55A8">
        <w:trPr>
          <w:trHeight w:val="255"/>
        </w:trPr>
        <w:tc>
          <w:tcPr>
            <w:tcW w:w="487" w:type="dxa"/>
            <w:noWrap/>
            <w:vAlign w:val="center"/>
            <w:hideMark/>
          </w:tcPr>
          <w:p w14:paraId="028CC67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w:t>
            </w:r>
          </w:p>
        </w:tc>
        <w:tc>
          <w:tcPr>
            <w:tcW w:w="1049" w:type="dxa"/>
            <w:noWrap/>
            <w:vAlign w:val="center"/>
            <w:hideMark/>
          </w:tcPr>
          <w:p w14:paraId="6DA7A677"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5046</w:t>
            </w:r>
          </w:p>
        </w:tc>
        <w:tc>
          <w:tcPr>
            <w:tcW w:w="3253" w:type="dxa"/>
            <w:vAlign w:val="center"/>
            <w:hideMark/>
          </w:tcPr>
          <w:p w14:paraId="53AA0324"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Реализација пројеката железничке инфраструктуре</w:t>
            </w:r>
          </w:p>
        </w:tc>
        <w:tc>
          <w:tcPr>
            <w:tcW w:w="1731" w:type="dxa"/>
            <w:noWrap/>
            <w:vAlign w:val="center"/>
            <w:hideMark/>
          </w:tcPr>
          <w:p w14:paraId="3C4759D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9.030.364.008</w:t>
            </w:r>
          </w:p>
        </w:tc>
        <w:tc>
          <w:tcPr>
            <w:tcW w:w="1868" w:type="dxa"/>
            <w:noWrap/>
            <w:vAlign w:val="center"/>
            <w:hideMark/>
          </w:tcPr>
          <w:p w14:paraId="184D635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502.000.000</w:t>
            </w:r>
          </w:p>
        </w:tc>
        <w:tc>
          <w:tcPr>
            <w:tcW w:w="1701" w:type="dxa"/>
            <w:noWrap/>
            <w:vAlign w:val="center"/>
            <w:hideMark/>
          </w:tcPr>
          <w:p w14:paraId="6BE803B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1.300.000.000</w:t>
            </w:r>
          </w:p>
        </w:tc>
        <w:tc>
          <w:tcPr>
            <w:tcW w:w="1701" w:type="dxa"/>
            <w:noWrap/>
            <w:vAlign w:val="center"/>
            <w:hideMark/>
          </w:tcPr>
          <w:p w14:paraId="3EE2CBB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2.969.823.000</w:t>
            </w:r>
          </w:p>
        </w:tc>
        <w:tc>
          <w:tcPr>
            <w:tcW w:w="1654" w:type="dxa"/>
            <w:noWrap/>
            <w:vAlign w:val="center"/>
            <w:hideMark/>
          </w:tcPr>
          <w:p w14:paraId="1DAEBFB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2.000.000.000</w:t>
            </w:r>
          </w:p>
        </w:tc>
        <w:tc>
          <w:tcPr>
            <w:tcW w:w="1748" w:type="dxa"/>
            <w:noWrap/>
            <w:vAlign w:val="center"/>
            <w:hideMark/>
          </w:tcPr>
          <w:p w14:paraId="53FEAAB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19.514.186.411</w:t>
            </w:r>
          </w:p>
        </w:tc>
      </w:tr>
      <w:tr w:rsidR="00BC55A8" w:rsidRPr="00671E8F" w14:paraId="70B0D2BE" w14:textId="77777777" w:rsidTr="00BC55A8">
        <w:trPr>
          <w:trHeight w:val="255"/>
        </w:trPr>
        <w:tc>
          <w:tcPr>
            <w:tcW w:w="487" w:type="dxa"/>
            <w:noWrap/>
            <w:vAlign w:val="center"/>
            <w:hideMark/>
          </w:tcPr>
          <w:p w14:paraId="26FCDEB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w:t>
            </w:r>
          </w:p>
        </w:tc>
        <w:tc>
          <w:tcPr>
            <w:tcW w:w="1049" w:type="dxa"/>
            <w:noWrap/>
            <w:vAlign w:val="center"/>
            <w:hideMark/>
          </w:tcPr>
          <w:p w14:paraId="4DF7C2B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5050</w:t>
            </w:r>
          </w:p>
        </w:tc>
        <w:tc>
          <w:tcPr>
            <w:tcW w:w="3253" w:type="dxa"/>
            <w:vAlign w:val="center"/>
            <w:hideMark/>
          </w:tcPr>
          <w:p w14:paraId="34F55925"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Ниш-Мердаре, деоница: Ниш-Плочник</w:t>
            </w:r>
          </w:p>
        </w:tc>
        <w:tc>
          <w:tcPr>
            <w:tcW w:w="1731" w:type="dxa"/>
            <w:noWrap/>
            <w:vAlign w:val="center"/>
            <w:hideMark/>
          </w:tcPr>
          <w:p w14:paraId="4369AD8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2.478.646.426</w:t>
            </w:r>
          </w:p>
        </w:tc>
        <w:tc>
          <w:tcPr>
            <w:tcW w:w="1868" w:type="dxa"/>
            <w:noWrap/>
            <w:vAlign w:val="center"/>
            <w:hideMark/>
          </w:tcPr>
          <w:p w14:paraId="483383D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1.374.121.000</w:t>
            </w:r>
          </w:p>
        </w:tc>
        <w:tc>
          <w:tcPr>
            <w:tcW w:w="1701" w:type="dxa"/>
            <w:noWrap/>
            <w:vAlign w:val="center"/>
            <w:hideMark/>
          </w:tcPr>
          <w:p w14:paraId="7B54A5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w:t>
            </w:r>
          </w:p>
        </w:tc>
        <w:tc>
          <w:tcPr>
            <w:tcW w:w="1701" w:type="dxa"/>
            <w:noWrap/>
            <w:vAlign w:val="center"/>
            <w:hideMark/>
          </w:tcPr>
          <w:p w14:paraId="7970DC8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2.000.000.000</w:t>
            </w:r>
          </w:p>
        </w:tc>
        <w:tc>
          <w:tcPr>
            <w:tcW w:w="1654" w:type="dxa"/>
            <w:noWrap/>
            <w:vAlign w:val="center"/>
            <w:hideMark/>
          </w:tcPr>
          <w:p w14:paraId="79C956E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2.700.000.000</w:t>
            </w:r>
          </w:p>
        </w:tc>
        <w:tc>
          <w:tcPr>
            <w:tcW w:w="1748" w:type="dxa"/>
            <w:noWrap/>
            <w:vAlign w:val="center"/>
            <w:hideMark/>
          </w:tcPr>
          <w:p w14:paraId="3C179B6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37.310.000.000</w:t>
            </w:r>
          </w:p>
        </w:tc>
      </w:tr>
      <w:tr w:rsidR="00BC55A8" w:rsidRPr="00671E8F" w14:paraId="4A32B350" w14:textId="77777777" w:rsidTr="00BC55A8">
        <w:trPr>
          <w:trHeight w:val="510"/>
        </w:trPr>
        <w:tc>
          <w:tcPr>
            <w:tcW w:w="487" w:type="dxa"/>
            <w:noWrap/>
            <w:vAlign w:val="center"/>
            <w:hideMark/>
          </w:tcPr>
          <w:p w14:paraId="4A91C28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lastRenderedPageBreak/>
              <w:t>17</w:t>
            </w:r>
          </w:p>
        </w:tc>
        <w:tc>
          <w:tcPr>
            <w:tcW w:w="1049" w:type="dxa"/>
            <w:noWrap/>
            <w:vAlign w:val="center"/>
            <w:hideMark/>
          </w:tcPr>
          <w:p w14:paraId="54E17B0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5054</w:t>
            </w:r>
          </w:p>
        </w:tc>
        <w:tc>
          <w:tcPr>
            <w:tcW w:w="3253" w:type="dxa"/>
            <w:vAlign w:val="center"/>
            <w:hideMark/>
          </w:tcPr>
          <w:p w14:paraId="693AAE23"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Унапређење услова за превођење бродова у оквиру бране на Тиси код Новог Бечеја</w:t>
            </w:r>
          </w:p>
        </w:tc>
        <w:tc>
          <w:tcPr>
            <w:tcW w:w="1731" w:type="dxa"/>
            <w:noWrap/>
            <w:vAlign w:val="center"/>
            <w:hideMark/>
          </w:tcPr>
          <w:p w14:paraId="0B375DB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55.614.176</w:t>
            </w:r>
          </w:p>
        </w:tc>
        <w:tc>
          <w:tcPr>
            <w:tcW w:w="1868" w:type="dxa"/>
            <w:noWrap/>
            <w:vAlign w:val="center"/>
            <w:hideMark/>
          </w:tcPr>
          <w:p w14:paraId="6612152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32.752.000</w:t>
            </w:r>
          </w:p>
        </w:tc>
        <w:tc>
          <w:tcPr>
            <w:tcW w:w="1701" w:type="dxa"/>
            <w:noWrap/>
            <w:vAlign w:val="center"/>
            <w:hideMark/>
          </w:tcPr>
          <w:p w14:paraId="5EC19E4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21.000.000</w:t>
            </w:r>
          </w:p>
        </w:tc>
        <w:tc>
          <w:tcPr>
            <w:tcW w:w="1701" w:type="dxa"/>
            <w:noWrap/>
            <w:vAlign w:val="center"/>
            <w:hideMark/>
          </w:tcPr>
          <w:p w14:paraId="44E1FD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1.039.400.000</w:t>
            </w:r>
          </w:p>
        </w:tc>
        <w:tc>
          <w:tcPr>
            <w:tcW w:w="1654" w:type="dxa"/>
            <w:noWrap/>
            <w:vAlign w:val="center"/>
            <w:hideMark/>
          </w:tcPr>
          <w:p w14:paraId="2CC0832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3.045.155.000</w:t>
            </w:r>
          </w:p>
        </w:tc>
        <w:tc>
          <w:tcPr>
            <w:tcW w:w="1748" w:type="dxa"/>
            <w:noWrap/>
            <w:vAlign w:val="center"/>
            <w:hideMark/>
          </w:tcPr>
          <w:p w14:paraId="7074C19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9.599.325.000</w:t>
            </w:r>
          </w:p>
        </w:tc>
      </w:tr>
      <w:tr w:rsidR="00BC55A8" w:rsidRPr="00671E8F" w14:paraId="7CFA8A99" w14:textId="77777777" w:rsidTr="00BC55A8">
        <w:trPr>
          <w:trHeight w:val="255"/>
        </w:trPr>
        <w:tc>
          <w:tcPr>
            <w:tcW w:w="487" w:type="dxa"/>
            <w:noWrap/>
            <w:vAlign w:val="center"/>
            <w:hideMark/>
          </w:tcPr>
          <w:p w14:paraId="1615E39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18</w:t>
            </w:r>
          </w:p>
        </w:tc>
        <w:tc>
          <w:tcPr>
            <w:tcW w:w="1049" w:type="dxa"/>
            <w:noWrap/>
            <w:vAlign w:val="center"/>
            <w:hideMark/>
          </w:tcPr>
          <w:p w14:paraId="60C92EC2"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5055</w:t>
            </w:r>
          </w:p>
        </w:tc>
        <w:tc>
          <w:tcPr>
            <w:tcW w:w="3253" w:type="dxa"/>
            <w:vAlign w:val="center"/>
            <w:hideMark/>
          </w:tcPr>
          <w:p w14:paraId="2113C1F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нове Луке у Београду</w:t>
            </w:r>
          </w:p>
        </w:tc>
        <w:tc>
          <w:tcPr>
            <w:tcW w:w="1731" w:type="dxa"/>
            <w:noWrap/>
            <w:vAlign w:val="center"/>
            <w:hideMark/>
          </w:tcPr>
          <w:p w14:paraId="0E03D88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5.576.981</w:t>
            </w:r>
          </w:p>
        </w:tc>
        <w:tc>
          <w:tcPr>
            <w:tcW w:w="1868" w:type="dxa"/>
            <w:noWrap/>
            <w:vAlign w:val="center"/>
            <w:hideMark/>
          </w:tcPr>
          <w:p w14:paraId="449659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56EDE4C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400.000.000</w:t>
            </w:r>
          </w:p>
        </w:tc>
        <w:tc>
          <w:tcPr>
            <w:tcW w:w="1701" w:type="dxa"/>
            <w:noWrap/>
            <w:vAlign w:val="center"/>
            <w:hideMark/>
          </w:tcPr>
          <w:p w14:paraId="7F6D6F8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2.499.335.000</w:t>
            </w:r>
          </w:p>
        </w:tc>
        <w:tc>
          <w:tcPr>
            <w:tcW w:w="1654" w:type="dxa"/>
            <w:noWrap/>
            <w:vAlign w:val="center"/>
            <w:hideMark/>
          </w:tcPr>
          <w:p w14:paraId="245D008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2.773.600.000</w:t>
            </w:r>
          </w:p>
        </w:tc>
        <w:tc>
          <w:tcPr>
            <w:tcW w:w="1748" w:type="dxa"/>
            <w:noWrap/>
            <w:vAlign w:val="center"/>
            <w:hideMark/>
          </w:tcPr>
          <w:p w14:paraId="1EE9735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11.376.111.981</w:t>
            </w:r>
          </w:p>
        </w:tc>
      </w:tr>
      <w:tr w:rsidR="00BC55A8" w:rsidRPr="00671E8F" w14:paraId="0D71CEB1" w14:textId="77777777" w:rsidTr="00BC55A8">
        <w:trPr>
          <w:trHeight w:val="255"/>
        </w:trPr>
        <w:tc>
          <w:tcPr>
            <w:tcW w:w="487" w:type="dxa"/>
            <w:noWrap/>
            <w:vAlign w:val="center"/>
            <w:hideMark/>
          </w:tcPr>
          <w:p w14:paraId="32A4000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w:t>
            </w:r>
          </w:p>
        </w:tc>
        <w:tc>
          <w:tcPr>
            <w:tcW w:w="1049" w:type="dxa"/>
            <w:noWrap/>
            <w:vAlign w:val="center"/>
            <w:hideMark/>
          </w:tcPr>
          <w:p w14:paraId="58A2BEEC"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5056</w:t>
            </w:r>
          </w:p>
        </w:tc>
        <w:tc>
          <w:tcPr>
            <w:tcW w:w="3253" w:type="dxa"/>
            <w:vAlign w:val="center"/>
            <w:hideMark/>
          </w:tcPr>
          <w:p w14:paraId="76835985"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Проширење капацитета Луке Сремска Митровица</w:t>
            </w:r>
          </w:p>
        </w:tc>
        <w:tc>
          <w:tcPr>
            <w:tcW w:w="1731" w:type="dxa"/>
            <w:noWrap/>
            <w:vAlign w:val="center"/>
            <w:hideMark/>
          </w:tcPr>
          <w:p w14:paraId="280E31D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27.137.507</w:t>
            </w:r>
          </w:p>
        </w:tc>
        <w:tc>
          <w:tcPr>
            <w:tcW w:w="1868" w:type="dxa"/>
            <w:noWrap/>
            <w:vAlign w:val="center"/>
            <w:hideMark/>
          </w:tcPr>
          <w:p w14:paraId="439AB59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120.263.000</w:t>
            </w:r>
          </w:p>
        </w:tc>
        <w:tc>
          <w:tcPr>
            <w:tcW w:w="1701" w:type="dxa"/>
            <w:noWrap/>
            <w:vAlign w:val="center"/>
            <w:hideMark/>
          </w:tcPr>
          <w:p w14:paraId="213502F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400.000.000</w:t>
            </w:r>
          </w:p>
        </w:tc>
        <w:tc>
          <w:tcPr>
            <w:tcW w:w="1701" w:type="dxa"/>
            <w:noWrap/>
            <w:vAlign w:val="center"/>
            <w:hideMark/>
          </w:tcPr>
          <w:p w14:paraId="09BFEF3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654" w:type="dxa"/>
            <w:noWrap/>
            <w:vAlign w:val="center"/>
            <w:hideMark/>
          </w:tcPr>
          <w:p w14:paraId="2349B66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w:t>
            </w:r>
          </w:p>
        </w:tc>
        <w:tc>
          <w:tcPr>
            <w:tcW w:w="1748" w:type="dxa"/>
            <w:noWrap/>
            <w:vAlign w:val="center"/>
            <w:hideMark/>
          </w:tcPr>
          <w:p w14:paraId="5DE74C9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6.626.400.000</w:t>
            </w:r>
          </w:p>
        </w:tc>
      </w:tr>
      <w:tr w:rsidR="00BC55A8" w:rsidRPr="00671E8F" w14:paraId="45D59884" w14:textId="77777777" w:rsidTr="00BC55A8">
        <w:trPr>
          <w:trHeight w:val="255"/>
        </w:trPr>
        <w:tc>
          <w:tcPr>
            <w:tcW w:w="487" w:type="dxa"/>
            <w:noWrap/>
            <w:vAlign w:val="center"/>
            <w:hideMark/>
          </w:tcPr>
          <w:p w14:paraId="6213189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w:t>
            </w:r>
          </w:p>
        </w:tc>
        <w:tc>
          <w:tcPr>
            <w:tcW w:w="1049" w:type="dxa"/>
            <w:noWrap/>
            <w:vAlign w:val="center"/>
            <w:hideMark/>
          </w:tcPr>
          <w:p w14:paraId="11A447B5"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5057</w:t>
            </w:r>
          </w:p>
        </w:tc>
        <w:tc>
          <w:tcPr>
            <w:tcW w:w="3253" w:type="dxa"/>
            <w:vAlign w:val="center"/>
            <w:hideMark/>
          </w:tcPr>
          <w:p w14:paraId="665FAA3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Проширење капацитета Луке Богојево</w:t>
            </w:r>
          </w:p>
        </w:tc>
        <w:tc>
          <w:tcPr>
            <w:tcW w:w="1731" w:type="dxa"/>
            <w:noWrap/>
            <w:vAlign w:val="center"/>
            <w:hideMark/>
          </w:tcPr>
          <w:p w14:paraId="7F11FA6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229.191.220</w:t>
            </w:r>
          </w:p>
        </w:tc>
        <w:tc>
          <w:tcPr>
            <w:tcW w:w="1868" w:type="dxa"/>
            <w:noWrap/>
            <w:vAlign w:val="center"/>
            <w:hideMark/>
          </w:tcPr>
          <w:p w14:paraId="6FC086B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w:t>
            </w:r>
          </w:p>
        </w:tc>
        <w:tc>
          <w:tcPr>
            <w:tcW w:w="1701" w:type="dxa"/>
            <w:noWrap/>
            <w:vAlign w:val="center"/>
            <w:hideMark/>
          </w:tcPr>
          <w:p w14:paraId="47FC8B4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400.000.000</w:t>
            </w:r>
          </w:p>
        </w:tc>
        <w:tc>
          <w:tcPr>
            <w:tcW w:w="1701" w:type="dxa"/>
            <w:noWrap/>
            <w:vAlign w:val="center"/>
            <w:hideMark/>
          </w:tcPr>
          <w:p w14:paraId="3E77B4D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654" w:type="dxa"/>
            <w:noWrap/>
            <w:vAlign w:val="center"/>
            <w:hideMark/>
          </w:tcPr>
          <w:p w14:paraId="1161E06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w:t>
            </w:r>
          </w:p>
        </w:tc>
        <w:tc>
          <w:tcPr>
            <w:tcW w:w="1748" w:type="dxa"/>
            <w:noWrap/>
            <w:vAlign w:val="center"/>
            <w:hideMark/>
          </w:tcPr>
          <w:p w14:paraId="72EB3ED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7.896.476.900</w:t>
            </w:r>
          </w:p>
        </w:tc>
      </w:tr>
      <w:tr w:rsidR="00BC55A8" w:rsidRPr="00671E8F" w14:paraId="2E85AE1C" w14:textId="77777777" w:rsidTr="00BC55A8">
        <w:trPr>
          <w:trHeight w:val="255"/>
        </w:trPr>
        <w:tc>
          <w:tcPr>
            <w:tcW w:w="487" w:type="dxa"/>
            <w:noWrap/>
            <w:vAlign w:val="center"/>
            <w:hideMark/>
          </w:tcPr>
          <w:p w14:paraId="2E48C99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w:t>
            </w:r>
          </w:p>
        </w:tc>
        <w:tc>
          <w:tcPr>
            <w:tcW w:w="1049" w:type="dxa"/>
            <w:noWrap/>
            <w:vAlign w:val="center"/>
            <w:hideMark/>
          </w:tcPr>
          <w:p w14:paraId="396B2E5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5058</w:t>
            </w:r>
          </w:p>
        </w:tc>
        <w:tc>
          <w:tcPr>
            <w:tcW w:w="3253" w:type="dxa"/>
            <w:vAlign w:val="center"/>
            <w:hideMark/>
          </w:tcPr>
          <w:p w14:paraId="5FDE13E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Проширење капацитета Луке Прахово</w:t>
            </w:r>
          </w:p>
        </w:tc>
        <w:tc>
          <w:tcPr>
            <w:tcW w:w="1731" w:type="dxa"/>
            <w:noWrap/>
            <w:vAlign w:val="center"/>
            <w:hideMark/>
          </w:tcPr>
          <w:p w14:paraId="65AD68C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40.944.823</w:t>
            </w:r>
          </w:p>
        </w:tc>
        <w:tc>
          <w:tcPr>
            <w:tcW w:w="1868" w:type="dxa"/>
            <w:noWrap/>
            <w:vAlign w:val="center"/>
            <w:hideMark/>
          </w:tcPr>
          <w:p w14:paraId="489912B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863.018.000</w:t>
            </w:r>
          </w:p>
        </w:tc>
        <w:tc>
          <w:tcPr>
            <w:tcW w:w="1701" w:type="dxa"/>
            <w:noWrap/>
            <w:vAlign w:val="center"/>
            <w:hideMark/>
          </w:tcPr>
          <w:p w14:paraId="3370362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w:t>
            </w:r>
          </w:p>
        </w:tc>
        <w:tc>
          <w:tcPr>
            <w:tcW w:w="1701" w:type="dxa"/>
            <w:noWrap/>
            <w:vAlign w:val="center"/>
            <w:hideMark/>
          </w:tcPr>
          <w:p w14:paraId="72DA1BB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1.001.037.177</w:t>
            </w:r>
          </w:p>
        </w:tc>
        <w:tc>
          <w:tcPr>
            <w:tcW w:w="1654" w:type="dxa"/>
            <w:noWrap/>
            <w:vAlign w:val="center"/>
            <w:hideMark/>
          </w:tcPr>
          <w:p w14:paraId="3465C8A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2.300.000.000</w:t>
            </w:r>
          </w:p>
        </w:tc>
        <w:tc>
          <w:tcPr>
            <w:tcW w:w="1748" w:type="dxa"/>
            <w:noWrap/>
            <w:vAlign w:val="center"/>
            <w:hideMark/>
          </w:tcPr>
          <w:p w14:paraId="3FD020C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5.405.000.000</w:t>
            </w:r>
          </w:p>
        </w:tc>
      </w:tr>
      <w:tr w:rsidR="00BC55A8" w:rsidRPr="00671E8F" w14:paraId="48054E04" w14:textId="77777777" w:rsidTr="00BC55A8">
        <w:trPr>
          <w:trHeight w:val="255"/>
        </w:trPr>
        <w:tc>
          <w:tcPr>
            <w:tcW w:w="487" w:type="dxa"/>
            <w:noWrap/>
            <w:vAlign w:val="center"/>
            <w:hideMark/>
          </w:tcPr>
          <w:p w14:paraId="597536C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w:t>
            </w:r>
          </w:p>
        </w:tc>
        <w:tc>
          <w:tcPr>
            <w:tcW w:w="1049" w:type="dxa"/>
            <w:noWrap/>
            <w:vAlign w:val="center"/>
            <w:hideMark/>
          </w:tcPr>
          <w:p w14:paraId="00C3122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5059</w:t>
            </w:r>
          </w:p>
        </w:tc>
        <w:tc>
          <w:tcPr>
            <w:tcW w:w="3253" w:type="dxa"/>
            <w:vAlign w:val="center"/>
            <w:hideMark/>
          </w:tcPr>
          <w:p w14:paraId="569C8CA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Адаптација бродске преводнице у саставу ХЕПС „Ђердап 2”</w:t>
            </w:r>
          </w:p>
        </w:tc>
        <w:tc>
          <w:tcPr>
            <w:tcW w:w="1731" w:type="dxa"/>
            <w:noWrap/>
            <w:vAlign w:val="center"/>
            <w:hideMark/>
          </w:tcPr>
          <w:p w14:paraId="4ECBDF3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1.925.197.708</w:t>
            </w:r>
          </w:p>
        </w:tc>
        <w:tc>
          <w:tcPr>
            <w:tcW w:w="1868" w:type="dxa"/>
            <w:noWrap/>
            <w:vAlign w:val="center"/>
            <w:hideMark/>
          </w:tcPr>
          <w:p w14:paraId="7E40424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2.261.727.386</w:t>
            </w:r>
          </w:p>
        </w:tc>
        <w:tc>
          <w:tcPr>
            <w:tcW w:w="1701" w:type="dxa"/>
            <w:noWrap/>
            <w:vAlign w:val="center"/>
            <w:hideMark/>
          </w:tcPr>
          <w:p w14:paraId="023ADE0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765.960.000</w:t>
            </w:r>
          </w:p>
        </w:tc>
        <w:tc>
          <w:tcPr>
            <w:tcW w:w="1701" w:type="dxa"/>
            <w:noWrap/>
            <w:vAlign w:val="center"/>
            <w:hideMark/>
          </w:tcPr>
          <w:p w14:paraId="27649CB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654" w:type="dxa"/>
            <w:noWrap/>
            <w:vAlign w:val="center"/>
            <w:hideMark/>
          </w:tcPr>
          <w:p w14:paraId="59DD011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0E7F62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4.952.885.094</w:t>
            </w:r>
          </w:p>
        </w:tc>
      </w:tr>
      <w:tr w:rsidR="00BC55A8" w:rsidRPr="00671E8F" w14:paraId="39596204" w14:textId="77777777" w:rsidTr="00BC55A8">
        <w:trPr>
          <w:trHeight w:val="255"/>
        </w:trPr>
        <w:tc>
          <w:tcPr>
            <w:tcW w:w="487" w:type="dxa"/>
            <w:noWrap/>
            <w:vAlign w:val="center"/>
            <w:hideMark/>
          </w:tcPr>
          <w:p w14:paraId="0E8EBB9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w:t>
            </w:r>
          </w:p>
        </w:tc>
        <w:tc>
          <w:tcPr>
            <w:tcW w:w="1049" w:type="dxa"/>
            <w:noWrap/>
            <w:vAlign w:val="center"/>
            <w:hideMark/>
          </w:tcPr>
          <w:p w14:paraId="14BF0B9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5061</w:t>
            </w:r>
          </w:p>
        </w:tc>
        <w:tc>
          <w:tcPr>
            <w:tcW w:w="3253" w:type="dxa"/>
            <w:vAlign w:val="center"/>
            <w:hideMark/>
          </w:tcPr>
          <w:p w14:paraId="002C45C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Реконструкција и доградња граничног прелаза Хоргош</w:t>
            </w:r>
          </w:p>
        </w:tc>
        <w:tc>
          <w:tcPr>
            <w:tcW w:w="1731" w:type="dxa"/>
            <w:noWrap/>
            <w:vAlign w:val="center"/>
            <w:hideMark/>
          </w:tcPr>
          <w:p w14:paraId="3D7D6CF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2.170.890.644</w:t>
            </w:r>
          </w:p>
        </w:tc>
        <w:tc>
          <w:tcPr>
            <w:tcW w:w="1868" w:type="dxa"/>
            <w:noWrap/>
            <w:vAlign w:val="center"/>
            <w:hideMark/>
          </w:tcPr>
          <w:p w14:paraId="0FC9DD6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400.000.000</w:t>
            </w:r>
          </w:p>
        </w:tc>
        <w:tc>
          <w:tcPr>
            <w:tcW w:w="1701" w:type="dxa"/>
            <w:noWrap/>
            <w:vAlign w:val="center"/>
            <w:hideMark/>
          </w:tcPr>
          <w:p w14:paraId="4E3F9DF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380.000.000</w:t>
            </w:r>
          </w:p>
        </w:tc>
        <w:tc>
          <w:tcPr>
            <w:tcW w:w="1701" w:type="dxa"/>
            <w:noWrap/>
            <w:vAlign w:val="center"/>
            <w:hideMark/>
          </w:tcPr>
          <w:p w14:paraId="799B2B7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94.909.356</w:t>
            </w:r>
          </w:p>
        </w:tc>
        <w:tc>
          <w:tcPr>
            <w:tcW w:w="1654" w:type="dxa"/>
            <w:noWrap/>
            <w:vAlign w:val="center"/>
            <w:hideMark/>
          </w:tcPr>
          <w:p w14:paraId="50DFA3A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2E95869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3.045.800.000</w:t>
            </w:r>
          </w:p>
        </w:tc>
      </w:tr>
      <w:tr w:rsidR="00BC55A8" w:rsidRPr="00671E8F" w14:paraId="12021402" w14:textId="77777777" w:rsidTr="00BC55A8">
        <w:trPr>
          <w:trHeight w:val="255"/>
        </w:trPr>
        <w:tc>
          <w:tcPr>
            <w:tcW w:w="487" w:type="dxa"/>
            <w:noWrap/>
            <w:vAlign w:val="center"/>
            <w:hideMark/>
          </w:tcPr>
          <w:p w14:paraId="3512036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w:t>
            </w:r>
          </w:p>
        </w:tc>
        <w:tc>
          <w:tcPr>
            <w:tcW w:w="1049" w:type="dxa"/>
            <w:noWrap/>
            <w:vAlign w:val="center"/>
            <w:hideMark/>
          </w:tcPr>
          <w:p w14:paraId="0F1958F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5062</w:t>
            </w:r>
          </w:p>
        </w:tc>
        <w:tc>
          <w:tcPr>
            <w:tcW w:w="3253" w:type="dxa"/>
            <w:vAlign w:val="center"/>
            <w:hideMark/>
          </w:tcPr>
          <w:p w14:paraId="5A77C23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деоница: Београд - Зрењанин</w:t>
            </w:r>
          </w:p>
        </w:tc>
        <w:tc>
          <w:tcPr>
            <w:tcW w:w="1731" w:type="dxa"/>
            <w:noWrap/>
            <w:vAlign w:val="center"/>
            <w:hideMark/>
          </w:tcPr>
          <w:p w14:paraId="3F61BB4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235B49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0014D7C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12.013.000.000</w:t>
            </w:r>
          </w:p>
        </w:tc>
        <w:tc>
          <w:tcPr>
            <w:tcW w:w="1701" w:type="dxa"/>
            <w:noWrap/>
            <w:vAlign w:val="center"/>
            <w:hideMark/>
          </w:tcPr>
          <w:p w14:paraId="3AA7302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12.000.000.000</w:t>
            </w:r>
          </w:p>
        </w:tc>
        <w:tc>
          <w:tcPr>
            <w:tcW w:w="1654" w:type="dxa"/>
            <w:noWrap/>
            <w:vAlign w:val="center"/>
            <w:hideMark/>
          </w:tcPr>
          <w:p w14:paraId="3AF03FB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12.045.000.000</w:t>
            </w:r>
          </w:p>
        </w:tc>
        <w:tc>
          <w:tcPr>
            <w:tcW w:w="1748" w:type="dxa"/>
            <w:noWrap/>
            <w:vAlign w:val="center"/>
            <w:hideMark/>
          </w:tcPr>
          <w:p w14:paraId="2DC8F8E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187.600.000.000</w:t>
            </w:r>
          </w:p>
        </w:tc>
      </w:tr>
      <w:tr w:rsidR="00BC55A8" w:rsidRPr="00671E8F" w14:paraId="1A252940" w14:textId="77777777" w:rsidTr="00BC55A8">
        <w:trPr>
          <w:trHeight w:val="255"/>
        </w:trPr>
        <w:tc>
          <w:tcPr>
            <w:tcW w:w="487" w:type="dxa"/>
            <w:noWrap/>
            <w:vAlign w:val="center"/>
            <w:hideMark/>
          </w:tcPr>
          <w:p w14:paraId="74C652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w:t>
            </w:r>
          </w:p>
        </w:tc>
        <w:tc>
          <w:tcPr>
            <w:tcW w:w="1049" w:type="dxa"/>
            <w:noWrap/>
            <w:vAlign w:val="center"/>
            <w:hideMark/>
          </w:tcPr>
          <w:p w14:paraId="7766B73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5064</w:t>
            </w:r>
          </w:p>
        </w:tc>
        <w:tc>
          <w:tcPr>
            <w:tcW w:w="3253" w:type="dxa"/>
            <w:vAlign w:val="center"/>
            <w:hideMark/>
          </w:tcPr>
          <w:p w14:paraId="3A8F906C"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новог моста преко реке Саве у Београду</w:t>
            </w:r>
          </w:p>
        </w:tc>
        <w:tc>
          <w:tcPr>
            <w:tcW w:w="1731" w:type="dxa"/>
            <w:noWrap/>
            <w:vAlign w:val="center"/>
            <w:hideMark/>
          </w:tcPr>
          <w:p w14:paraId="30A4582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595.744.848</w:t>
            </w:r>
          </w:p>
        </w:tc>
        <w:tc>
          <w:tcPr>
            <w:tcW w:w="1868" w:type="dxa"/>
            <w:noWrap/>
            <w:vAlign w:val="center"/>
            <w:hideMark/>
          </w:tcPr>
          <w:p w14:paraId="2BD7812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3.366.923.000</w:t>
            </w:r>
          </w:p>
        </w:tc>
        <w:tc>
          <w:tcPr>
            <w:tcW w:w="1701" w:type="dxa"/>
            <w:noWrap/>
            <w:vAlign w:val="center"/>
            <w:hideMark/>
          </w:tcPr>
          <w:p w14:paraId="05818D1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2.160.000.000</w:t>
            </w:r>
          </w:p>
        </w:tc>
        <w:tc>
          <w:tcPr>
            <w:tcW w:w="1701" w:type="dxa"/>
            <w:noWrap/>
            <w:vAlign w:val="center"/>
            <w:hideMark/>
          </w:tcPr>
          <w:p w14:paraId="560F0E8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2.800.000.000</w:t>
            </w:r>
          </w:p>
        </w:tc>
        <w:tc>
          <w:tcPr>
            <w:tcW w:w="1654" w:type="dxa"/>
            <w:noWrap/>
            <w:vAlign w:val="center"/>
            <w:hideMark/>
          </w:tcPr>
          <w:p w14:paraId="1AAD93C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1.040.000.000</w:t>
            </w:r>
          </w:p>
        </w:tc>
        <w:tc>
          <w:tcPr>
            <w:tcW w:w="1748" w:type="dxa"/>
            <w:noWrap/>
            <w:vAlign w:val="center"/>
            <w:hideMark/>
          </w:tcPr>
          <w:p w14:paraId="100B3CB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12.000.000.000</w:t>
            </w:r>
          </w:p>
        </w:tc>
      </w:tr>
      <w:tr w:rsidR="00BC55A8" w:rsidRPr="00671E8F" w14:paraId="204EE839" w14:textId="77777777" w:rsidTr="00BC55A8">
        <w:trPr>
          <w:trHeight w:val="255"/>
        </w:trPr>
        <w:tc>
          <w:tcPr>
            <w:tcW w:w="487" w:type="dxa"/>
            <w:noWrap/>
            <w:vAlign w:val="center"/>
            <w:hideMark/>
          </w:tcPr>
          <w:p w14:paraId="1EAC3DE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w:t>
            </w:r>
          </w:p>
        </w:tc>
        <w:tc>
          <w:tcPr>
            <w:tcW w:w="1049" w:type="dxa"/>
            <w:noWrap/>
            <w:vAlign w:val="center"/>
            <w:hideMark/>
          </w:tcPr>
          <w:p w14:paraId="50CF0BCD"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5066</w:t>
            </w:r>
          </w:p>
        </w:tc>
        <w:tc>
          <w:tcPr>
            <w:tcW w:w="3253" w:type="dxa"/>
            <w:vAlign w:val="center"/>
            <w:hideMark/>
          </w:tcPr>
          <w:p w14:paraId="3204854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брзе саобраћајнице, деоница: Иверак-Лајковац</w:t>
            </w:r>
          </w:p>
        </w:tc>
        <w:tc>
          <w:tcPr>
            <w:tcW w:w="1731" w:type="dxa"/>
            <w:noWrap/>
            <w:vAlign w:val="center"/>
            <w:hideMark/>
          </w:tcPr>
          <w:p w14:paraId="7278B08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16.313.468.451</w:t>
            </w:r>
          </w:p>
        </w:tc>
        <w:tc>
          <w:tcPr>
            <w:tcW w:w="1868" w:type="dxa"/>
            <w:noWrap/>
            <w:vAlign w:val="center"/>
            <w:hideMark/>
          </w:tcPr>
          <w:p w14:paraId="1B1A1C4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8.300.488.000</w:t>
            </w:r>
          </w:p>
        </w:tc>
        <w:tc>
          <w:tcPr>
            <w:tcW w:w="1701" w:type="dxa"/>
            <w:noWrap/>
            <w:vAlign w:val="center"/>
            <w:hideMark/>
          </w:tcPr>
          <w:p w14:paraId="53BC218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5.700.000.000</w:t>
            </w:r>
          </w:p>
        </w:tc>
        <w:tc>
          <w:tcPr>
            <w:tcW w:w="1701" w:type="dxa"/>
            <w:noWrap/>
            <w:vAlign w:val="center"/>
            <w:hideMark/>
          </w:tcPr>
          <w:p w14:paraId="735EAE9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2.348.990.545</w:t>
            </w:r>
          </w:p>
        </w:tc>
        <w:tc>
          <w:tcPr>
            <w:tcW w:w="1654" w:type="dxa"/>
            <w:noWrap/>
            <w:vAlign w:val="center"/>
            <w:hideMark/>
          </w:tcPr>
          <w:p w14:paraId="125D282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1AD9604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32.662.946.996</w:t>
            </w:r>
          </w:p>
        </w:tc>
      </w:tr>
      <w:tr w:rsidR="00BC55A8" w:rsidRPr="00671E8F" w14:paraId="65F3A7A8" w14:textId="77777777" w:rsidTr="00BC55A8">
        <w:trPr>
          <w:trHeight w:val="510"/>
        </w:trPr>
        <w:tc>
          <w:tcPr>
            <w:tcW w:w="487" w:type="dxa"/>
            <w:noWrap/>
            <w:vAlign w:val="center"/>
            <w:hideMark/>
          </w:tcPr>
          <w:p w14:paraId="0E2F8C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w:t>
            </w:r>
          </w:p>
        </w:tc>
        <w:tc>
          <w:tcPr>
            <w:tcW w:w="1049" w:type="dxa"/>
            <w:noWrap/>
            <w:vAlign w:val="center"/>
            <w:hideMark/>
          </w:tcPr>
          <w:p w14:paraId="5121806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5067</w:t>
            </w:r>
          </w:p>
        </w:tc>
        <w:tc>
          <w:tcPr>
            <w:tcW w:w="3253" w:type="dxa"/>
            <w:vAlign w:val="center"/>
            <w:hideMark/>
          </w:tcPr>
          <w:p w14:paraId="0D47B208"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моста - обилазнице око Новог Сада са приступним саобраћајницама</w:t>
            </w:r>
          </w:p>
        </w:tc>
        <w:tc>
          <w:tcPr>
            <w:tcW w:w="1731" w:type="dxa"/>
            <w:noWrap/>
            <w:vAlign w:val="center"/>
            <w:hideMark/>
          </w:tcPr>
          <w:p w14:paraId="1285A2B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29.760.000</w:t>
            </w:r>
          </w:p>
        </w:tc>
        <w:tc>
          <w:tcPr>
            <w:tcW w:w="1868" w:type="dxa"/>
            <w:noWrap/>
            <w:vAlign w:val="center"/>
            <w:hideMark/>
          </w:tcPr>
          <w:p w14:paraId="2BC1119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3.811.000.000</w:t>
            </w:r>
          </w:p>
        </w:tc>
        <w:tc>
          <w:tcPr>
            <w:tcW w:w="1701" w:type="dxa"/>
            <w:noWrap/>
            <w:vAlign w:val="center"/>
            <w:hideMark/>
          </w:tcPr>
          <w:p w14:paraId="28CC9B0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3.000.000.000</w:t>
            </w:r>
          </w:p>
        </w:tc>
        <w:tc>
          <w:tcPr>
            <w:tcW w:w="1701" w:type="dxa"/>
            <w:noWrap/>
            <w:vAlign w:val="center"/>
            <w:hideMark/>
          </w:tcPr>
          <w:p w14:paraId="4C645F3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8.024.836.000</w:t>
            </w:r>
          </w:p>
        </w:tc>
        <w:tc>
          <w:tcPr>
            <w:tcW w:w="1654" w:type="dxa"/>
            <w:noWrap/>
            <w:vAlign w:val="center"/>
            <w:hideMark/>
          </w:tcPr>
          <w:p w14:paraId="41A4BA1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5.215.000.000</w:t>
            </w:r>
          </w:p>
        </w:tc>
        <w:tc>
          <w:tcPr>
            <w:tcW w:w="1748" w:type="dxa"/>
            <w:noWrap/>
            <w:vAlign w:val="center"/>
            <w:hideMark/>
          </w:tcPr>
          <w:p w14:paraId="67849FC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24.745.000.000</w:t>
            </w:r>
          </w:p>
        </w:tc>
      </w:tr>
      <w:tr w:rsidR="00BC55A8" w:rsidRPr="00671E8F" w14:paraId="485B6967" w14:textId="77777777" w:rsidTr="00BC55A8">
        <w:trPr>
          <w:trHeight w:val="255"/>
        </w:trPr>
        <w:tc>
          <w:tcPr>
            <w:tcW w:w="487" w:type="dxa"/>
            <w:noWrap/>
            <w:vAlign w:val="center"/>
            <w:hideMark/>
          </w:tcPr>
          <w:p w14:paraId="4F73C19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28</w:t>
            </w:r>
          </w:p>
        </w:tc>
        <w:tc>
          <w:tcPr>
            <w:tcW w:w="1049" w:type="dxa"/>
            <w:noWrap/>
            <w:vAlign w:val="center"/>
            <w:hideMark/>
          </w:tcPr>
          <w:p w14:paraId="26D72E87"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5069</w:t>
            </w:r>
          </w:p>
        </w:tc>
        <w:tc>
          <w:tcPr>
            <w:tcW w:w="3253" w:type="dxa"/>
            <w:vAlign w:val="center"/>
            <w:hideMark/>
          </w:tcPr>
          <w:p w14:paraId="2820B501"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Пројекат изградње обилазница и тунела</w:t>
            </w:r>
          </w:p>
        </w:tc>
        <w:tc>
          <w:tcPr>
            <w:tcW w:w="1731" w:type="dxa"/>
            <w:noWrap/>
            <w:vAlign w:val="center"/>
            <w:hideMark/>
          </w:tcPr>
          <w:p w14:paraId="09CCB78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3.430.718.083</w:t>
            </w:r>
          </w:p>
        </w:tc>
        <w:tc>
          <w:tcPr>
            <w:tcW w:w="1868" w:type="dxa"/>
            <w:noWrap/>
            <w:vAlign w:val="center"/>
            <w:hideMark/>
          </w:tcPr>
          <w:p w14:paraId="0DA9EA4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2.610.000.000</w:t>
            </w:r>
          </w:p>
        </w:tc>
        <w:tc>
          <w:tcPr>
            <w:tcW w:w="1701" w:type="dxa"/>
            <w:noWrap/>
            <w:vAlign w:val="center"/>
            <w:hideMark/>
          </w:tcPr>
          <w:p w14:paraId="4A8C46C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3.700.000.000</w:t>
            </w:r>
          </w:p>
        </w:tc>
        <w:tc>
          <w:tcPr>
            <w:tcW w:w="1701" w:type="dxa"/>
            <w:noWrap/>
            <w:vAlign w:val="center"/>
            <w:hideMark/>
          </w:tcPr>
          <w:p w14:paraId="0285377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2.600.000.000</w:t>
            </w:r>
          </w:p>
        </w:tc>
        <w:tc>
          <w:tcPr>
            <w:tcW w:w="1654" w:type="dxa"/>
            <w:noWrap/>
            <w:vAlign w:val="center"/>
            <w:hideMark/>
          </w:tcPr>
          <w:p w14:paraId="4BAD6F8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2.500.000.000</w:t>
            </w:r>
          </w:p>
        </w:tc>
        <w:tc>
          <w:tcPr>
            <w:tcW w:w="1748" w:type="dxa"/>
            <w:noWrap/>
            <w:vAlign w:val="center"/>
            <w:hideMark/>
          </w:tcPr>
          <w:p w14:paraId="579D4B3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16.000.000.000</w:t>
            </w:r>
          </w:p>
        </w:tc>
      </w:tr>
      <w:tr w:rsidR="00BC55A8" w:rsidRPr="00671E8F" w14:paraId="2D01236B" w14:textId="77777777" w:rsidTr="00BC55A8">
        <w:trPr>
          <w:trHeight w:val="765"/>
        </w:trPr>
        <w:tc>
          <w:tcPr>
            <w:tcW w:w="487" w:type="dxa"/>
            <w:noWrap/>
            <w:vAlign w:val="center"/>
            <w:hideMark/>
          </w:tcPr>
          <w:p w14:paraId="75E767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w:t>
            </w:r>
          </w:p>
        </w:tc>
        <w:tc>
          <w:tcPr>
            <w:tcW w:w="1049" w:type="dxa"/>
            <w:noWrap/>
            <w:vAlign w:val="center"/>
            <w:hideMark/>
          </w:tcPr>
          <w:p w14:paraId="498956A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5070</w:t>
            </w:r>
          </w:p>
        </w:tc>
        <w:tc>
          <w:tcPr>
            <w:tcW w:w="3253" w:type="dxa"/>
            <w:vAlign w:val="center"/>
            <w:hideMark/>
          </w:tcPr>
          <w:p w14:paraId="34CDB01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Пројекат изградње комуналне (канализационе) инфраструктуре и инфраструктуре за одлагање комуналног чврстог отпада у Републици Србији</w:t>
            </w:r>
          </w:p>
        </w:tc>
        <w:tc>
          <w:tcPr>
            <w:tcW w:w="1731" w:type="dxa"/>
            <w:noWrap/>
            <w:vAlign w:val="center"/>
            <w:hideMark/>
          </w:tcPr>
          <w:p w14:paraId="51E8318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27.191.110.142</w:t>
            </w:r>
          </w:p>
        </w:tc>
        <w:tc>
          <w:tcPr>
            <w:tcW w:w="1868" w:type="dxa"/>
            <w:noWrap/>
            <w:vAlign w:val="center"/>
            <w:hideMark/>
          </w:tcPr>
          <w:p w14:paraId="53C0C81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8.278.162.000</w:t>
            </w:r>
          </w:p>
        </w:tc>
        <w:tc>
          <w:tcPr>
            <w:tcW w:w="1701" w:type="dxa"/>
            <w:noWrap/>
            <w:vAlign w:val="center"/>
            <w:hideMark/>
          </w:tcPr>
          <w:p w14:paraId="25C9994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701" w:type="dxa"/>
            <w:noWrap/>
            <w:vAlign w:val="center"/>
            <w:hideMark/>
          </w:tcPr>
          <w:p w14:paraId="420976E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10.027.149.000</w:t>
            </w:r>
          </w:p>
        </w:tc>
        <w:tc>
          <w:tcPr>
            <w:tcW w:w="1654" w:type="dxa"/>
            <w:noWrap/>
            <w:vAlign w:val="center"/>
            <w:hideMark/>
          </w:tcPr>
          <w:p w14:paraId="00246F4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10.054.575.000</w:t>
            </w:r>
          </w:p>
        </w:tc>
        <w:tc>
          <w:tcPr>
            <w:tcW w:w="1748" w:type="dxa"/>
            <w:noWrap/>
            <w:vAlign w:val="center"/>
            <w:hideMark/>
          </w:tcPr>
          <w:p w14:paraId="10CD3F4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367.895.069.040</w:t>
            </w:r>
          </w:p>
        </w:tc>
      </w:tr>
      <w:tr w:rsidR="00BC55A8" w:rsidRPr="00671E8F" w14:paraId="763846DF" w14:textId="77777777" w:rsidTr="00BC55A8">
        <w:trPr>
          <w:trHeight w:val="510"/>
        </w:trPr>
        <w:tc>
          <w:tcPr>
            <w:tcW w:w="487" w:type="dxa"/>
            <w:noWrap/>
            <w:vAlign w:val="center"/>
            <w:hideMark/>
          </w:tcPr>
          <w:p w14:paraId="1FB8908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w:t>
            </w:r>
          </w:p>
        </w:tc>
        <w:tc>
          <w:tcPr>
            <w:tcW w:w="1049" w:type="dxa"/>
            <w:noWrap/>
            <w:vAlign w:val="center"/>
            <w:hideMark/>
          </w:tcPr>
          <w:p w14:paraId="068E449F"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5071</w:t>
            </w:r>
          </w:p>
        </w:tc>
        <w:tc>
          <w:tcPr>
            <w:tcW w:w="3253" w:type="dxa"/>
            <w:vAlign w:val="center"/>
            <w:hideMark/>
          </w:tcPr>
          <w:p w14:paraId="1AEB419C"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Пројекат сакупљања и пречишћавања отпадних вода Централног канализационог система Града Београда</w:t>
            </w:r>
          </w:p>
        </w:tc>
        <w:tc>
          <w:tcPr>
            <w:tcW w:w="1731" w:type="dxa"/>
            <w:noWrap/>
            <w:vAlign w:val="center"/>
            <w:hideMark/>
          </w:tcPr>
          <w:p w14:paraId="4E40B9D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846.095.280</w:t>
            </w:r>
          </w:p>
        </w:tc>
        <w:tc>
          <w:tcPr>
            <w:tcW w:w="1868" w:type="dxa"/>
            <w:noWrap/>
            <w:vAlign w:val="center"/>
            <w:hideMark/>
          </w:tcPr>
          <w:p w14:paraId="2426417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w:t>
            </w:r>
          </w:p>
        </w:tc>
        <w:tc>
          <w:tcPr>
            <w:tcW w:w="1701" w:type="dxa"/>
            <w:noWrap/>
            <w:vAlign w:val="center"/>
            <w:hideMark/>
          </w:tcPr>
          <w:p w14:paraId="6AAAAD0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701" w:type="dxa"/>
            <w:noWrap/>
            <w:vAlign w:val="center"/>
            <w:hideMark/>
          </w:tcPr>
          <w:p w14:paraId="30BCB8D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6.700.000.000</w:t>
            </w:r>
          </w:p>
        </w:tc>
        <w:tc>
          <w:tcPr>
            <w:tcW w:w="1654" w:type="dxa"/>
            <w:noWrap/>
            <w:vAlign w:val="center"/>
            <w:hideMark/>
          </w:tcPr>
          <w:p w14:paraId="530CCF8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6.700.000.000</w:t>
            </w:r>
          </w:p>
        </w:tc>
        <w:tc>
          <w:tcPr>
            <w:tcW w:w="1748" w:type="dxa"/>
            <w:noWrap/>
            <w:vAlign w:val="center"/>
            <w:hideMark/>
          </w:tcPr>
          <w:p w14:paraId="2D822E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32.604.000.000</w:t>
            </w:r>
          </w:p>
        </w:tc>
      </w:tr>
      <w:tr w:rsidR="00BC55A8" w:rsidRPr="00671E8F" w14:paraId="36A5369D" w14:textId="77777777" w:rsidTr="00BC55A8">
        <w:trPr>
          <w:trHeight w:val="255"/>
        </w:trPr>
        <w:tc>
          <w:tcPr>
            <w:tcW w:w="487" w:type="dxa"/>
            <w:noWrap/>
            <w:vAlign w:val="center"/>
            <w:hideMark/>
          </w:tcPr>
          <w:p w14:paraId="6803CA9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31</w:t>
            </w:r>
          </w:p>
        </w:tc>
        <w:tc>
          <w:tcPr>
            <w:tcW w:w="1049" w:type="dxa"/>
            <w:noWrap/>
            <w:vAlign w:val="center"/>
            <w:hideMark/>
          </w:tcPr>
          <w:p w14:paraId="74805DD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5072</w:t>
            </w:r>
          </w:p>
        </w:tc>
        <w:tc>
          <w:tcPr>
            <w:tcW w:w="3253" w:type="dxa"/>
            <w:vAlign w:val="center"/>
            <w:hideMark/>
          </w:tcPr>
          <w:p w14:paraId="7B9E0B6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београдског метроа (Линија 1 - фазе 1 и 2)</w:t>
            </w:r>
          </w:p>
        </w:tc>
        <w:tc>
          <w:tcPr>
            <w:tcW w:w="1731" w:type="dxa"/>
            <w:noWrap/>
            <w:vAlign w:val="center"/>
            <w:hideMark/>
          </w:tcPr>
          <w:p w14:paraId="79275A4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2.048.253.100</w:t>
            </w:r>
          </w:p>
        </w:tc>
        <w:tc>
          <w:tcPr>
            <w:tcW w:w="1868" w:type="dxa"/>
            <w:noWrap/>
            <w:vAlign w:val="center"/>
            <w:hideMark/>
          </w:tcPr>
          <w:p w14:paraId="75BF787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7.407.705.000</w:t>
            </w:r>
          </w:p>
        </w:tc>
        <w:tc>
          <w:tcPr>
            <w:tcW w:w="1701" w:type="dxa"/>
            <w:noWrap/>
            <w:vAlign w:val="center"/>
            <w:hideMark/>
          </w:tcPr>
          <w:p w14:paraId="4D7D2DE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6.452.356.000</w:t>
            </w:r>
          </w:p>
        </w:tc>
        <w:tc>
          <w:tcPr>
            <w:tcW w:w="1701" w:type="dxa"/>
            <w:noWrap/>
            <w:vAlign w:val="center"/>
            <w:hideMark/>
          </w:tcPr>
          <w:p w14:paraId="56567AB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6.500.000.000</w:t>
            </w:r>
          </w:p>
        </w:tc>
        <w:tc>
          <w:tcPr>
            <w:tcW w:w="1654" w:type="dxa"/>
            <w:noWrap/>
            <w:vAlign w:val="center"/>
            <w:hideMark/>
          </w:tcPr>
          <w:p w14:paraId="4EAF889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6.474.770.000</w:t>
            </w:r>
          </w:p>
        </w:tc>
        <w:tc>
          <w:tcPr>
            <w:tcW w:w="1748" w:type="dxa"/>
            <w:noWrap/>
            <w:vAlign w:val="center"/>
            <w:hideMark/>
          </w:tcPr>
          <w:p w14:paraId="3F18D4B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72.850.000.000</w:t>
            </w:r>
          </w:p>
        </w:tc>
      </w:tr>
      <w:tr w:rsidR="00BC55A8" w:rsidRPr="00671E8F" w14:paraId="3B0985B3" w14:textId="77777777" w:rsidTr="00BC55A8">
        <w:trPr>
          <w:trHeight w:val="255"/>
        </w:trPr>
        <w:tc>
          <w:tcPr>
            <w:tcW w:w="487" w:type="dxa"/>
            <w:noWrap/>
            <w:vAlign w:val="center"/>
            <w:hideMark/>
          </w:tcPr>
          <w:p w14:paraId="7B2CFF7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w:t>
            </w:r>
          </w:p>
        </w:tc>
        <w:tc>
          <w:tcPr>
            <w:tcW w:w="1049" w:type="dxa"/>
            <w:noWrap/>
            <w:vAlign w:val="center"/>
            <w:hideMark/>
          </w:tcPr>
          <w:p w14:paraId="0851A80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5074</w:t>
            </w:r>
          </w:p>
        </w:tc>
        <w:tc>
          <w:tcPr>
            <w:tcW w:w="3253" w:type="dxa"/>
            <w:vAlign w:val="center"/>
            <w:hideMark/>
          </w:tcPr>
          <w:p w14:paraId="3FA75A0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северне обилазнице око Крагујевца</w:t>
            </w:r>
          </w:p>
        </w:tc>
        <w:tc>
          <w:tcPr>
            <w:tcW w:w="1731" w:type="dxa"/>
            <w:noWrap/>
            <w:vAlign w:val="center"/>
            <w:hideMark/>
          </w:tcPr>
          <w:p w14:paraId="1235775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1.156.082.990</w:t>
            </w:r>
          </w:p>
        </w:tc>
        <w:tc>
          <w:tcPr>
            <w:tcW w:w="1868" w:type="dxa"/>
            <w:noWrap/>
            <w:vAlign w:val="center"/>
            <w:hideMark/>
          </w:tcPr>
          <w:p w14:paraId="2830124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5.131.881.000</w:t>
            </w:r>
          </w:p>
        </w:tc>
        <w:tc>
          <w:tcPr>
            <w:tcW w:w="1701" w:type="dxa"/>
            <w:noWrap/>
            <w:vAlign w:val="center"/>
            <w:hideMark/>
          </w:tcPr>
          <w:p w14:paraId="573B220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701" w:type="dxa"/>
            <w:noWrap/>
            <w:vAlign w:val="center"/>
            <w:hideMark/>
          </w:tcPr>
          <w:p w14:paraId="12959C1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654" w:type="dxa"/>
            <w:noWrap/>
            <w:vAlign w:val="center"/>
            <w:hideMark/>
          </w:tcPr>
          <w:p w14:paraId="109222F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748" w:type="dxa"/>
            <w:noWrap/>
            <w:vAlign w:val="center"/>
            <w:hideMark/>
          </w:tcPr>
          <w:p w14:paraId="5154BD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40.200.000.000</w:t>
            </w:r>
          </w:p>
        </w:tc>
      </w:tr>
      <w:tr w:rsidR="00BC55A8" w:rsidRPr="00671E8F" w14:paraId="66BCE680" w14:textId="77777777" w:rsidTr="00BC55A8">
        <w:trPr>
          <w:trHeight w:val="255"/>
        </w:trPr>
        <w:tc>
          <w:tcPr>
            <w:tcW w:w="487" w:type="dxa"/>
            <w:noWrap/>
            <w:vAlign w:val="center"/>
            <w:hideMark/>
          </w:tcPr>
          <w:p w14:paraId="775B085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lastRenderedPageBreak/>
              <w:t>33</w:t>
            </w:r>
          </w:p>
        </w:tc>
        <w:tc>
          <w:tcPr>
            <w:tcW w:w="1049" w:type="dxa"/>
            <w:noWrap/>
            <w:vAlign w:val="center"/>
            <w:hideMark/>
          </w:tcPr>
          <w:p w14:paraId="7A5C6D36"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5076</w:t>
            </w:r>
          </w:p>
        </w:tc>
        <w:tc>
          <w:tcPr>
            <w:tcW w:w="3253" w:type="dxa"/>
            <w:vAlign w:val="center"/>
            <w:hideMark/>
          </w:tcPr>
          <w:p w14:paraId="46D6AF05"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Брза саобраћајница Е-75, петља Пожаревац - Голубац</w:t>
            </w:r>
          </w:p>
        </w:tc>
        <w:tc>
          <w:tcPr>
            <w:tcW w:w="1731" w:type="dxa"/>
            <w:noWrap/>
            <w:vAlign w:val="center"/>
            <w:hideMark/>
          </w:tcPr>
          <w:p w14:paraId="35053D2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24.048.102.950</w:t>
            </w:r>
          </w:p>
        </w:tc>
        <w:tc>
          <w:tcPr>
            <w:tcW w:w="1868" w:type="dxa"/>
            <w:noWrap/>
            <w:vAlign w:val="center"/>
            <w:hideMark/>
          </w:tcPr>
          <w:p w14:paraId="25075E4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11.349.422.000</w:t>
            </w:r>
          </w:p>
        </w:tc>
        <w:tc>
          <w:tcPr>
            <w:tcW w:w="1701" w:type="dxa"/>
            <w:noWrap/>
            <w:vAlign w:val="center"/>
            <w:hideMark/>
          </w:tcPr>
          <w:p w14:paraId="26B7A4B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11.000.000.000</w:t>
            </w:r>
          </w:p>
        </w:tc>
        <w:tc>
          <w:tcPr>
            <w:tcW w:w="1701" w:type="dxa"/>
            <w:noWrap/>
            <w:vAlign w:val="center"/>
            <w:hideMark/>
          </w:tcPr>
          <w:p w14:paraId="6E37477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11.000.000.000</w:t>
            </w:r>
          </w:p>
        </w:tc>
        <w:tc>
          <w:tcPr>
            <w:tcW w:w="1654" w:type="dxa"/>
            <w:noWrap/>
            <w:vAlign w:val="center"/>
            <w:hideMark/>
          </w:tcPr>
          <w:p w14:paraId="59BE710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1.450.000.000</w:t>
            </w:r>
          </w:p>
        </w:tc>
        <w:tc>
          <w:tcPr>
            <w:tcW w:w="1748" w:type="dxa"/>
            <w:noWrap/>
            <w:vAlign w:val="center"/>
            <w:hideMark/>
          </w:tcPr>
          <w:p w14:paraId="7A032C0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61.500.000.000</w:t>
            </w:r>
          </w:p>
        </w:tc>
      </w:tr>
      <w:tr w:rsidR="00BC55A8" w:rsidRPr="00671E8F" w14:paraId="0822FD53" w14:textId="77777777" w:rsidTr="00BC55A8">
        <w:trPr>
          <w:trHeight w:val="255"/>
        </w:trPr>
        <w:tc>
          <w:tcPr>
            <w:tcW w:w="487" w:type="dxa"/>
            <w:noWrap/>
            <w:vAlign w:val="center"/>
            <w:hideMark/>
          </w:tcPr>
          <w:p w14:paraId="77E3B44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34</w:t>
            </w:r>
          </w:p>
        </w:tc>
        <w:tc>
          <w:tcPr>
            <w:tcW w:w="1049" w:type="dxa"/>
            <w:noWrap/>
            <w:vAlign w:val="center"/>
            <w:hideMark/>
          </w:tcPr>
          <w:p w14:paraId="7589258B"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5077</w:t>
            </w:r>
          </w:p>
        </w:tc>
        <w:tc>
          <w:tcPr>
            <w:tcW w:w="3253" w:type="dxa"/>
            <w:vAlign w:val="center"/>
            <w:hideMark/>
          </w:tcPr>
          <w:p w14:paraId="29724699"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центра за обуку чланова посаде бродова</w:t>
            </w:r>
          </w:p>
        </w:tc>
        <w:tc>
          <w:tcPr>
            <w:tcW w:w="1731" w:type="dxa"/>
            <w:noWrap/>
            <w:vAlign w:val="center"/>
            <w:hideMark/>
          </w:tcPr>
          <w:p w14:paraId="200B34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32.368.664</w:t>
            </w:r>
          </w:p>
        </w:tc>
        <w:tc>
          <w:tcPr>
            <w:tcW w:w="1868" w:type="dxa"/>
            <w:noWrap/>
            <w:vAlign w:val="center"/>
            <w:hideMark/>
          </w:tcPr>
          <w:p w14:paraId="68DF43F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27.197.000</w:t>
            </w:r>
          </w:p>
        </w:tc>
        <w:tc>
          <w:tcPr>
            <w:tcW w:w="1701" w:type="dxa"/>
            <w:noWrap/>
            <w:vAlign w:val="center"/>
            <w:hideMark/>
          </w:tcPr>
          <w:p w14:paraId="583F9C6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2.233.144.000</w:t>
            </w:r>
          </w:p>
        </w:tc>
        <w:tc>
          <w:tcPr>
            <w:tcW w:w="1701" w:type="dxa"/>
            <w:noWrap/>
            <w:vAlign w:val="center"/>
            <w:hideMark/>
          </w:tcPr>
          <w:p w14:paraId="1B60A37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2.130.000.000</w:t>
            </w:r>
          </w:p>
        </w:tc>
        <w:tc>
          <w:tcPr>
            <w:tcW w:w="1654" w:type="dxa"/>
            <w:noWrap/>
            <w:vAlign w:val="center"/>
            <w:hideMark/>
          </w:tcPr>
          <w:p w14:paraId="656BE9F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463.996.000</w:t>
            </w:r>
          </w:p>
        </w:tc>
        <w:tc>
          <w:tcPr>
            <w:tcW w:w="1748" w:type="dxa"/>
            <w:noWrap/>
            <w:vAlign w:val="center"/>
            <w:hideMark/>
          </w:tcPr>
          <w:p w14:paraId="77FB8B7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5.195.350.000</w:t>
            </w:r>
          </w:p>
        </w:tc>
      </w:tr>
      <w:tr w:rsidR="00BC55A8" w:rsidRPr="00671E8F" w14:paraId="0DC0816D" w14:textId="77777777" w:rsidTr="00BC55A8">
        <w:trPr>
          <w:trHeight w:val="255"/>
        </w:trPr>
        <w:tc>
          <w:tcPr>
            <w:tcW w:w="487" w:type="dxa"/>
            <w:noWrap/>
            <w:vAlign w:val="center"/>
            <w:hideMark/>
          </w:tcPr>
          <w:p w14:paraId="415D149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w:t>
            </w:r>
          </w:p>
        </w:tc>
        <w:tc>
          <w:tcPr>
            <w:tcW w:w="1049" w:type="dxa"/>
            <w:noWrap/>
            <w:vAlign w:val="center"/>
            <w:hideMark/>
          </w:tcPr>
          <w:p w14:paraId="2AEB007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5078</w:t>
            </w:r>
          </w:p>
        </w:tc>
        <w:tc>
          <w:tcPr>
            <w:tcW w:w="3253" w:type="dxa"/>
            <w:vAlign w:val="center"/>
            <w:hideMark/>
          </w:tcPr>
          <w:p w14:paraId="147D2CB2"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Модернизација железничког сектора у Србији</w:t>
            </w:r>
          </w:p>
        </w:tc>
        <w:tc>
          <w:tcPr>
            <w:tcW w:w="1731" w:type="dxa"/>
            <w:noWrap/>
            <w:vAlign w:val="center"/>
            <w:hideMark/>
          </w:tcPr>
          <w:p w14:paraId="2128783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200.389.573</w:t>
            </w:r>
          </w:p>
        </w:tc>
        <w:tc>
          <w:tcPr>
            <w:tcW w:w="1868" w:type="dxa"/>
            <w:noWrap/>
            <w:vAlign w:val="center"/>
            <w:hideMark/>
          </w:tcPr>
          <w:p w14:paraId="2899924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1.034.066.000</w:t>
            </w:r>
          </w:p>
        </w:tc>
        <w:tc>
          <w:tcPr>
            <w:tcW w:w="1701" w:type="dxa"/>
            <w:noWrap/>
            <w:vAlign w:val="center"/>
            <w:hideMark/>
          </w:tcPr>
          <w:p w14:paraId="268C962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2.390.031.000</w:t>
            </w:r>
          </w:p>
        </w:tc>
        <w:tc>
          <w:tcPr>
            <w:tcW w:w="1701" w:type="dxa"/>
            <w:noWrap/>
            <w:vAlign w:val="center"/>
            <w:hideMark/>
          </w:tcPr>
          <w:p w14:paraId="7A68A45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2.085.769.000</w:t>
            </w:r>
          </w:p>
        </w:tc>
        <w:tc>
          <w:tcPr>
            <w:tcW w:w="1654" w:type="dxa"/>
            <w:noWrap/>
            <w:vAlign w:val="center"/>
            <w:hideMark/>
          </w:tcPr>
          <w:p w14:paraId="1B757F7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2.200.000.000</w:t>
            </w:r>
          </w:p>
        </w:tc>
        <w:tc>
          <w:tcPr>
            <w:tcW w:w="1748" w:type="dxa"/>
            <w:noWrap/>
            <w:vAlign w:val="center"/>
            <w:hideMark/>
          </w:tcPr>
          <w:p w14:paraId="05A7B46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12.036.000.000</w:t>
            </w:r>
          </w:p>
        </w:tc>
      </w:tr>
      <w:tr w:rsidR="00BC55A8" w:rsidRPr="00671E8F" w14:paraId="21749F61" w14:textId="77777777" w:rsidTr="00BC55A8">
        <w:trPr>
          <w:trHeight w:val="255"/>
        </w:trPr>
        <w:tc>
          <w:tcPr>
            <w:tcW w:w="487" w:type="dxa"/>
            <w:noWrap/>
            <w:vAlign w:val="center"/>
            <w:hideMark/>
          </w:tcPr>
          <w:p w14:paraId="2D31FA4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36</w:t>
            </w:r>
          </w:p>
        </w:tc>
        <w:tc>
          <w:tcPr>
            <w:tcW w:w="1049" w:type="dxa"/>
            <w:noWrap/>
            <w:vAlign w:val="center"/>
            <w:hideMark/>
          </w:tcPr>
          <w:p w14:paraId="715C55A7"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5038</w:t>
            </w:r>
          </w:p>
        </w:tc>
        <w:tc>
          <w:tcPr>
            <w:tcW w:w="3253" w:type="dxa"/>
            <w:vAlign w:val="center"/>
            <w:hideMark/>
          </w:tcPr>
          <w:p w14:paraId="7E4EE744"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Адаптација бродске преводнице у саставу ХЕПС „Ђердап 1”</w:t>
            </w:r>
          </w:p>
        </w:tc>
        <w:tc>
          <w:tcPr>
            <w:tcW w:w="1731" w:type="dxa"/>
            <w:noWrap/>
            <w:vAlign w:val="center"/>
            <w:hideMark/>
          </w:tcPr>
          <w:p w14:paraId="340B28C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3.511.665.290</w:t>
            </w:r>
          </w:p>
        </w:tc>
        <w:tc>
          <w:tcPr>
            <w:tcW w:w="1868" w:type="dxa"/>
            <w:noWrap/>
            <w:vAlign w:val="center"/>
            <w:hideMark/>
          </w:tcPr>
          <w:p w14:paraId="2B28CEC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w:t>
            </w:r>
          </w:p>
        </w:tc>
        <w:tc>
          <w:tcPr>
            <w:tcW w:w="1701" w:type="dxa"/>
            <w:noWrap/>
            <w:vAlign w:val="center"/>
            <w:hideMark/>
          </w:tcPr>
          <w:p w14:paraId="5791C31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0DF653E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654" w:type="dxa"/>
            <w:noWrap/>
            <w:vAlign w:val="center"/>
            <w:hideMark/>
          </w:tcPr>
          <w:p w14:paraId="3DFD72C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3F28F61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3.523.665.290</w:t>
            </w:r>
          </w:p>
        </w:tc>
      </w:tr>
      <w:tr w:rsidR="00BC55A8" w:rsidRPr="00671E8F" w14:paraId="43F738A1" w14:textId="77777777" w:rsidTr="00BC55A8">
        <w:trPr>
          <w:trHeight w:val="255"/>
        </w:trPr>
        <w:tc>
          <w:tcPr>
            <w:tcW w:w="487" w:type="dxa"/>
            <w:noWrap/>
            <w:vAlign w:val="center"/>
            <w:hideMark/>
          </w:tcPr>
          <w:p w14:paraId="1212FE5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37</w:t>
            </w:r>
          </w:p>
        </w:tc>
        <w:tc>
          <w:tcPr>
            <w:tcW w:w="1049" w:type="dxa"/>
            <w:noWrap/>
            <w:vAlign w:val="center"/>
            <w:hideMark/>
          </w:tcPr>
          <w:p w14:paraId="7DB5237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5048</w:t>
            </w:r>
          </w:p>
        </w:tc>
        <w:tc>
          <w:tcPr>
            <w:tcW w:w="3253" w:type="dxa"/>
            <w:vAlign w:val="center"/>
            <w:hideMark/>
          </w:tcPr>
          <w:p w14:paraId="291EFC8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аутопута Е-763, деоница: Нови Београд-Сурчин</w:t>
            </w:r>
          </w:p>
        </w:tc>
        <w:tc>
          <w:tcPr>
            <w:tcW w:w="1731" w:type="dxa"/>
            <w:noWrap/>
            <w:vAlign w:val="center"/>
            <w:hideMark/>
          </w:tcPr>
          <w:p w14:paraId="24CA8E9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9.898.167.048</w:t>
            </w:r>
          </w:p>
        </w:tc>
        <w:tc>
          <w:tcPr>
            <w:tcW w:w="1868" w:type="dxa"/>
            <w:noWrap/>
            <w:vAlign w:val="center"/>
            <w:hideMark/>
          </w:tcPr>
          <w:p w14:paraId="09CD6F5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600.000.000</w:t>
            </w:r>
          </w:p>
        </w:tc>
        <w:tc>
          <w:tcPr>
            <w:tcW w:w="1701" w:type="dxa"/>
            <w:noWrap/>
            <w:vAlign w:val="center"/>
            <w:hideMark/>
          </w:tcPr>
          <w:p w14:paraId="2934CB0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600.000.000</w:t>
            </w:r>
          </w:p>
        </w:tc>
        <w:tc>
          <w:tcPr>
            <w:tcW w:w="1701" w:type="dxa"/>
            <w:noWrap/>
            <w:vAlign w:val="center"/>
            <w:hideMark/>
          </w:tcPr>
          <w:p w14:paraId="695C7E8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800.000.000</w:t>
            </w:r>
          </w:p>
        </w:tc>
        <w:tc>
          <w:tcPr>
            <w:tcW w:w="1654" w:type="dxa"/>
            <w:noWrap/>
            <w:vAlign w:val="center"/>
            <w:hideMark/>
          </w:tcPr>
          <w:p w14:paraId="1C6F4F2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11.000.000</w:t>
            </w:r>
          </w:p>
        </w:tc>
        <w:tc>
          <w:tcPr>
            <w:tcW w:w="1748" w:type="dxa"/>
            <w:noWrap/>
            <w:vAlign w:val="center"/>
            <w:hideMark/>
          </w:tcPr>
          <w:p w14:paraId="753D190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11.913.416.608</w:t>
            </w:r>
          </w:p>
        </w:tc>
      </w:tr>
      <w:tr w:rsidR="00BC55A8" w:rsidRPr="00671E8F" w14:paraId="056F4C84" w14:textId="77777777" w:rsidTr="00BC55A8">
        <w:trPr>
          <w:trHeight w:val="255"/>
        </w:trPr>
        <w:tc>
          <w:tcPr>
            <w:tcW w:w="487" w:type="dxa"/>
            <w:noWrap/>
            <w:vAlign w:val="center"/>
            <w:hideMark/>
          </w:tcPr>
          <w:p w14:paraId="7E444CC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38</w:t>
            </w:r>
          </w:p>
        </w:tc>
        <w:tc>
          <w:tcPr>
            <w:tcW w:w="1049" w:type="dxa"/>
            <w:noWrap/>
            <w:vAlign w:val="center"/>
            <w:hideMark/>
          </w:tcPr>
          <w:p w14:paraId="1D427BC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5082</w:t>
            </w:r>
          </w:p>
        </w:tc>
        <w:tc>
          <w:tcPr>
            <w:tcW w:w="3253" w:type="dxa"/>
            <w:vAlign w:val="center"/>
            <w:hideMark/>
          </w:tcPr>
          <w:p w14:paraId="1A9298EC"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пруге између Земун поља и Националног стадиона</w:t>
            </w:r>
          </w:p>
        </w:tc>
        <w:tc>
          <w:tcPr>
            <w:tcW w:w="1731" w:type="dxa"/>
            <w:noWrap/>
            <w:vAlign w:val="center"/>
            <w:hideMark/>
          </w:tcPr>
          <w:p w14:paraId="0501483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1D3D0FF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8.778.270.000</w:t>
            </w:r>
          </w:p>
        </w:tc>
        <w:tc>
          <w:tcPr>
            <w:tcW w:w="1701" w:type="dxa"/>
            <w:noWrap/>
            <w:vAlign w:val="center"/>
            <w:hideMark/>
          </w:tcPr>
          <w:p w14:paraId="4A9A85B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18.000.000.000</w:t>
            </w:r>
          </w:p>
        </w:tc>
        <w:tc>
          <w:tcPr>
            <w:tcW w:w="1701" w:type="dxa"/>
            <w:noWrap/>
            <w:vAlign w:val="center"/>
            <w:hideMark/>
          </w:tcPr>
          <w:p w14:paraId="2507C70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15.500.000.000</w:t>
            </w:r>
          </w:p>
        </w:tc>
        <w:tc>
          <w:tcPr>
            <w:tcW w:w="1654" w:type="dxa"/>
            <w:noWrap/>
            <w:vAlign w:val="center"/>
            <w:hideMark/>
          </w:tcPr>
          <w:p w14:paraId="366ADD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4.876.717.664</w:t>
            </w:r>
          </w:p>
        </w:tc>
        <w:tc>
          <w:tcPr>
            <w:tcW w:w="1748" w:type="dxa"/>
            <w:noWrap/>
            <w:vAlign w:val="center"/>
            <w:hideMark/>
          </w:tcPr>
          <w:p w14:paraId="3CD2FE3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47.154.987.664</w:t>
            </w:r>
          </w:p>
        </w:tc>
      </w:tr>
      <w:tr w:rsidR="00BC55A8" w:rsidRPr="00671E8F" w14:paraId="47582BB3" w14:textId="77777777" w:rsidTr="00BC55A8">
        <w:trPr>
          <w:trHeight w:val="255"/>
        </w:trPr>
        <w:tc>
          <w:tcPr>
            <w:tcW w:w="487" w:type="dxa"/>
            <w:noWrap/>
            <w:vAlign w:val="center"/>
            <w:hideMark/>
          </w:tcPr>
          <w:p w14:paraId="19D710D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39</w:t>
            </w:r>
          </w:p>
        </w:tc>
        <w:tc>
          <w:tcPr>
            <w:tcW w:w="1049" w:type="dxa"/>
            <w:noWrap/>
            <w:vAlign w:val="center"/>
            <w:hideMark/>
          </w:tcPr>
          <w:p w14:paraId="6AADB40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5084</w:t>
            </w:r>
          </w:p>
        </w:tc>
        <w:tc>
          <w:tcPr>
            <w:tcW w:w="3253" w:type="dxa"/>
            <w:vAlign w:val="center"/>
            <w:hideMark/>
          </w:tcPr>
          <w:p w14:paraId="24DFC1D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Реконструкција и модернизација деонице пруге Београд – Ниш</w:t>
            </w:r>
          </w:p>
        </w:tc>
        <w:tc>
          <w:tcPr>
            <w:tcW w:w="1731" w:type="dxa"/>
            <w:noWrap/>
            <w:vAlign w:val="center"/>
            <w:hideMark/>
          </w:tcPr>
          <w:p w14:paraId="371D0EE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70D1A90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364E6E1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79E1A48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10.000.000.000</w:t>
            </w:r>
          </w:p>
        </w:tc>
        <w:tc>
          <w:tcPr>
            <w:tcW w:w="1654" w:type="dxa"/>
            <w:noWrap/>
            <w:vAlign w:val="center"/>
            <w:hideMark/>
          </w:tcPr>
          <w:p w14:paraId="607259F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30.000.000.000</w:t>
            </w:r>
          </w:p>
        </w:tc>
        <w:tc>
          <w:tcPr>
            <w:tcW w:w="1748" w:type="dxa"/>
            <w:noWrap/>
            <w:vAlign w:val="center"/>
            <w:hideMark/>
          </w:tcPr>
          <w:p w14:paraId="1DF1265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208.618.748.882</w:t>
            </w:r>
          </w:p>
        </w:tc>
      </w:tr>
      <w:tr w:rsidR="00BC55A8" w:rsidRPr="00671E8F" w14:paraId="5BBC8400" w14:textId="77777777" w:rsidTr="00BC55A8">
        <w:trPr>
          <w:trHeight w:val="510"/>
        </w:trPr>
        <w:tc>
          <w:tcPr>
            <w:tcW w:w="487" w:type="dxa"/>
            <w:noWrap/>
            <w:vAlign w:val="center"/>
            <w:hideMark/>
          </w:tcPr>
          <w:p w14:paraId="1C913AE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40</w:t>
            </w:r>
          </w:p>
        </w:tc>
        <w:tc>
          <w:tcPr>
            <w:tcW w:w="1049" w:type="dxa"/>
            <w:noWrap/>
            <w:vAlign w:val="center"/>
            <w:hideMark/>
          </w:tcPr>
          <w:p w14:paraId="0A8EB28D"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5085</w:t>
            </w:r>
          </w:p>
        </w:tc>
        <w:tc>
          <w:tcPr>
            <w:tcW w:w="3253" w:type="dxa"/>
            <w:vAlign w:val="center"/>
            <w:hideMark/>
          </w:tcPr>
          <w:p w14:paraId="1F6488E4"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пешачко-бициклистичког моста на стубовима старог моста у Новом Саду</w:t>
            </w:r>
          </w:p>
        </w:tc>
        <w:tc>
          <w:tcPr>
            <w:tcW w:w="1731" w:type="dxa"/>
            <w:noWrap/>
            <w:vAlign w:val="center"/>
            <w:hideMark/>
          </w:tcPr>
          <w:p w14:paraId="6EE4591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493B6F8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083328C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01" w:type="dxa"/>
            <w:noWrap/>
            <w:vAlign w:val="center"/>
            <w:hideMark/>
          </w:tcPr>
          <w:p w14:paraId="2DAF0DE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654" w:type="dxa"/>
            <w:noWrap/>
            <w:vAlign w:val="center"/>
            <w:hideMark/>
          </w:tcPr>
          <w:p w14:paraId="2FB4A9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5.000.000.000</w:t>
            </w:r>
          </w:p>
        </w:tc>
        <w:tc>
          <w:tcPr>
            <w:tcW w:w="1748" w:type="dxa"/>
            <w:noWrap/>
            <w:vAlign w:val="center"/>
            <w:hideMark/>
          </w:tcPr>
          <w:p w14:paraId="40E63CE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6.000.000.000</w:t>
            </w:r>
          </w:p>
        </w:tc>
      </w:tr>
      <w:tr w:rsidR="00BC55A8" w:rsidRPr="00671E8F" w14:paraId="54E3E49A" w14:textId="77777777" w:rsidTr="00BC55A8">
        <w:trPr>
          <w:trHeight w:val="255"/>
        </w:trPr>
        <w:tc>
          <w:tcPr>
            <w:tcW w:w="487" w:type="dxa"/>
            <w:noWrap/>
            <w:vAlign w:val="center"/>
            <w:hideMark/>
          </w:tcPr>
          <w:p w14:paraId="6A20D26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41</w:t>
            </w:r>
          </w:p>
        </w:tc>
        <w:tc>
          <w:tcPr>
            <w:tcW w:w="1049" w:type="dxa"/>
            <w:noWrap/>
            <w:vAlign w:val="center"/>
            <w:hideMark/>
          </w:tcPr>
          <w:p w14:paraId="0834DAE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5001</w:t>
            </w:r>
          </w:p>
        </w:tc>
        <w:tc>
          <w:tcPr>
            <w:tcW w:w="3253" w:type="dxa"/>
            <w:vAlign w:val="center"/>
            <w:hideMark/>
          </w:tcPr>
          <w:p w14:paraId="6EBE2103"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система за наводњавање - прва фаза</w:t>
            </w:r>
          </w:p>
        </w:tc>
        <w:tc>
          <w:tcPr>
            <w:tcW w:w="1731" w:type="dxa"/>
            <w:noWrap/>
            <w:vAlign w:val="center"/>
            <w:hideMark/>
          </w:tcPr>
          <w:p w14:paraId="0F05552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8.123.955.962</w:t>
            </w:r>
          </w:p>
        </w:tc>
        <w:tc>
          <w:tcPr>
            <w:tcW w:w="1868" w:type="dxa"/>
            <w:noWrap/>
            <w:vAlign w:val="center"/>
            <w:hideMark/>
          </w:tcPr>
          <w:p w14:paraId="5AA12DC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1.233.232.000</w:t>
            </w:r>
          </w:p>
        </w:tc>
        <w:tc>
          <w:tcPr>
            <w:tcW w:w="1701" w:type="dxa"/>
            <w:noWrap/>
            <w:vAlign w:val="center"/>
            <w:hideMark/>
          </w:tcPr>
          <w:p w14:paraId="74673A3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417.466.000</w:t>
            </w:r>
          </w:p>
        </w:tc>
        <w:tc>
          <w:tcPr>
            <w:tcW w:w="1701" w:type="dxa"/>
            <w:noWrap/>
            <w:vAlign w:val="center"/>
            <w:hideMark/>
          </w:tcPr>
          <w:p w14:paraId="3731058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361.346.038</w:t>
            </w:r>
          </w:p>
        </w:tc>
        <w:tc>
          <w:tcPr>
            <w:tcW w:w="1654" w:type="dxa"/>
            <w:noWrap/>
            <w:vAlign w:val="center"/>
            <w:hideMark/>
          </w:tcPr>
          <w:p w14:paraId="6EAEEDA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47DF198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10.136.000.000</w:t>
            </w:r>
          </w:p>
        </w:tc>
      </w:tr>
      <w:tr w:rsidR="00BC55A8" w:rsidRPr="00671E8F" w14:paraId="544F360D" w14:textId="77777777" w:rsidTr="00BC55A8">
        <w:trPr>
          <w:trHeight w:val="255"/>
        </w:trPr>
        <w:tc>
          <w:tcPr>
            <w:tcW w:w="487" w:type="dxa"/>
            <w:noWrap/>
            <w:vAlign w:val="center"/>
            <w:hideMark/>
          </w:tcPr>
          <w:p w14:paraId="45C5D27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42</w:t>
            </w:r>
          </w:p>
        </w:tc>
        <w:tc>
          <w:tcPr>
            <w:tcW w:w="1049" w:type="dxa"/>
            <w:noWrap/>
            <w:vAlign w:val="center"/>
            <w:hideMark/>
          </w:tcPr>
          <w:p w14:paraId="512910D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5003</w:t>
            </w:r>
          </w:p>
        </w:tc>
        <w:tc>
          <w:tcPr>
            <w:tcW w:w="3253" w:type="dxa"/>
            <w:vAlign w:val="center"/>
            <w:hideMark/>
          </w:tcPr>
          <w:p w14:paraId="2F78564F"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Брана са акумулацијом „АРИЉЕ” профил „СВРАЧКОВО” Ариље</w:t>
            </w:r>
          </w:p>
        </w:tc>
        <w:tc>
          <w:tcPr>
            <w:tcW w:w="1731" w:type="dxa"/>
            <w:noWrap/>
            <w:vAlign w:val="center"/>
            <w:hideMark/>
          </w:tcPr>
          <w:p w14:paraId="3693E9B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4.804.290.501</w:t>
            </w:r>
          </w:p>
        </w:tc>
        <w:tc>
          <w:tcPr>
            <w:tcW w:w="1868" w:type="dxa"/>
            <w:noWrap/>
            <w:vAlign w:val="center"/>
            <w:hideMark/>
          </w:tcPr>
          <w:p w14:paraId="637AFE1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1.701.209.000</w:t>
            </w:r>
          </w:p>
        </w:tc>
        <w:tc>
          <w:tcPr>
            <w:tcW w:w="1701" w:type="dxa"/>
            <w:noWrap/>
            <w:vAlign w:val="center"/>
            <w:hideMark/>
          </w:tcPr>
          <w:p w14:paraId="0072403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701.209.000</w:t>
            </w:r>
          </w:p>
        </w:tc>
        <w:tc>
          <w:tcPr>
            <w:tcW w:w="1701" w:type="dxa"/>
            <w:noWrap/>
            <w:vAlign w:val="center"/>
            <w:hideMark/>
          </w:tcPr>
          <w:p w14:paraId="3A16A75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701.209.000</w:t>
            </w:r>
          </w:p>
        </w:tc>
        <w:tc>
          <w:tcPr>
            <w:tcW w:w="1654" w:type="dxa"/>
            <w:noWrap/>
            <w:vAlign w:val="center"/>
            <w:hideMark/>
          </w:tcPr>
          <w:p w14:paraId="121DBBC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1.523.330.000</w:t>
            </w:r>
          </w:p>
        </w:tc>
        <w:tc>
          <w:tcPr>
            <w:tcW w:w="1748" w:type="dxa"/>
            <w:noWrap/>
            <w:vAlign w:val="center"/>
            <w:hideMark/>
          </w:tcPr>
          <w:p w14:paraId="19B8743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19.111.000.000</w:t>
            </w:r>
          </w:p>
        </w:tc>
      </w:tr>
      <w:tr w:rsidR="00BC55A8" w:rsidRPr="00671E8F" w14:paraId="05CA3BDF" w14:textId="77777777" w:rsidTr="00BC55A8">
        <w:trPr>
          <w:trHeight w:val="255"/>
        </w:trPr>
        <w:tc>
          <w:tcPr>
            <w:tcW w:w="487" w:type="dxa"/>
            <w:noWrap/>
            <w:vAlign w:val="center"/>
            <w:hideMark/>
          </w:tcPr>
          <w:p w14:paraId="7DD962E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43</w:t>
            </w:r>
          </w:p>
        </w:tc>
        <w:tc>
          <w:tcPr>
            <w:tcW w:w="1049" w:type="dxa"/>
            <w:noWrap/>
            <w:vAlign w:val="center"/>
            <w:hideMark/>
          </w:tcPr>
          <w:p w14:paraId="17B4B52E"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5003</w:t>
            </w:r>
          </w:p>
        </w:tc>
        <w:tc>
          <w:tcPr>
            <w:tcW w:w="3253" w:type="dxa"/>
            <w:vAlign w:val="center"/>
            <w:hideMark/>
          </w:tcPr>
          <w:p w14:paraId="0A975718"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Набавка опреме за сакупљање и рециклажу</w:t>
            </w:r>
          </w:p>
        </w:tc>
        <w:tc>
          <w:tcPr>
            <w:tcW w:w="1731" w:type="dxa"/>
            <w:noWrap/>
            <w:vAlign w:val="center"/>
            <w:hideMark/>
          </w:tcPr>
          <w:p w14:paraId="6AF4DBB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1.288.232.768</w:t>
            </w:r>
          </w:p>
        </w:tc>
        <w:tc>
          <w:tcPr>
            <w:tcW w:w="1868" w:type="dxa"/>
            <w:noWrap/>
            <w:vAlign w:val="center"/>
            <w:hideMark/>
          </w:tcPr>
          <w:p w14:paraId="4E9E6E9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561.000.000</w:t>
            </w:r>
          </w:p>
        </w:tc>
        <w:tc>
          <w:tcPr>
            <w:tcW w:w="1701" w:type="dxa"/>
            <w:noWrap/>
            <w:vAlign w:val="center"/>
            <w:hideMark/>
          </w:tcPr>
          <w:p w14:paraId="2F06B3F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561.000.000</w:t>
            </w:r>
          </w:p>
        </w:tc>
        <w:tc>
          <w:tcPr>
            <w:tcW w:w="1701" w:type="dxa"/>
            <w:noWrap/>
            <w:vAlign w:val="center"/>
            <w:hideMark/>
          </w:tcPr>
          <w:p w14:paraId="2F31C06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561.000.000</w:t>
            </w:r>
          </w:p>
        </w:tc>
        <w:tc>
          <w:tcPr>
            <w:tcW w:w="1654" w:type="dxa"/>
            <w:noWrap/>
            <w:vAlign w:val="center"/>
            <w:hideMark/>
          </w:tcPr>
          <w:p w14:paraId="22AFDEF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561.000.000</w:t>
            </w:r>
          </w:p>
        </w:tc>
        <w:tc>
          <w:tcPr>
            <w:tcW w:w="1748" w:type="dxa"/>
            <w:noWrap/>
            <w:vAlign w:val="center"/>
            <w:hideMark/>
          </w:tcPr>
          <w:p w14:paraId="500909C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3.532.232.768</w:t>
            </w:r>
          </w:p>
        </w:tc>
      </w:tr>
      <w:tr w:rsidR="00BC55A8" w:rsidRPr="00671E8F" w14:paraId="5A7A20E4" w14:textId="77777777" w:rsidTr="00BC55A8">
        <w:trPr>
          <w:trHeight w:val="255"/>
        </w:trPr>
        <w:tc>
          <w:tcPr>
            <w:tcW w:w="487" w:type="dxa"/>
            <w:noWrap/>
            <w:vAlign w:val="center"/>
            <w:hideMark/>
          </w:tcPr>
          <w:p w14:paraId="3A677C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44</w:t>
            </w:r>
          </w:p>
        </w:tc>
        <w:tc>
          <w:tcPr>
            <w:tcW w:w="1049" w:type="dxa"/>
            <w:noWrap/>
            <w:vAlign w:val="center"/>
            <w:hideMark/>
          </w:tcPr>
          <w:p w14:paraId="2F13C3F5"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5002</w:t>
            </w:r>
          </w:p>
        </w:tc>
        <w:tc>
          <w:tcPr>
            <w:tcW w:w="3253" w:type="dxa"/>
            <w:vAlign w:val="center"/>
            <w:hideMark/>
          </w:tcPr>
          <w:p w14:paraId="2451604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образовно-научних центара</w:t>
            </w:r>
          </w:p>
        </w:tc>
        <w:tc>
          <w:tcPr>
            <w:tcW w:w="1731" w:type="dxa"/>
            <w:noWrap/>
            <w:vAlign w:val="center"/>
            <w:hideMark/>
          </w:tcPr>
          <w:p w14:paraId="60E7483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23C9C68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135.360.000</w:t>
            </w:r>
          </w:p>
        </w:tc>
        <w:tc>
          <w:tcPr>
            <w:tcW w:w="1701" w:type="dxa"/>
            <w:noWrap/>
            <w:vAlign w:val="center"/>
            <w:hideMark/>
          </w:tcPr>
          <w:p w14:paraId="0ED15E5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455.360.000</w:t>
            </w:r>
          </w:p>
        </w:tc>
        <w:tc>
          <w:tcPr>
            <w:tcW w:w="1701" w:type="dxa"/>
            <w:noWrap/>
            <w:vAlign w:val="center"/>
            <w:hideMark/>
          </w:tcPr>
          <w:p w14:paraId="111D05C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1.955.360.000</w:t>
            </w:r>
          </w:p>
        </w:tc>
        <w:tc>
          <w:tcPr>
            <w:tcW w:w="1654" w:type="dxa"/>
            <w:noWrap/>
            <w:vAlign w:val="center"/>
            <w:hideMark/>
          </w:tcPr>
          <w:p w14:paraId="2173526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1.955.360.000</w:t>
            </w:r>
          </w:p>
        </w:tc>
        <w:tc>
          <w:tcPr>
            <w:tcW w:w="1748" w:type="dxa"/>
            <w:noWrap/>
            <w:vAlign w:val="center"/>
            <w:hideMark/>
          </w:tcPr>
          <w:p w14:paraId="602DDCB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4.751.304.000</w:t>
            </w:r>
          </w:p>
        </w:tc>
      </w:tr>
      <w:tr w:rsidR="00BC55A8" w:rsidRPr="00671E8F" w14:paraId="106FC807" w14:textId="77777777" w:rsidTr="00BC55A8">
        <w:trPr>
          <w:trHeight w:val="255"/>
        </w:trPr>
        <w:tc>
          <w:tcPr>
            <w:tcW w:w="487" w:type="dxa"/>
            <w:noWrap/>
            <w:vAlign w:val="center"/>
            <w:hideMark/>
          </w:tcPr>
          <w:p w14:paraId="1A4CA9B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45</w:t>
            </w:r>
          </w:p>
        </w:tc>
        <w:tc>
          <w:tcPr>
            <w:tcW w:w="1049" w:type="dxa"/>
            <w:noWrap/>
            <w:vAlign w:val="center"/>
            <w:hideMark/>
          </w:tcPr>
          <w:p w14:paraId="0A169D22"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5001</w:t>
            </w:r>
          </w:p>
        </w:tc>
        <w:tc>
          <w:tcPr>
            <w:tcW w:w="3253" w:type="dxa"/>
            <w:vAlign w:val="center"/>
            <w:hideMark/>
          </w:tcPr>
          <w:p w14:paraId="2096CCD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Реконструкција Универзитетског клиничког центра Србије, Београд</w:t>
            </w:r>
          </w:p>
        </w:tc>
        <w:tc>
          <w:tcPr>
            <w:tcW w:w="1731" w:type="dxa"/>
            <w:noWrap/>
            <w:vAlign w:val="center"/>
            <w:hideMark/>
          </w:tcPr>
          <w:p w14:paraId="543C088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14.149.448.096</w:t>
            </w:r>
          </w:p>
        </w:tc>
        <w:tc>
          <w:tcPr>
            <w:tcW w:w="1868" w:type="dxa"/>
            <w:noWrap/>
            <w:vAlign w:val="center"/>
            <w:hideMark/>
          </w:tcPr>
          <w:p w14:paraId="1E1FE90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175.000.000</w:t>
            </w:r>
          </w:p>
        </w:tc>
        <w:tc>
          <w:tcPr>
            <w:tcW w:w="1701" w:type="dxa"/>
            <w:noWrap/>
            <w:vAlign w:val="center"/>
            <w:hideMark/>
          </w:tcPr>
          <w:p w14:paraId="493B7E0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01" w:type="dxa"/>
            <w:noWrap/>
            <w:vAlign w:val="center"/>
            <w:hideMark/>
          </w:tcPr>
          <w:p w14:paraId="0A5F574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855.000.000</w:t>
            </w:r>
          </w:p>
        </w:tc>
        <w:tc>
          <w:tcPr>
            <w:tcW w:w="1654" w:type="dxa"/>
            <w:noWrap/>
            <w:vAlign w:val="center"/>
            <w:hideMark/>
          </w:tcPr>
          <w:p w14:paraId="06A4B64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77F1C06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15.679.448.096</w:t>
            </w:r>
          </w:p>
        </w:tc>
      </w:tr>
      <w:tr w:rsidR="00BC55A8" w:rsidRPr="00671E8F" w14:paraId="2DAEBB05" w14:textId="77777777" w:rsidTr="00BC55A8">
        <w:trPr>
          <w:trHeight w:val="255"/>
        </w:trPr>
        <w:tc>
          <w:tcPr>
            <w:tcW w:w="487" w:type="dxa"/>
            <w:noWrap/>
            <w:vAlign w:val="center"/>
            <w:hideMark/>
          </w:tcPr>
          <w:p w14:paraId="2B59717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46</w:t>
            </w:r>
          </w:p>
        </w:tc>
        <w:tc>
          <w:tcPr>
            <w:tcW w:w="1049" w:type="dxa"/>
            <w:noWrap/>
            <w:vAlign w:val="center"/>
            <w:hideMark/>
          </w:tcPr>
          <w:p w14:paraId="21628932"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5003</w:t>
            </w:r>
          </w:p>
        </w:tc>
        <w:tc>
          <w:tcPr>
            <w:tcW w:w="3253" w:type="dxa"/>
            <w:vAlign w:val="center"/>
            <w:hideMark/>
          </w:tcPr>
          <w:p w14:paraId="5C36080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Набавка опреме за УКЦ Војводине, Нови Сад</w:t>
            </w:r>
          </w:p>
        </w:tc>
        <w:tc>
          <w:tcPr>
            <w:tcW w:w="1731" w:type="dxa"/>
            <w:noWrap/>
            <w:vAlign w:val="center"/>
            <w:hideMark/>
          </w:tcPr>
          <w:p w14:paraId="1FDEA54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3B763E4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3.900.800.000</w:t>
            </w:r>
          </w:p>
        </w:tc>
        <w:tc>
          <w:tcPr>
            <w:tcW w:w="1701" w:type="dxa"/>
            <w:noWrap/>
            <w:vAlign w:val="center"/>
            <w:hideMark/>
          </w:tcPr>
          <w:p w14:paraId="423FDBD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1.699.200.000</w:t>
            </w:r>
          </w:p>
        </w:tc>
        <w:tc>
          <w:tcPr>
            <w:tcW w:w="1701" w:type="dxa"/>
            <w:noWrap/>
            <w:vAlign w:val="center"/>
            <w:hideMark/>
          </w:tcPr>
          <w:p w14:paraId="26E1D43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654" w:type="dxa"/>
            <w:noWrap/>
            <w:vAlign w:val="center"/>
            <w:hideMark/>
          </w:tcPr>
          <w:p w14:paraId="40965D2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637F821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5.600.000.000</w:t>
            </w:r>
          </w:p>
        </w:tc>
      </w:tr>
      <w:tr w:rsidR="00BC55A8" w:rsidRPr="00671E8F" w14:paraId="05DF93D4" w14:textId="77777777" w:rsidTr="00BC55A8">
        <w:trPr>
          <w:trHeight w:val="255"/>
        </w:trPr>
        <w:tc>
          <w:tcPr>
            <w:tcW w:w="487" w:type="dxa"/>
            <w:noWrap/>
            <w:vAlign w:val="center"/>
            <w:hideMark/>
          </w:tcPr>
          <w:p w14:paraId="234982A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47</w:t>
            </w:r>
          </w:p>
        </w:tc>
        <w:tc>
          <w:tcPr>
            <w:tcW w:w="1049" w:type="dxa"/>
            <w:noWrap/>
            <w:vAlign w:val="center"/>
            <w:hideMark/>
          </w:tcPr>
          <w:p w14:paraId="5626710C"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5001</w:t>
            </w:r>
          </w:p>
        </w:tc>
        <w:tc>
          <w:tcPr>
            <w:tcW w:w="3253" w:type="dxa"/>
            <w:vAlign w:val="center"/>
            <w:hideMark/>
          </w:tcPr>
          <w:p w14:paraId="1BCBC988"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резервоара у складишту деривата нафте у Смедереву</w:t>
            </w:r>
          </w:p>
        </w:tc>
        <w:tc>
          <w:tcPr>
            <w:tcW w:w="1731" w:type="dxa"/>
            <w:noWrap/>
            <w:vAlign w:val="center"/>
            <w:hideMark/>
          </w:tcPr>
          <w:p w14:paraId="73FF16A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2.588.359.615</w:t>
            </w:r>
          </w:p>
        </w:tc>
        <w:tc>
          <w:tcPr>
            <w:tcW w:w="1868" w:type="dxa"/>
            <w:noWrap/>
            <w:vAlign w:val="center"/>
            <w:hideMark/>
          </w:tcPr>
          <w:p w14:paraId="1C152A5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350.070.000</w:t>
            </w:r>
          </w:p>
        </w:tc>
        <w:tc>
          <w:tcPr>
            <w:tcW w:w="1701" w:type="dxa"/>
            <w:noWrap/>
            <w:vAlign w:val="center"/>
            <w:hideMark/>
          </w:tcPr>
          <w:p w14:paraId="7305F01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16.420.000</w:t>
            </w:r>
          </w:p>
        </w:tc>
        <w:tc>
          <w:tcPr>
            <w:tcW w:w="1701" w:type="dxa"/>
            <w:noWrap/>
            <w:vAlign w:val="center"/>
            <w:hideMark/>
          </w:tcPr>
          <w:p w14:paraId="45D8B42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654" w:type="dxa"/>
            <w:noWrap/>
            <w:vAlign w:val="center"/>
            <w:hideMark/>
          </w:tcPr>
          <w:p w14:paraId="25849B6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6B49B63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2.954.849.615</w:t>
            </w:r>
          </w:p>
        </w:tc>
      </w:tr>
      <w:tr w:rsidR="00BC55A8" w:rsidRPr="00671E8F" w14:paraId="397EFA27" w14:textId="77777777" w:rsidTr="00BC55A8">
        <w:trPr>
          <w:trHeight w:val="255"/>
        </w:trPr>
        <w:tc>
          <w:tcPr>
            <w:tcW w:w="487" w:type="dxa"/>
            <w:noWrap/>
            <w:vAlign w:val="center"/>
            <w:hideMark/>
          </w:tcPr>
          <w:p w14:paraId="6D36E2A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48</w:t>
            </w:r>
          </w:p>
        </w:tc>
        <w:tc>
          <w:tcPr>
            <w:tcW w:w="1049" w:type="dxa"/>
            <w:noWrap/>
            <w:vAlign w:val="center"/>
            <w:hideMark/>
          </w:tcPr>
          <w:p w14:paraId="6DA1710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5008</w:t>
            </w:r>
          </w:p>
        </w:tc>
        <w:tc>
          <w:tcPr>
            <w:tcW w:w="3253" w:type="dxa"/>
            <w:vAlign w:val="center"/>
            <w:hideMark/>
          </w:tcPr>
          <w:p w14:paraId="65796C3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нове зграде Природњачког музеја</w:t>
            </w:r>
          </w:p>
        </w:tc>
        <w:tc>
          <w:tcPr>
            <w:tcW w:w="1731" w:type="dxa"/>
            <w:noWrap/>
            <w:vAlign w:val="center"/>
            <w:hideMark/>
          </w:tcPr>
          <w:p w14:paraId="7E3931A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7332ABE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01" w:type="dxa"/>
            <w:noWrap/>
            <w:vAlign w:val="center"/>
            <w:hideMark/>
          </w:tcPr>
          <w:p w14:paraId="79FAC8C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01" w:type="dxa"/>
            <w:noWrap/>
            <w:vAlign w:val="center"/>
            <w:hideMark/>
          </w:tcPr>
          <w:p w14:paraId="24F4D20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9.809.000.000</w:t>
            </w:r>
          </w:p>
        </w:tc>
        <w:tc>
          <w:tcPr>
            <w:tcW w:w="1654" w:type="dxa"/>
            <w:noWrap/>
            <w:vAlign w:val="center"/>
            <w:hideMark/>
          </w:tcPr>
          <w:p w14:paraId="5F2B4E9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510.000.000</w:t>
            </w:r>
          </w:p>
        </w:tc>
        <w:tc>
          <w:tcPr>
            <w:tcW w:w="1748" w:type="dxa"/>
            <w:noWrap/>
            <w:vAlign w:val="center"/>
            <w:hideMark/>
          </w:tcPr>
          <w:p w14:paraId="1B73834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10.819.000.000</w:t>
            </w:r>
          </w:p>
        </w:tc>
      </w:tr>
      <w:tr w:rsidR="00BC55A8" w:rsidRPr="00671E8F" w14:paraId="49C7A600" w14:textId="77777777" w:rsidTr="00BC55A8">
        <w:trPr>
          <w:trHeight w:val="510"/>
        </w:trPr>
        <w:tc>
          <w:tcPr>
            <w:tcW w:w="487" w:type="dxa"/>
            <w:noWrap/>
            <w:vAlign w:val="center"/>
            <w:hideMark/>
          </w:tcPr>
          <w:p w14:paraId="574F841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49</w:t>
            </w:r>
          </w:p>
        </w:tc>
        <w:tc>
          <w:tcPr>
            <w:tcW w:w="1049" w:type="dxa"/>
            <w:noWrap/>
            <w:vAlign w:val="center"/>
            <w:hideMark/>
          </w:tcPr>
          <w:p w14:paraId="208AF245"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5004</w:t>
            </w:r>
          </w:p>
        </w:tc>
        <w:tc>
          <w:tcPr>
            <w:tcW w:w="3253" w:type="dxa"/>
            <w:vAlign w:val="center"/>
            <w:hideMark/>
          </w:tcPr>
          <w:p w14:paraId="0D7D1657"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и уређење туристичке инфраструктуре и супраструктуре на подручју Подунавља</w:t>
            </w:r>
          </w:p>
        </w:tc>
        <w:tc>
          <w:tcPr>
            <w:tcW w:w="1731" w:type="dxa"/>
            <w:noWrap/>
            <w:vAlign w:val="center"/>
            <w:hideMark/>
          </w:tcPr>
          <w:p w14:paraId="12CEAFD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706.204.869</w:t>
            </w:r>
          </w:p>
        </w:tc>
        <w:tc>
          <w:tcPr>
            <w:tcW w:w="1868" w:type="dxa"/>
            <w:noWrap/>
            <w:vAlign w:val="center"/>
            <w:hideMark/>
          </w:tcPr>
          <w:p w14:paraId="1E3CB9B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1.579.000.000</w:t>
            </w:r>
          </w:p>
        </w:tc>
        <w:tc>
          <w:tcPr>
            <w:tcW w:w="1701" w:type="dxa"/>
            <w:noWrap/>
            <w:vAlign w:val="center"/>
            <w:hideMark/>
          </w:tcPr>
          <w:p w14:paraId="1AACE5C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1.300.000.000</w:t>
            </w:r>
          </w:p>
        </w:tc>
        <w:tc>
          <w:tcPr>
            <w:tcW w:w="1701" w:type="dxa"/>
            <w:noWrap/>
            <w:vAlign w:val="center"/>
            <w:hideMark/>
          </w:tcPr>
          <w:p w14:paraId="75F74C9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599.714.524</w:t>
            </w:r>
          </w:p>
        </w:tc>
        <w:tc>
          <w:tcPr>
            <w:tcW w:w="1654" w:type="dxa"/>
            <w:noWrap/>
            <w:vAlign w:val="center"/>
            <w:hideMark/>
          </w:tcPr>
          <w:p w14:paraId="2B424C7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191.853.000</w:t>
            </w:r>
          </w:p>
        </w:tc>
        <w:tc>
          <w:tcPr>
            <w:tcW w:w="1748" w:type="dxa"/>
            <w:noWrap/>
            <w:vAlign w:val="center"/>
            <w:hideMark/>
          </w:tcPr>
          <w:p w14:paraId="297D5F8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4.376.772.393</w:t>
            </w:r>
          </w:p>
        </w:tc>
      </w:tr>
      <w:tr w:rsidR="00BC55A8" w:rsidRPr="00671E8F" w14:paraId="3629BBF3" w14:textId="77777777" w:rsidTr="00BC55A8">
        <w:trPr>
          <w:trHeight w:val="255"/>
        </w:trPr>
        <w:tc>
          <w:tcPr>
            <w:tcW w:w="487" w:type="dxa"/>
            <w:noWrap/>
            <w:vAlign w:val="center"/>
            <w:hideMark/>
          </w:tcPr>
          <w:p w14:paraId="0B38188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lastRenderedPageBreak/>
              <w:t>50</w:t>
            </w:r>
          </w:p>
        </w:tc>
        <w:tc>
          <w:tcPr>
            <w:tcW w:w="1049" w:type="dxa"/>
            <w:noWrap/>
            <w:vAlign w:val="center"/>
            <w:hideMark/>
          </w:tcPr>
          <w:p w14:paraId="0212CF2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5006</w:t>
            </w:r>
          </w:p>
        </w:tc>
        <w:tc>
          <w:tcPr>
            <w:tcW w:w="3253" w:type="dxa"/>
            <w:vAlign w:val="center"/>
            <w:hideMark/>
          </w:tcPr>
          <w:p w14:paraId="26A22DF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Прибављање објеката у својину Републике Србије</w:t>
            </w:r>
          </w:p>
        </w:tc>
        <w:tc>
          <w:tcPr>
            <w:tcW w:w="1731" w:type="dxa"/>
            <w:noWrap/>
            <w:vAlign w:val="center"/>
            <w:hideMark/>
          </w:tcPr>
          <w:p w14:paraId="36CB117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723.696.319</w:t>
            </w:r>
          </w:p>
        </w:tc>
        <w:tc>
          <w:tcPr>
            <w:tcW w:w="1868" w:type="dxa"/>
            <w:noWrap/>
            <w:vAlign w:val="center"/>
            <w:hideMark/>
          </w:tcPr>
          <w:p w14:paraId="2768CDF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2.504.000.000</w:t>
            </w:r>
          </w:p>
        </w:tc>
        <w:tc>
          <w:tcPr>
            <w:tcW w:w="1701" w:type="dxa"/>
            <w:noWrap/>
            <w:vAlign w:val="center"/>
            <w:hideMark/>
          </w:tcPr>
          <w:p w14:paraId="7AB1E26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1.654.000.000</w:t>
            </w:r>
          </w:p>
        </w:tc>
        <w:tc>
          <w:tcPr>
            <w:tcW w:w="1701" w:type="dxa"/>
            <w:noWrap/>
            <w:vAlign w:val="center"/>
            <w:hideMark/>
          </w:tcPr>
          <w:p w14:paraId="1548792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338.303.681</w:t>
            </w:r>
          </w:p>
        </w:tc>
        <w:tc>
          <w:tcPr>
            <w:tcW w:w="1654" w:type="dxa"/>
            <w:noWrap/>
            <w:vAlign w:val="center"/>
            <w:hideMark/>
          </w:tcPr>
          <w:p w14:paraId="185D2CF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4993622A"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5.220.000.000</w:t>
            </w:r>
          </w:p>
        </w:tc>
      </w:tr>
      <w:tr w:rsidR="00BC55A8" w:rsidRPr="00671E8F" w14:paraId="66A83992" w14:textId="77777777" w:rsidTr="00BC55A8">
        <w:trPr>
          <w:trHeight w:val="255"/>
        </w:trPr>
        <w:tc>
          <w:tcPr>
            <w:tcW w:w="487" w:type="dxa"/>
            <w:noWrap/>
            <w:vAlign w:val="center"/>
            <w:hideMark/>
          </w:tcPr>
          <w:p w14:paraId="7A1C392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51</w:t>
            </w:r>
          </w:p>
        </w:tc>
        <w:tc>
          <w:tcPr>
            <w:tcW w:w="1049" w:type="dxa"/>
            <w:noWrap/>
            <w:vAlign w:val="center"/>
            <w:hideMark/>
          </w:tcPr>
          <w:p w14:paraId="27CAAD19"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5007</w:t>
            </w:r>
          </w:p>
        </w:tc>
        <w:tc>
          <w:tcPr>
            <w:tcW w:w="3253" w:type="dxa"/>
            <w:vAlign w:val="center"/>
            <w:hideMark/>
          </w:tcPr>
          <w:p w14:paraId="255F56A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граничног прелаза Сремска Рача</w:t>
            </w:r>
          </w:p>
        </w:tc>
        <w:tc>
          <w:tcPr>
            <w:tcW w:w="1731" w:type="dxa"/>
            <w:noWrap/>
            <w:vAlign w:val="center"/>
            <w:hideMark/>
          </w:tcPr>
          <w:p w14:paraId="558BEB7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73D5AAF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800.000.000</w:t>
            </w:r>
          </w:p>
        </w:tc>
        <w:tc>
          <w:tcPr>
            <w:tcW w:w="1701" w:type="dxa"/>
            <w:noWrap/>
            <w:vAlign w:val="center"/>
            <w:hideMark/>
          </w:tcPr>
          <w:p w14:paraId="670CCB6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2.500.000.000</w:t>
            </w:r>
          </w:p>
        </w:tc>
        <w:tc>
          <w:tcPr>
            <w:tcW w:w="1701" w:type="dxa"/>
            <w:noWrap/>
            <w:vAlign w:val="center"/>
            <w:hideMark/>
          </w:tcPr>
          <w:p w14:paraId="70E40A0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3.200.000.000</w:t>
            </w:r>
          </w:p>
        </w:tc>
        <w:tc>
          <w:tcPr>
            <w:tcW w:w="1654" w:type="dxa"/>
            <w:noWrap/>
            <w:vAlign w:val="center"/>
            <w:hideMark/>
          </w:tcPr>
          <w:p w14:paraId="77629A8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1CCFB0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6.500.000.000</w:t>
            </w:r>
          </w:p>
        </w:tc>
      </w:tr>
      <w:tr w:rsidR="00BC55A8" w:rsidRPr="00671E8F" w14:paraId="2F3FF4F5" w14:textId="77777777" w:rsidTr="00BC55A8">
        <w:trPr>
          <w:trHeight w:val="510"/>
        </w:trPr>
        <w:tc>
          <w:tcPr>
            <w:tcW w:w="487" w:type="dxa"/>
            <w:noWrap/>
            <w:vAlign w:val="center"/>
            <w:hideMark/>
          </w:tcPr>
          <w:p w14:paraId="5EB57F1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w:t>
            </w:r>
          </w:p>
        </w:tc>
        <w:tc>
          <w:tcPr>
            <w:tcW w:w="1049" w:type="dxa"/>
            <w:noWrap/>
            <w:vAlign w:val="center"/>
            <w:hideMark/>
          </w:tcPr>
          <w:p w14:paraId="73D96227"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5004</w:t>
            </w:r>
          </w:p>
        </w:tc>
        <w:tc>
          <w:tcPr>
            <w:tcW w:w="3253" w:type="dxa"/>
            <w:vAlign w:val="center"/>
            <w:hideMark/>
          </w:tcPr>
          <w:p w14:paraId="75977956"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Успостављање Дата центра за регистре, „Backup” центар и „Disaster Recovery”</w:t>
            </w:r>
          </w:p>
        </w:tc>
        <w:tc>
          <w:tcPr>
            <w:tcW w:w="1731" w:type="dxa"/>
            <w:noWrap/>
            <w:vAlign w:val="center"/>
            <w:hideMark/>
          </w:tcPr>
          <w:p w14:paraId="4F16CC2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1.297.674.705</w:t>
            </w:r>
          </w:p>
        </w:tc>
        <w:tc>
          <w:tcPr>
            <w:tcW w:w="1868" w:type="dxa"/>
            <w:noWrap/>
            <w:vAlign w:val="center"/>
            <w:hideMark/>
          </w:tcPr>
          <w:p w14:paraId="38A2F45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550.000.000</w:t>
            </w:r>
          </w:p>
        </w:tc>
        <w:tc>
          <w:tcPr>
            <w:tcW w:w="1701" w:type="dxa"/>
            <w:noWrap/>
            <w:vAlign w:val="center"/>
            <w:hideMark/>
          </w:tcPr>
          <w:p w14:paraId="5E85B22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260.000.000</w:t>
            </w:r>
          </w:p>
        </w:tc>
        <w:tc>
          <w:tcPr>
            <w:tcW w:w="1701" w:type="dxa"/>
            <w:noWrap/>
            <w:vAlign w:val="center"/>
            <w:hideMark/>
          </w:tcPr>
          <w:p w14:paraId="4A118E77"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530.000.000</w:t>
            </w:r>
          </w:p>
        </w:tc>
        <w:tc>
          <w:tcPr>
            <w:tcW w:w="1654" w:type="dxa"/>
            <w:noWrap/>
            <w:vAlign w:val="center"/>
            <w:hideMark/>
          </w:tcPr>
          <w:p w14:paraId="1E93397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48" w:type="dxa"/>
            <w:noWrap/>
            <w:vAlign w:val="center"/>
            <w:hideMark/>
          </w:tcPr>
          <w:p w14:paraId="11100942"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3.483.742.560</w:t>
            </w:r>
          </w:p>
        </w:tc>
      </w:tr>
      <w:tr w:rsidR="00BC55A8" w:rsidRPr="00671E8F" w14:paraId="119C723F" w14:textId="77777777" w:rsidTr="00BC55A8">
        <w:trPr>
          <w:trHeight w:val="255"/>
        </w:trPr>
        <w:tc>
          <w:tcPr>
            <w:tcW w:w="487" w:type="dxa"/>
            <w:noWrap/>
            <w:vAlign w:val="center"/>
            <w:hideMark/>
          </w:tcPr>
          <w:p w14:paraId="43A5158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53</w:t>
            </w:r>
          </w:p>
        </w:tc>
        <w:tc>
          <w:tcPr>
            <w:tcW w:w="1049" w:type="dxa"/>
            <w:noWrap/>
            <w:vAlign w:val="center"/>
            <w:hideMark/>
          </w:tcPr>
          <w:p w14:paraId="2F378A3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5006</w:t>
            </w:r>
          </w:p>
        </w:tc>
        <w:tc>
          <w:tcPr>
            <w:tcW w:w="3253" w:type="dxa"/>
            <w:vAlign w:val="center"/>
            <w:hideMark/>
          </w:tcPr>
          <w:p w14:paraId="00BD9C2D"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Изградња Дата центра у Крагујевцу</w:t>
            </w:r>
          </w:p>
        </w:tc>
        <w:tc>
          <w:tcPr>
            <w:tcW w:w="1731" w:type="dxa"/>
            <w:noWrap/>
            <w:vAlign w:val="center"/>
            <w:hideMark/>
          </w:tcPr>
          <w:p w14:paraId="051D0F1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10.029.835.800</w:t>
            </w:r>
          </w:p>
        </w:tc>
        <w:tc>
          <w:tcPr>
            <w:tcW w:w="1868" w:type="dxa"/>
            <w:noWrap/>
            <w:vAlign w:val="center"/>
            <w:hideMark/>
          </w:tcPr>
          <w:p w14:paraId="46D7B2C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500.000.000</w:t>
            </w:r>
          </w:p>
        </w:tc>
        <w:tc>
          <w:tcPr>
            <w:tcW w:w="1701" w:type="dxa"/>
            <w:noWrap/>
            <w:vAlign w:val="center"/>
            <w:hideMark/>
          </w:tcPr>
          <w:p w14:paraId="5BF34D9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1.362.000.000</w:t>
            </w:r>
          </w:p>
        </w:tc>
        <w:tc>
          <w:tcPr>
            <w:tcW w:w="1701" w:type="dxa"/>
            <w:noWrap/>
            <w:vAlign w:val="center"/>
            <w:hideMark/>
          </w:tcPr>
          <w:p w14:paraId="1FF3FEF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2.215.000.000</w:t>
            </w:r>
          </w:p>
        </w:tc>
        <w:tc>
          <w:tcPr>
            <w:tcW w:w="1654" w:type="dxa"/>
            <w:noWrap/>
            <w:vAlign w:val="center"/>
            <w:hideMark/>
          </w:tcPr>
          <w:p w14:paraId="6E88CED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2.728.107.046</w:t>
            </w:r>
          </w:p>
        </w:tc>
        <w:tc>
          <w:tcPr>
            <w:tcW w:w="1748" w:type="dxa"/>
            <w:noWrap/>
            <w:vAlign w:val="center"/>
            <w:hideMark/>
          </w:tcPr>
          <w:p w14:paraId="11735BF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16.834.942.846</w:t>
            </w:r>
          </w:p>
        </w:tc>
      </w:tr>
      <w:tr w:rsidR="00BC55A8" w:rsidRPr="00671E8F" w14:paraId="26EBDA6A" w14:textId="77777777" w:rsidTr="00BC55A8">
        <w:trPr>
          <w:trHeight w:val="255"/>
        </w:trPr>
        <w:tc>
          <w:tcPr>
            <w:tcW w:w="487" w:type="dxa"/>
            <w:noWrap/>
            <w:vAlign w:val="center"/>
            <w:hideMark/>
          </w:tcPr>
          <w:p w14:paraId="39D787F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54</w:t>
            </w:r>
          </w:p>
        </w:tc>
        <w:tc>
          <w:tcPr>
            <w:tcW w:w="1049" w:type="dxa"/>
            <w:noWrap/>
            <w:vAlign w:val="center"/>
            <w:hideMark/>
          </w:tcPr>
          <w:p w14:paraId="1C890274"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5014</w:t>
            </w:r>
          </w:p>
        </w:tc>
        <w:tc>
          <w:tcPr>
            <w:tcW w:w="3253" w:type="dxa"/>
            <w:vAlign w:val="center"/>
            <w:hideMark/>
          </w:tcPr>
          <w:p w14:paraId="4F2FD430"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Јединствена информациона комуникациона мрежа е Управе</w:t>
            </w:r>
          </w:p>
        </w:tc>
        <w:tc>
          <w:tcPr>
            <w:tcW w:w="1731" w:type="dxa"/>
            <w:noWrap/>
            <w:vAlign w:val="center"/>
            <w:hideMark/>
          </w:tcPr>
          <w:p w14:paraId="78EC0A2E"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1.743.195.335</w:t>
            </w:r>
          </w:p>
        </w:tc>
        <w:tc>
          <w:tcPr>
            <w:tcW w:w="1868" w:type="dxa"/>
            <w:noWrap/>
            <w:vAlign w:val="center"/>
            <w:hideMark/>
          </w:tcPr>
          <w:p w14:paraId="124F714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450.000.000</w:t>
            </w:r>
          </w:p>
        </w:tc>
        <w:tc>
          <w:tcPr>
            <w:tcW w:w="1701" w:type="dxa"/>
            <w:noWrap/>
            <w:vAlign w:val="center"/>
            <w:hideMark/>
          </w:tcPr>
          <w:p w14:paraId="0CB8D635"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700.000.000</w:t>
            </w:r>
          </w:p>
        </w:tc>
        <w:tc>
          <w:tcPr>
            <w:tcW w:w="1701" w:type="dxa"/>
            <w:noWrap/>
            <w:vAlign w:val="center"/>
            <w:hideMark/>
          </w:tcPr>
          <w:p w14:paraId="29FE71F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750.000.000</w:t>
            </w:r>
          </w:p>
        </w:tc>
        <w:tc>
          <w:tcPr>
            <w:tcW w:w="1654" w:type="dxa"/>
            <w:noWrap/>
            <w:vAlign w:val="center"/>
            <w:hideMark/>
          </w:tcPr>
          <w:p w14:paraId="2165F75B"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1.129.376.952</w:t>
            </w:r>
          </w:p>
        </w:tc>
        <w:tc>
          <w:tcPr>
            <w:tcW w:w="1748" w:type="dxa"/>
            <w:noWrap/>
            <w:vAlign w:val="center"/>
            <w:hideMark/>
          </w:tcPr>
          <w:p w14:paraId="5FCF1880"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4.472.572.288</w:t>
            </w:r>
          </w:p>
        </w:tc>
      </w:tr>
      <w:tr w:rsidR="00BC55A8" w:rsidRPr="00671E8F" w14:paraId="495FA187" w14:textId="77777777" w:rsidTr="00BC55A8">
        <w:trPr>
          <w:trHeight w:val="255"/>
        </w:trPr>
        <w:tc>
          <w:tcPr>
            <w:tcW w:w="487" w:type="dxa"/>
            <w:noWrap/>
            <w:vAlign w:val="center"/>
            <w:hideMark/>
          </w:tcPr>
          <w:p w14:paraId="4126EE46"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55</w:t>
            </w:r>
          </w:p>
        </w:tc>
        <w:tc>
          <w:tcPr>
            <w:tcW w:w="1049" w:type="dxa"/>
            <w:noWrap/>
            <w:vAlign w:val="center"/>
            <w:hideMark/>
          </w:tcPr>
          <w:p w14:paraId="0D8FBE23"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5018</w:t>
            </w:r>
          </w:p>
        </w:tc>
        <w:tc>
          <w:tcPr>
            <w:tcW w:w="3253" w:type="dxa"/>
            <w:vAlign w:val="center"/>
            <w:hideMark/>
          </w:tcPr>
          <w:p w14:paraId="5E7DFBDC"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Креативно иновативни/мултифункционални центар „Ложионица”</w:t>
            </w:r>
          </w:p>
        </w:tc>
        <w:tc>
          <w:tcPr>
            <w:tcW w:w="1731" w:type="dxa"/>
            <w:noWrap/>
            <w:vAlign w:val="center"/>
            <w:hideMark/>
          </w:tcPr>
          <w:p w14:paraId="22341B2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3.096.124.015</w:t>
            </w:r>
          </w:p>
        </w:tc>
        <w:tc>
          <w:tcPr>
            <w:tcW w:w="1868" w:type="dxa"/>
            <w:noWrap/>
            <w:vAlign w:val="center"/>
            <w:hideMark/>
          </w:tcPr>
          <w:p w14:paraId="4401DCF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1.200.000.000</w:t>
            </w:r>
          </w:p>
        </w:tc>
        <w:tc>
          <w:tcPr>
            <w:tcW w:w="1701" w:type="dxa"/>
            <w:noWrap/>
            <w:vAlign w:val="center"/>
            <w:hideMark/>
          </w:tcPr>
          <w:p w14:paraId="1687B67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1.600.000.000</w:t>
            </w:r>
          </w:p>
        </w:tc>
        <w:tc>
          <w:tcPr>
            <w:tcW w:w="1701" w:type="dxa"/>
            <w:noWrap/>
            <w:vAlign w:val="center"/>
            <w:hideMark/>
          </w:tcPr>
          <w:p w14:paraId="6F70DEC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900.000.000</w:t>
            </w:r>
          </w:p>
        </w:tc>
        <w:tc>
          <w:tcPr>
            <w:tcW w:w="1654" w:type="dxa"/>
            <w:noWrap/>
            <w:vAlign w:val="center"/>
            <w:hideMark/>
          </w:tcPr>
          <w:p w14:paraId="581F84C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748" w:type="dxa"/>
            <w:noWrap/>
            <w:vAlign w:val="center"/>
            <w:hideMark/>
          </w:tcPr>
          <w:p w14:paraId="4C35DCAC"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6.796.124.015</w:t>
            </w:r>
          </w:p>
        </w:tc>
      </w:tr>
      <w:tr w:rsidR="00BC55A8" w:rsidRPr="00671E8F" w14:paraId="231206B2" w14:textId="77777777" w:rsidTr="00BC55A8">
        <w:trPr>
          <w:trHeight w:val="270"/>
        </w:trPr>
        <w:tc>
          <w:tcPr>
            <w:tcW w:w="487" w:type="dxa"/>
            <w:noWrap/>
            <w:vAlign w:val="center"/>
            <w:hideMark/>
          </w:tcPr>
          <w:p w14:paraId="74C49939"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56</w:t>
            </w:r>
          </w:p>
        </w:tc>
        <w:tc>
          <w:tcPr>
            <w:tcW w:w="1049" w:type="dxa"/>
            <w:noWrap/>
            <w:vAlign w:val="center"/>
            <w:hideMark/>
          </w:tcPr>
          <w:p w14:paraId="3537101A" w14:textId="77777777" w:rsidR="00BC55A8" w:rsidRPr="00671E8F" w:rsidRDefault="00BC55A8" w:rsidP="00BC55A8">
            <w:pPr>
              <w:jc w:val="center"/>
              <w:rPr>
                <w:rFonts w:ascii="Calibri" w:eastAsia="Times New Roman" w:hAnsi="Calibri" w:cs="Calibri"/>
                <w:color w:val="002060"/>
                <w:szCs w:val="20"/>
              </w:rPr>
            </w:pPr>
            <w:r w:rsidRPr="00671E8F">
              <w:rPr>
                <w:rFonts w:ascii="Calibri" w:eastAsia="Times New Roman" w:hAnsi="Calibri" w:cs="Calibri"/>
                <w:color w:val="002060"/>
                <w:szCs w:val="20"/>
              </w:rPr>
              <w:t>5019</w:t>
            </w:r>
          </w:p>
        </w:tc>
        <w:tc>
          <w:tcPr>
            <w:tcW w:w="3253" w:type="dxa"/>
            <w:vAlign w:val="center"/>
            <w:hideMark/>
          </w:tcPr>
          <w:p w14:paraId="1C717A9B" w14:textId="77777777" w:rsidR="00BC55A8" w:rsidRPr="00671E8F" w:rsidRDefault="00BC55A8" w:rsidP="00BC55A8">
            <w:pPr>
              <w:jc w:val="left"/>
              <w:rPr>
                <w:rFonts w:ascii="Calibri" w:eastAsia="Times New Roman" w:hAnsi="Calibri" w:cs="Calibri"/>
                <w:color w:val="002060"/>
                <w:szCs w:val="20"/>
              </w:rPr>
            </w:pPr>
            <w:r w:rsidRPr="00671E8F">
              <w:rPr>
                <w:rFonts w:ascii="Calibri" w:eastAsia="Times New Roman" w:hAnsi="Calibri" w:cs="Calibri"/>
                <w:color w:val="002060"/>
                <w:szCs w:val="20"/>
              </w:rPr>
              <w:t>Иновациони дистрикт Крагујевац</w:t>
            </w:r>
          </w:p>
        </w:tc>
        <w:tc>
          <w:tcPr>
            <w:tcW w:w="1731" w:type="dxa"/>
            <w:noWrap/>
            <w:vAlign w:val="center"/>
            <w:hideMark/>
          </w:tcPr>
          <w:p w14:paraId="487958E3"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0</w:t>
            </w:r>
          </w:p>
        </w:tc>
        <w:tc>
          <w:tcPr>
            <w:tcW w:w="1868" w:type="dxa"/>
            <w:noWrap/>
            <w:vAlign w:val="center"/>
            <w:hideMark/>
          </w:tcPr>
          <w:p w14:paraId="7253C85D"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528.670.000</w:t>
            </w:r>
          </w:p>
        </w:tc>
        <w:tc>
          <w:tcPr>
            <w:tcW w:w="1701" w:type="dxa"/>
            <w:noWrap/>
            <w:vAlign w:val="center"/>
            <w:hideMark/>
          </w:tcPr>
          <w:p w14:paraId="133A9811"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1.000.000.000</w:t>
            </w:r>
          </w:p>
        </w:tc>
        <w:tc>
          <w:tcPr>
            <w:tcW w:w="1701" w:type="dxa"/>
            <w:noWrap/>
            <w:vAlign w:val="center"/>
            <w:hideMark/>
          </w:tcPr>
          <w:p w14:paraId="49E87674"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2.532.000.000</w:t>
            </w:r>
          </w:p>
        </w:tc>
        <w:tc>
          <w:tcPr>
            <w:tcW w:w="1654" w:type="dxa"/>
            <w:noWrap/>
            <w:vAlign w:val="center"/>
            <w:hideMark/>
          </w:tcPr>
          <w:p w14:paraId="76151568"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2.750.000.000</w:t>
            </w:r>
          </w:p>
        </w:tc>
        <w:tc>
          <w:tcPr>
            <w:tcW w:w="1748" w:type="dxa"/>
            <w:noWrap/>
            <w:vAlign w:val="center"/>
            <w:hideMark/>
          </w:tcPr>
          <w:p w14:paraId="21E32BBF" w14:textId="77777777" w:rsidR="00BC55A8" w:rsidRPr="00671E8F" w:rsidRDefault="00BC55A8" w:rsidP="00BC55A8">
            <w:pPr>
              <w:jc w:val="right"/>
              <w:rPr>
                <w:rFonts w:ascii="Calibri" w:eastAsia="Times New Roman" w:hAnsi="Calibri" w:cs="Calibri"/>
                <w:color w:val="002060"/>
                <w:szCs w:val="20"/>
              </w:rPr>
            </w:pPr>
            <w:r w:rsidRPr="00671E8F">
              <w:rPr>
                <w:rFonts w:ascii="Calibri" w:eastAsia="Times New Roman" w:hAnsi="Calibri" w:cs="Calibri"/>
                <w:color w:val="002060"/>
                <w:szCs w:val="20"/>
              </w:rPr>
              <w:t>7.830.141.725</w:t>
            </w:r>
          </w:p>
        </w:tc>
      </w:tr>
      <w:tr w:rsidR="00BC55A8" w:rsidRPr="00671E8F" w14:paraId="6E1CE435" w14:textId="77777777" w:rsidTr="00BC55A8">
        <w:trPr>
          <w:trHeight w:val="270"/>
        </w:trPr>
        <w:tc>
          <w:tcPr>
            <w:tcW w:w="4789" w:type="dxa"/>
            <w:gridSpan w:val="3"/>
            <w:vAlign w:val="center"/>
            <w:hideMark/>
          </w:tcPr>
          <w:p w14:paraId="05979902" w14:textId="77777777" w:rsidR="00BC55A8" w:rsidRPr="00671E8F" w:rsidRDefault="00BC55A8" w:rsidP="00BC55A8">
            <w:pPr>
              <w:jc w:val="left"/>
              <w:rPr>
                <w:rFonts w:ascii="Calibri" w:eastAsia="Times New Roman" w:hAnsi="Calibri" w:cs="Calibri"/>
                <w:b/>
                <w:color w:val="002060"/>
                <w:szCs w:val="20"/>
              </w:rPr>
            </w:pPr>
            <w:r w:rsidRPr="00671E8F">
              <w:rPr>
                <w:rFonts w:ascii="Calibri" w:eastAsia="Times New Roman" w:hAnsi="Calibri" w:cs="Calibri"/>
                <w:b/>
                <w:color w:val="002060"/>
                <w:szCs w:val="20"/>
              </w:rPr>
              <w:t>УКУПНО:</w:t>
            </w:r>
          </w:p>
        </w:tc>
        <w:tc>
          <w:tcPr>
            <w:tcW w:w="1731" w:type="dxa"/>
            <w:noWrap/>
            <w:vAlign w:val="center"/>
            <w:hideMark/>
          </w:tcPr>
          <w:p w14:paraId="23D59A00"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615.466.680.041</w:t>
            </w:r>
          </w:p>
        </w:tc>
        <w:tc>
          <w:tcPr>
            <w:tcW w:w="1868" w:type="dxa"/>
            <w:noWrap/>
            <w:vAlign w:val="center"/>
            <w:hideMark/>
          </w:tcPr>
          <w:p w14:paraId="5481B549"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291.337.070.386</w:t>
            </w:r>
          </w:p>
        </w:tc>
        <w:tc>
          <w:tcPr>
            <w:tcW w:w="1701" w:type="dxa"/>
            <w:noWrap/>
            <w:vAlign w:val="center"/>
            <w:hideMark/>
          </w:tcPr>
          <w:p w14:paraId="0F148FB5"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313.607.605.000</w:t>
            </w:r>
          </w:p>
        </w:tc>
        <w:tc>
          <w:tcPr>
            <w:tcW w:w="1701" w:type="dxa"/>
            <w:noWrap/>
            <w:vAlign w:val="center"/>
            <w:hideMark/>
          </w:tcPr>
          <w:p w14:paraId="22D9D298"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301.830.797.833</w:t>
            </w:r>
          </w:p>
        </w:tc>
        <w:tc>
          <w:tcPr>
            <w:tcW w:w="1654" w:type="dxa"/>
            <w:noWrap/>
            <w:vAlign w:val="center"/>
            <w:hideMark/>
          </w:tcPr>
          <w:p w14:paraId="1970E1C5"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168.374.573.808</w:t>
            </w:r>
          </w:p>
        </w:tc>
        <w:tc>
          <w:tcPr>
            <w:tcW w:w="1748" w:type="dxa"/>
            <w:noWrap/>
            <w:vAlign w:val="center"/>
            <w:hideMark/>
          </w:tcPr>
          <w:p w14:paraId="1A920029" w14:textId="77777777" w:rsidR="00BC55A8" w:rsidRPr="00671E8F" w:rsidRDefault="00BC55A8" w:rsidP="00BC55A8">
            <w:pPr>
              <w:jc w:val="right"/>
              <w:rPr>
                <w:rFonts w:ascii="Calibri" w:eastAsia="Times New Roman" w:hAnsi="Calibri" w:cs="Calibri"/>
                <w:b/>
                <w:color w:val="002060"/>
                <w:szCs w:val="20"/>
              </w:rPr>
            </w:pPr>
            <w:r w:rsidRPr="00671E8F">
              <w:rPr>
                <w:rFonts w:ascii="Calibri" w:eastAsia="Times New Roman" w:hAnsi="Calibri" w:cs="Calibri"/>
                <w:b/>
                <w:color w:val="002060"/>
                <w:szCs w:val="20"/>
              </w:rPr>
              <w:t>2.464.707.495.739</w:t>
            </w:r>
          </w:p>
        </w:tc>
      </w:tr>
    </w:tbl>
    <w:p w14:paraId="14FD2261" w14:textId="5654AED0" w:rsidR="002A7EA9" w:rsidRPr="00671E8F" w:rsidRDefault="002A7EA9" w:rsidP="00281F47">
      <w:pPr>
        <w:spacing w:before="40" w:after="60"/>
        <w:rPr>
          <w:color w:val="FF0000"/>
          <w:sz w:val="16"/>
          <w:szCs w:val="16"/>
        </w:rPr>
      </w:pPr>
    </w:p>
    <w:p w14:paraId="09C34B71" w14:textId="53378556" w:rsidR="002A7EA9" w:rsidRPr="00671E8F" w:rsidRDefault="002A7EA9" w:rsidP="00281F47">
      <w:pPr>
        <w:spacing w:before="40" w:after="60"/>
        <w:rPr>
          <w:color w:val="FF0000"/>
          <w:sz w:val="16"/>
          <w:szCs w:val="16"/>
        </w:rPr>
      </w:pPr>
    </w:p>
    <w:p w14:paraId="1403265C" w14:textId="2B3A1822" w:rsidR="002A7EA9" w:rsidRPr="00671E8F" w:rsidRDefault="002A7EA9" w:rsidP="00281F47">
      <w:pPr>
        <w:spacing w:before="40" w:after="60"/>
        <w:rPr>
          <w:color w:val="FF0000"/>
          <w:sz w:val="16"/>
          <w:szCs w:val="16"/>
        </w:rPr>
      </w:pPr>
    </w:p>
    <w:p w14:paraId="3428D749" w14:textId="611B19D3" w:rsidR="002A7EA9" w:rsidRPr="00671E8F" w:rsidRDefault="002A7EA9" w:rsidP="00281F47">
      <w:pPr>
        <w:spacing w:before="40" w:after="60"/>
        <w:rPr>
          <w:color w:val="FF0000"/>
          <w:sz w:val="16"/>
          <w:szCs w:val="16"/>
        </w:rPr>
      </w:pPr>
    </w:p>
    <w:sectPr w:rsidR="002A7EA9" w:rsidRPr="00671E8F" w:rsidSect="00512331">
      <w:pgSz w:w="15840" w:h="12240" w:orient="landscape" w:code="1"/>
      <w:pgMar w:top="720" w:right="720" w:bottom="720" w:left="720" w:header="510" w:footer="397" w:gutter="0"/>
      <w:cols w:space="720"/>
      <w:docGrid w:linePitch="3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B58FC9" w14:textId="77777777" w:rsidR="00551BE3" w:rsidRPr="006204E0" w:rsidRDefault="00551BE3" w:rsidP="00BF7F6A">
      <w:pPr>
        <w:spacing w:after="0" w:line="240" w:lineRule="auto"/>
      </w:pPr>
      <w:r w:rsidRPr="006204E0">
        <w:separator/>
      </w:r>
    </w:p>
  </w:endnote>
  <w:endnote w:type="continuationSeparator" w:id="0">
    <w:p w14:paraId="56E5C92F" w14:textId="77777777" w:rsidR="00551BE3" w:rsidRPr="006204E0" w:rsidRDefault="00551BE3" w:rsidP="00BF7F6A">
      <w:pPr>
        <w:spacing w:after="0" w:line="240" w:lineRule="auto"/>
      </w:pPr>
      <w:r w:rsidRPr="006204E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E9CC9" w14:textId="36446A4B" w:rsidR="00671E8F" w:rsidRPr="006204E0" w:rsidRDefault="00671E8F">
    <w:pPr>
      <w:pStyle w:val="Footer"/>
    </w:pPr>
  </w:p>
  <w:p w14:paraId="7C01A860" w14:textId="77777777" w:rsidR="00671E8F" w:rsidRPr="006204E0" w:rsidRDefault="00671E8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CC0370" w14:textId="77777777" w:rsidR="00671E8F" w:rsidRPr="006204E0" w:rsidRDefault="00671E8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247928"/>
      <w:docPartObj>
        <w:docPartGallery w:val="Page Numbers (Bottom of Page)"/>
        <w:docPartUnique/>
      </w:docPartObj>
    </w:sdtPr>
    <w:sdtEndPr>
      <w:rPr>
        <w:noProof/>
      </w:rPr>
    </w:sdtEndPr>
    <w:sdtContent>
      <w:p w14:paraId="2F089BFF" w14:textId="16033047" w:rsidR="00671E8F" w:rsidRDefault="00671E8F">
        <w:pPr>
          <w:pStyle w:val="Footer"/>
        </w:pPr>
        <w:r>
          <w:fldChar w:fldCharType="begin"/>
        </w:r>
        <w:r>
          <w:instrText xml:space="preserve"> PAGE   \* MERGEFORMAT </w:instrText>
        </w:r>
        <w:r>
          <w:fldChar w:fldCharType="separate"/>
        </w:r>
        <w:r w:rsidR="008C094D">
          <w:rPr>
            <w:noProof/>
          </w:rPr>
          <w:t>2</w:t>
        </w:r>
        <w:r>
          <w:rPr>
            <w:noProof/>
          </w:rPr>
          <w:fldChar w:fldCharType="end"/>
        </w:r>
      </w:p>
    </w:sdtContent>
  </w:sdt>
  <w:p w14:paraId="6A27B588" w14:textId="77777777" w:rsidR="00671E8F" w:rsidRPr="006204E0" w:rsidRDefault="00671E8F" w:rsidP="00C130D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1559265"/>
      <w:docPartObj>
        <w:docPartGallery w:val="Page Numbers (Bottom of Page)"/>
        <w:docPartUnique/>
      </w:docPartObj>
    </w:sdtPr>
    <w:sdtContent>
      <w:p w14:paraId="7F3FF93C" w14:textId="77777777" w:rsidR="00671E8F" w:rsidRPr="006204E0" w:rsidRDefault="00671E8F">
        <w:pPr>
          <w:pStyle w:val="Footer"/>
        </w:pPr>
        <w:r w:rsidRPr="006204E0">
          <w:fldChar w:fldCharType="begin"/>
        </w:r>
        <w:r w:rsidRPr="006204E0">
          <w:instrText xml:space="preserve"> PAGE   \* MERGEFORMAT </w:instrText>
        </w:r>
        <w:r w:rsidRPr="006204E0">
          <w:fldChar w:fldCharType="separate"/>
        </w:r>
        <w:r w:rsidRPr="006204E0">
          <w:t>2</w:t>
        </w:r>
        <w:r w:rsidRPr="006204E0">
          <w:fldChar w:fldCharType="end"/>
        </w:r>
      </w:p>
    </w:sdtContent>
  </w:sdt>
  <w:p w14:paraId="54496403" w14:textId="77777777" w:rsidR="00671E8F" w:rsidRPr="006204E0" w:rsidRDefault="00671E8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1318995"/>
      <w:docPartObj>
        <w:docPartGallery w:val="Page Numbers (Bottom of Page)"/>
        <w:docPartUnique/>
      </w:docPartObj>
    </w:sdtPr>
    <w:sdtContent>
      <w:p w14:paraId="09729264" w14:textId="0CA3B39F" w:rsidR="00671E8F" w:rsidRPr="006204E0" w:rsidRDefault="00671E8F">
        <w:pPr>
          <w:pStyle w:val="Footer"/>
        </w:pPr>
        <w:r w:rsidRPr="006204E0">
          <w:fldChar w:fldCharType="begin"/>
        </w:r>
        <w:r w:rsidRPr="006204E0">
          <w:instrText xml:space="preserve"> PAGE   \* MERGEFORMAT </w:instrText>
        </w:r>
        <w:r w:rsidRPr="006204E0">
          <w:fldChar w:fldCharType="separate"/>
        </w:r>
        <w:r>
          <w:rPr>
            <w:noProof/>
          </w:rPr>
          <w:t>3</w:t>
        </w:r>
        <w:r w:rsidRPr="006204E0">
          <w:fldChar w:fldCharType="end"/>
        </w:r>
      </w:p>
    </w:sdtContent>
  </w:sdt>
  <w:p w14:paraId="0B66AE6B" w14:textId="77777777" w:rsidR="00671E8F" w:rsidRPr="006204E0" w:rsidRDefault="00671E8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92492817"/>
      <w:docPartObj>
        <w:docPartGallery w:val="Page Numbers (Bottom of Page)"/>
        <w:docPartUnique/>
      </w:docPartObj>
    </w:sdtPr>
    <w:sdtContent>
      <w:p w14:paraId="4536E1A9" w14:textId="77777777" w:rsidR="00671E8F" w:rsidRPr="006204E0" w:rsidRDefault="00671E8F">
        <w:pPr>
          <w:pStyle w:val="Footer"/>
        </w:pPr>
        <w:r w:rsidRPr="006204E0">
          <w:fldChar w:fldCharType="begin"/>
        </w:r>
        <w:r w:rsidRPr="006204E0">
          <w:instrText xml:space="preserve"> PAGE   \* MERGEFORMAT </w:instrText>
        </w:r>
        <w:r w:rsidRPr="006204E0">
          <w:fldChar w:fldCharType="separate"/>
        </w:r>
        <w:r w:rsidRPr="006204E0">
          <w:t>1</w:t>
        </w:r>
        <w:r w:rsidRPr="006204E0">
          <w:fldChar w:fldCharType="end"/>
        </w:r>
      </w:p>
    </w:sdtContent>
  </w:sdt>
  <w:p w14:paraId="657BF0D3" w14:textId="77777777" w:rsidR="00671E8F" w:rsidRPr="006204E0" w:rsidRDefault="00671E8F">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46688203"/>
      <w:docPartObj>
        <w:docPartGallery w:val="Page Numbers (Bottom of Page)"/>
        <w:docPartUnique/>
      </w:docPartObj>
    </w:sdtPr>
    <w:sdtContent>
      <w:p w14:paraId="138BB5B3" w14:textId="77777777" w:rsidR="00671E8F" w:rsidRPr="006204E0" w:rsidRDefault="00671E8F">
        <w:pPr>
          <w:pStyle w:val="Footer"/>
          <w:jc w:val="right"/>
        </w:pPr>
        <w:r w:rsidRPr="006204E0">
          <w:fldChar w:fldCharType="begin"/>
        </w:r>
        <w:r w:rsidRPr="006204E0">
          <w:instrText xml:space="preserve"> PAGE   \* MERGEFORMAT </w:instrText>
        </w:r>
        <w:r w:rsidRPr="006204E0">
          <w:fldChar w:fldCharType="separate"/>
        </w:r>
        <w:r w:rsidRPr="006204E0">
          <w:t>6</w:t>
        </w:r>
        <w:r w:rsidRPr="006204E0">
          <w:fldChar w:fldCharType="end"/>
        </w:r>
      </w:p>
    </w:sdtContent>
  </w:sdt>
  <w:p w14:paraId="71C6598F" w14:textId="77777777" w:rsidR="00671E8F" w:rsidRPr="006204E0" w:rsidRDefault="00671E8F">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63908428"/>
      <w:docPartObj>
        <w:docPartGallery w:val="Page Numbers (Bottom of Page)"/>
        <w:docPartUnique/>
      </w:docPartObj>
    </w:sdtPr>
    <w:sdtContent>
      <w:p w14:paraId="3BD59DE2" w14:textId="6E230E6F" w:rsidR="00671E8F" w:rsidRPr="006204E0" w:rsidRDefault="00671E8F" w:rsidP="000353A6">
        <w:pPr>
          <w:pStyle w:val="Footer"/>
          <w:jc w:val="left"/>
        </w:pPr>
        <w:r w:rsidRPr="006204E0">
          <w:fldChar w:fldCharType="begin"/>
        </w:r>
        <w:r w:rsidRPr="006204E0">
          <w:instrText xml:space="preserve"> PAGE   \* MERGEFORMAT </w:instrText>
        </w:r>
        <w:r w:rsidRPr="006204E0">
          <w:fldChar w:fldCharType="separate"/>
        </w:r>
        <w:r w:rsidR="008C094D">
          <w:rPr>
            <w:noProof/>
          </w:rPr>
          <w:t>4</w:t>
        </w:r>
        <w:r w:rsidRPr="006204E0">
          <w:fldChar w:fldCharType="end"/>
        </w:r>
      </w:p>
    </w:sdtContent>
  </w:sdt>
  <w:p w14:paraId="0D16C9DC" w14:textId="77777777" w:rsidR="00671E8F" w:rsidRPr="006204E0" w:rsidRDefault="00671E8F">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90384799"/>
      <w:docPartObj>
        <w:docPartGallery w:val="Page Numbers (Bottom of Page)"/>
        <w:docPartUnique/>
      </w:docPartObj>
    </w:sdtPr>
    <w:sdtContent>
      <w:p w14:paraId="54AE3016" w14:textId="5CC86F99"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3</w:t>
        </w:r>
        <w:r w:rsidRPr="006204E0">
          <w:fldChar w:fldCharType="end"/>
        </w:r>
      </w:p>
    </w:sdtContent>
  </w:sdt>
  <w:p w14:paraId="39779070" w14:textId="77777777" w:rsidR="00671E8F" w:rsidRPr="006204E0" w:rsidRDefault="00671E8F">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2044388"/>
      <w:docPartObj>
        <w:docPartGallery w:val="Page Numbers (Bottom of Page)"/>
        <w:docPartUnique/>
      </w:docPartObj>
    </w:sdtPr>
    <w:sdtContent>
      <w:p w14:paraId="2D74A9FC" w14:textId="7214F744"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7</w:t>
        </w:r>
        <w:r w:rsidRPr="006204E0">
          <w:fldChar w:fldCharType="end"/>
        </w:r>
      </w:p>
    </w:sdtContent>
  </w:sdt>
  <w:p w14:paraId="6FAA0229" w14:textId="77777777" w:rsidR="00671E8F" w:rsidRPr="006204E0" w:rsidRDefault="00671E8F" w:rsidP="000353A6">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59FA74" w14:textId="77777777" w:rsidR="00671E8F" w:rsidRPr="006204E0" w:rsidRDefault="00671E8F">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44846751"/>
      <w:docPartObj>
        <w:docPartGallery w:val="Page Numbers (Bottom of Page)"/>
        <w:docPartUnique/>
      </w:docPartObj>
    </w:sdtPr>
    <w:sdtContent>
      <w:p w14:paraId="48BC1E9A" w14:textId="37B2AA71"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8</w:t>
        </w:r>
        <w:r w:rsidRPr="006204E0">
          <w:fldChar w:fldCharType="end"/>
        </w:r>
      </w:p>
    </w:sdtContent>
  </w:sdt>
  <w:p w14:paraId="73EEC911" w14:textId="77777777" w:rsidR="00671E8F" w:rsidRPr="006204E0" w:rsidRDefault="00671E8F" w:rsidP="00C130D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83892054"/>
      <w:docPartObj>
        <w:docPartGallery w:val="Page Numbers (Bottom of Page)"/>
        <w:docPartUnique/>
      </w:docPartObj>
    </w:sdtPr>
    <w:sdtContent>
      <w:p w14:paraId="4D9330EB" w14:textId="2A983B1D" w:rsidR="00671E8F" w:rsidRPr="006204E0" w:rsidRDefault="00671E8F">
        <w:pPr>
          <w:pStyle w:val="Footer"/>
        </w:pPr>
        <w:r w:rsidRPr="006204E0">
          <w:fldChar w:fldCharType="begin"/>
        </w:r>
        <w:r w:rsidRPr="006204E0">
          <w:instrText xml:space="preserve"> PAGE   \* MERGEFORMAT </w:instrText>
        </w:r>
        <w:r w:rsidRPr="006204E0">
          <w:fldChar w:fldCharType="separate"/>
        </w:r>
        <w:r>
          <w:rPr>
            <w:noProof/>
          </w:rPr>
          <w:t>29</w:t>
        </w:r>
        <w:r w:rsidRPr="006204E0">
          <w:fldChar w:fldCharType="end"/>
        </w:r>
      </w:p>
    </w:sdtContent>
  </w:sdt>
  <w:p w14:paraId="22C892AC" w14:textId="77777777" w:rsidR="00671E8F" w:rsidRPr="006204E0" w:rsidRDefault="00671E8F">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390821"/>
      <w:docPartObj>
        <w:docPartGallery w:val="Page Numbers (Bottom of Page)"/>
        <w:docPartUnique/>
      </w:docPartObj>
    </w:sdtPr>
    <w:sdtContent>
      <w:p w14:paraId="55D4BE8E" w14:textId="028349F7"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10</w:t>
        </w:r>
        <w:r w:rsidRPr="006204E0">
          <w:fldChar w:fldCharType="end"/>
        </w:r>
      </w:p>
    </w:sdtContent>
  </w:sdt>
  <w:p w14:paraId="5D9F3EE0" w14:textId="77777777" w:rsidR="00671E8F" w:rsidRPr="006204E0" w:rsidRDefault="00671E8F" w:rsidP="00C130D2">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2901128"/>
      <w:docPartObj>
        <w:docPartGallery w:val="Page Numbers (Bottom of Page)"/>
        <w:docPartUnique/>
      </w:docPartObj>
    </w:sdtPr>
    <w:sdtContent>
      <w:p w14:paraId="04E7534D" w14:textId="07C19895"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17</w:t>
        </w:r>
        <w:r w:rsidRPr="006204E0">
          <w:fldChar w:fldCharType="end"/>
        </w:r>
      </w:p>
    </w:sdtContent>
  </w:sdt>
  <w:p w14:paraId="39736C18" w14:textId="77777777" w:rsidR="00671E8F" w:rsidRPr="006204E0" w:rsidRDefault="00671E8F" w:rsidP="00C130D2">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73466928"/>
      <w:docPartObj>
        <w:docPartGallery w:val="Page Numbers (Bottom of Page)"/>
        <w:docPartUnique/>
      </w:docPartObj>
    </w:sdtPr>
    <w:sdtEndPr>
      <w:rPr>
        <w:noProof/>
      </w:rPr>
    </w:sdtEndPr>
    <w:sdtContent>
      <w:p w14:paraId="06BE8AE1" w14:textId="37D0E147" w:rsidR="00671E8F" w:rsidRDefault="00671E8F">
        <w:pPr>
          <w:pStyle w:val="Footer"/>
        </w:pPr>
        <w:r>
          <w:fldChar w:fldCharType="begin"/>
        </w:r>
        <w:r>
          <w:instrText xml:space="preserve"> PAGE   \* MERGEFORMAT </w:instrText>
        </w:r>
        <w:r>
          <w:fldChar w:fldCharType="separate"/>
        </w:r>
        <w:r w:rsidR="008C094D">
          <w:rPr>
            <w:noProof/>
          </w:rPr>
          <w:t>28</w:t>
        </w:r>
        <w:r>
          <w:rPr>
            <w:noProof/>
          </w:rPr>
          <w:fldChar w:fldCharType="end"/>
        </w:r>
      </w:p>
    </w:sdtContent>
  </w:sdt>
  <w:p w14:paraId="47234981" w14:textId="77777777" w:rsidR="00671E8F" w:rsidRPr="006204E0" w:rsidRDefault="00671E8F">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68862087"/>
      <w:docPartObj>
        <w:docPartGallery w:val="Page Numbers (Bottom of Page)"/>
        <w:docPartUnique/>
      </w:docPartObj>
    </w:sdtPr>
    <w:sdtEndPr>
      <w:rPr>
        <w:noProof/>
      </w:rPr>
    </w:sdtEndPr>
    <w:sdtContent>
      <w:p w14:paraId="144214FC"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462BD399" w14:textId="77777777" w:rsidR="00671E8F" w:rsidRPr="00231623" w:rsidRDefault="00671E8F" w:rsidP="00231623">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4654684"/>
      <w:docPartObj>
        <w:docPartGallery w:val="Page Numbers (Bottom of Page)"/>
        <w:docPartUnique/>
      </w:docPartObj>
    </w:sdtPr>
    <w:sdtEndPr>
      <w:rPr>
        <w:noProof/>
      </w:rPr>
    </w:sdtEndPr>
    <w:sdtContent>
      <w:p w14:paraId="28EF7EB9" w14:textId="5875BDB8" w:rsidR="00671E8F" w:rsidRPr="001B7E15" w:rsidRDefault="00671E8F" w:rsidP="00C130D2">
        <w:pPr>
          <w:pStyle w:val="Footer"/>
        </w:pPr>
        <w:r w:rsidRPr="001B7E15">
          <w:fldChar w:fldCharType="begin"/>
        </w:r>
        <w:r w:rsidRPr="001B7E15">
          <w:instrText xml:space="preserve"> PAGE   \* MERGEFORMAT </w:instrText>
        </w:r>
        <w:r w:rsidRPr="001B7E15">
          <w:fldChar w:fldCharType="separate"/>
        </w:r>
        <w:r w:rsidR="008C094D">
          <w:rPr>
            <w:noProof/>
          </w:rPr>
          <w:t>29</w:t>
        </w:r>
        <w:r w:rsidRPr="001B7E15">
          <w:rPr>
            <w:noProof/>
          </w:rPr>
          <w:fldChar w:fldCharType="end"/>
        </w:r>
      </w:p>
    </w:sdtContent>
  </w:sdt>
  <w:p w14:paraId="06DD553B" w14:textId="77777777" w:rsidR="00671E8F" w:rsidRPr="00725FF8" w:rsidRDefault="00671E8F" w:rsidP="00C130D2">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31775734"/>
      <w:docPartObj>
        <w:docPartGallery w:val="Page Numbers (Bottom of Page)"/>
        <w:docPartUnique/>
      </w:docPartObj>
    </w:sdtPr>
    <w:sdtEndPr>
      <w:rPr>
        <w:noProof/>
      </w:rPr>
    </w:sdtEndPr>
    <w:sdtContent>
      <w:p w14:paraId="0EF5B39A"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02F7D34C" w14:textId="77777777" w:rsidR="00671E8F" w:rsidRPr="00231623" w:rsidRDefault="00671E8F" w:rsidP="00231623">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71641143"/>
      <w:docPartObj>
        <w:docPartGallery w:val="Page Numbers (Bottom of Page)"/>
        <w:docPartUnique/>
      </w:docPartObj>
    </w:sdtPr>
    <w:sdtEndPr>
      <w:rPr>
        <w:noProof/>
      </w:rPr>
    </w:sdtEndPr>
    <w:sdtContent>
      <w:p w14:paraId="3C403E91" w14:textId="2D8F3AD5" w:rsidR="00671E8F" w:rsidRPr="001B7E15" w:rsidRDefault="00671E8F" w:rsidP="00C130D2">
        <w:pPr>
          <w:pStyle w:val="Footer"/>
        </w:pPr>
        <w:r w:rsidRPr="001B7E15">
          <w:fldChar w:fldCharType="begin"/>
        </w:r>
        <w:r w:rsidRPr="001B7E15">
          <w:instrText xml:space="preserve"> PAGE   \* MERGEFORMAT </w:instrText>
        </w:r>
        <w:r w:rsidRPr="001B7E15">
          <w:fldChar w:fldCharType="separate"/>
        </w:r>
        <w:r>
          <w:rPr>
            <w:noProof/>
          </w:rPr>
          <w:t>29</w:t>
        </w:r>
        <w:r w:rsidRPr="001B7E15">
          <w:rPr>
            <w:noProof/>
          </w:rPr>
          <w:fldChar w:fldCharType="end"/>
        </w:r>
      </w:p>
    </w:sdtContent>
  </w:sdt>
  <w:p w14:paraId="07AD17F9" w14:textId="77777777" w:rsidR="00671E8F" w:rsidRPr="00725FF8" w:rsidRDefault="00671E8F" w:rsidP="00C130D2">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42888015"/>
      <w:docPartObj>
        <w:docPartGallery w:val="Page Numbers (Bottom of Page)"/>
        <w:docPartUnique/>
      </w:docPartObj>
    </w:sdtPr>
    <w:sdtEndPr>
      <w:rPr>
        <w:noProof/>
      </w:rPr>
    </w:sdtEndPr>
    <w:sdtContent>
      <w:p w14:paraId="385CA4C5"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5529E7A4" w14:textId="77777777" w:rsidR="00671E8F" w:rsidRPr="00231623" w:rsidRDefault="00671E8F" w:rsidP="00C130D2">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27367517"/>
      <w:docPartObj>
        <w:docPartGallery w:val="Page Numbers (Bottom of Page)"/>
        <w:docPartUnique/>
      </w:docPartObj>
    </w:sdtPr>
    <w:sdtEndPr>
      <w:rPr>
        <w:noProof/>
      </w:rPr>
    </w:sdtEndPr>
    <w:sdtContent>
      <w:p w14:paraId="2DE180B3" w14:textId="78E51560"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Pr>
            <w:noProof/>
          </w:rPr>
          <w:t>30</w:t>
        </w:r>
        <w:r w:rsidRPr="001B7E15">
          <w:rPr>
            <w:noProof/>
          </w:rPr>
          <w:fldChar w:fldCharType="end"/>
        </w:r>
      </w:p>
    </w:sdtContent>
  </w:sdt>
  <w:p w14:paraId="3F130CCC" w14:textId="77777777" w:rsidR="00671E8F" w:rsidRPr="00956C60" w:rsidRDefault="00671E8F" w:rsidP="00956C60">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99825345"/>
      <w:docPartObj>
        <w:docPartGallery w:val="Page Numbers (Bottom of Page)"/>
        <w:docPartUnique/>
      </w:docPartObj>
    </w:sdtPr>
    <w:sdtEndPr>
      <w:rPr>
        <w:noProof/>
      </w:rPr>
    </w:sdtEndPr>
    <w:sdtContent>
      <w:p w14:paraId="725008F7"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0374E02C" w14:textId="77777777" w:rsidR="00671E8F" w:rsidRPr="00231623" w:rsidRDefault="00671E8F" w:rsidP="00231623">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19181128"/>
      <w:docPartObj>
        <w:docPartGallery w:val="Page Numbers (Bottom of Page)"/>
        <w:docPartUnique/>
      </w:docPartObj>
    </w:sdtPr>
    <w:sdtEndPr>
      <w:rPr>
        <w:noProof/>
      </w:rPr>
    </w:sdtEndPr>
    <w:sdtContent>
      <w:p w14:paraId="6FF90D6E" w14:textId="473C14B8" w:rsidR="00671E8F" w:rsidRPr="001B7E15" w:rsidRDefault="00671E8F" w:rsidP="00C130D2">
        <w:pPr>
          <w:pStyle w:val="Footer"/>
        </w:pPr>
        <w:r w:rsidRPr="001B7E15">
          <w:fldChar w:fldCharType="begin"/>
        </w:r>
        <w:r w:rsidRPr="001B7E15">
          <w:instrText xml:space="preserve"> PAGE   \* MERGEFORMAT </w:instrText>
        </w:r>
        <w:r w:rsidRPr="001B7E15">
          <w:fldChar w:fldCharType="separate"/>
        </w:r>
        <w:r w:rsidR="008C094D">
          <w:rPr>
            <w:noProof/>
          </w:rPr>
          <w:t>31</w:t>
        </w:r>
        <w:r w:rsidRPr="001B7E15">
          <w:rPr>
            <w:noProof/>
          </w:rPr>
          <w:fldChar w:fldCharType="end"/>
        </w:r>
      </w:p>
    </w:sdtContent>
  </w:sdt>
  <w:p w14:paraId="40853337" w14:textId="77777777" w:rsidR="00671E8F" w:rsidRPr="00725FF8" w:rsidRDefault="00671E8F" w:rsidP="00C130D2">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05564734"/>
      <w:docPartObj>
        <w:docPartGallery w:val="Page Numbers (Bottom of Page)"/>
        <w:docPartUnique/>
      </w:docPartObj>
    </w:sdtPr>
    <w:sdtEndPr>
      <w:rPr>
        <w:noProof/>
      </w:rPr>
    </w:sdtEndPr>
    <w:sdtContent>
      <w:p w14:paraId="6AC2B001"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49E6FA05" w14:textId="77777777" w:rsidR="00671E8F" w:rsidRPr="00231623" w:rsidRDefault="00671E8F" w:rsidP="00C130D2">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30074376"/>
      <w:docPartObj>
        <w:docPartGallery w:val="Page Numbers (Bottom of Page)"/>
        <w:docPartUnique/>
      </w:docPartObj>
    </w:sdtPr>
    <w:sdtEndPr>
      <w:rPr>
        <w:noProof/>
      </w:rPr>
    </w:sdtEndPr>
    <w:sdtContent>
      <w:p w14:paraId="0451B962" w14:textId="4C906E11"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sidR="008C094D">
          <w:rPr>
            <w:noProof/>
          </w:rPr>
          <w:t>35</w:t>
        </w:r>
        <w:r w:rsidRPr="001B7E15">
          <w:rPr>
            <w:noProof/>
          </w:rPr>
          <w:fldChar w:fldCharType="end"/>
        </w:r>
      </w:p>
    </w:sdtContent>
  </w:sdt>
  <w:p w14:paraId="4E41972D" w14:textId="77777777" w:rsidR="00671E8F" w:rsidRPr="00956C60" w:rsidRDefault="00671E8F" w:rsidP="00956C60">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3B7F8" w14:textId="77777777" w:rsidR="00671E8F" w:rsidRDefault="00671E8F">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54543587"/>
      <w:docPartObj>
        <w:docPartGallery w:val="Page Numbers (Bottom of Page)"/>
        <w:docPartUnique/>
      </w:docPartObj>
    </w:sdtPr>
    <w:sdtEndPr>
      <w:rPr>
        <w:noProof/>
      </w:rPr>
    </w:sdtEndPr>
    <w:sdtContent>
      <w:p w14:paraId="33FFE0BD" w14:textId="77777777" w:rsidR="00671E8F" w:rsidRDefault="00671E8F">
        <w:pPr>
          <w:pStyle w:val="Footer"/>
        </w:pPr>
        <w:r>
          <w:fldChar w:fldCharType="begin"/>
        </w:r>
        <w:r>
          <w:instrText xml:space="preserve"> PAGE   \* MERGEFORMAT </w:instrText>
        </w:r>
        <w:r>
          <w:fldChar w:fldCharType="separate"/>
        </w:r>
        <w:r>
          <w:rPr>
            <w:noProof/>
          </w:rPr>
          <w:t>8</w:t>
        </w:r>
        <w:r>
          <w:rPr>
            <w:noProof/>
          </w:rPr>
          <w:fldChar w:fldCharType="end"/>
        </w:r>
      </w:p>
    </w:sdtContent>
  </w:sdt>
  <w:p w14:paraId="7A5D7AF6" w14:textId="77777777" w:rsidR="00671E8F" w:rsidRPr="00287EFB" w:rsidRDefault="00671E8F" w:rsidP="00C130D2">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85239919"/>
      <w:docPartObj>
        <w:docPartGallery w:val="Page Numbers (Bottom of Page)"/>
        <w:docPartUnique/>
      </w:docPartObj>
    </w:sdtPr>
    <w:sdtEndPr>
      <w:rPr>
        <w:noProof/>
      </w:rPr>
    </w:sdtEndPr>
    <w:sdtContent>
      <w:p w14:paraId="012592F6" w14:textId="25566277" w:rsidR="00671E8F" w:rsidRDefault="00671E8F">
        <w:pPr>
          <w:pStyle w:val="Footer"/>
        </w:pPr>
        <w:r>
          <w:fldChar w:fldCharType="begin"/>
        </w:r>
        <w:r>
          <w:instrText xml:space="preserve"> PAGE   \* MERGEFORMAT </w:instrText>
        </w:r>
        <w:r>
          <w:fldChar w:fldCharType="separate"/>
        </w:r>
        <w:r>
          <w:rPr>
            <w:noProof/>
          </w:rPr>
          <w:t>43</w:t>
        </w:r>
        <w:r>
          <w:rPr>
            <w:noProof/>
          </w:rPr>
          <w:fldChar w:fldCharType="end"/>
        </w:r>
      </w:p>
    </w:sdtContent>
  </w:sdt>
  <w:p w14:paraId="1983AABB" w14:textId="77777777" w:rsidR="00671E8F" w:rsidRDefault="00671E8F">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494228"/>
      <w:docPartObj>
        <w:docPartGallery w:val="Page Numbers (Bottom of Page)"/>
        <w:docPartUnique/>
      </w:docPartObj>
    </w:sdtPr>
    <w:sdtEndPr>
      <w:rPr>
        <w:noProof/>
      </w:rPr>
    </w:sdtEndPr>
    <w:sdtContent>
      <w:p w14:paraId="2EC21E04"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68064F79" w14:textId="77777777" w:rsidR="00671E8F" w:rsidRPr="00231623" w:rsidRDefault="00671E8F" w:rsidP="00C130D2">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0871956"/>
      <w:docPartObj>
        <w:docPartGallery w:val="Page Numbers (Bottom of Page)"/>
        <w:docPartUnique/>
      </w:docPartObj>
    </w:sdtPr>
    <w:sdtEndPr>
      <w:rPr>
        <w:noProof/>
      </w:rPr>
    </w:sdtEndPr>
    <w:sdtContent>
      <w:p w14:paraId="5AA9D815" w14:textId="0E029068"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sidR="008C094D">
          <w:rPr>
            <w:noProof/>
          </w:rPr>
          <w:t>37</w:t>
        </w:r>
        <w:r w:rsidRPr="001B7E15">
          <w:rPr>
            <w:noProof/>
          </w:rPr>
          <w:fldChar w:fldCharType="end"/>
        </w:r>
      </w:p>
    </w:sdtContent>
  </w:sdt>
  <w:p w14:paraId="40D38781" w14:textId="77777777" w:rsidR="00671E8F" w:rsidRPr="00956C60" w:rsidRDefault="00671E8F" w:rsidP="00956C60">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39194339"/>
      <w:docPartObj>
        <w:docPartGallery w:val="Page Numbers (Bottom of Page)"/>
        <w:docPartUnique/>
      </w:docPartObj>
    </w:sdtPr>
    <w:sdtEndPr>
      <w:rPr>
        <w:noProof/>
      </w:rPr>
    </w:sdtEndPr>
    <w:sdtContent>
      <w:p w14:paraId="29F29A5F"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5B18F997" w14:textId="77777777" w:rsidR="00671E8F" w:rsidRPr="00231623" w:rsidRDefault="00671E8F" w:rsidP="00C130D2">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34222282"/>
      <w:docPartObj>
        <w:docPartGallery w:val="Page Numbers (Bottom of Page)"/>
        <w:docPartUnique/>
      </w:docPartObj>
    </w:sdtPr>
    <w:sdtEndPr>
      <w:rPr>
        <w:noProof/>
      </w:rPr>
    </w:sdtEndPr>
    <w:sdtContent>
      <w:p w14:paraId="789D1113" w14:textId="77777777"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3CA4FD6A" w14:textId="77777777" w:rsidR="00671E8F" w:rsidRPr="00956C60" w:rsidRDefault="00671E8F" w:rsidP="00956C60">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86342217"/>
      <w:docPartObj>
        <w:docPartGallery w:val="Page Numbers (Bottom of Page)"/>
        <w:docPartUnique/>
      </w:docPartObj>
    </w:sdtPr>
    <w:sdtEndPr>
      <w:rPr>
        <w:noProof/>
      </w:rPr>
    </w:sdtEndPr>
    <w:sdtContent>
      <w:p w14:paraId="745AAF85"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560C6A4A" w14:textId="77777777" w:rsidR="00671E8F" w:rsidRPr="00231623" w:rsidRDefault="00671E8F" w:rsidP="00C130D2">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77683907"/>
      <w:docPartObj>
        <w:docPartGallery w:val="Page Numbers (Bottom of Page)"/>
        <w:docPartUnique/>
      </w:docPartObj>
    </w:sdtPr>
    <w:sdtEndPr>
      <w:rPr>
        <w:noProof/>
      </w:rPr>
    </w:sdtEndPr>
    <w:sdtContent>
      <w:p w14:paraId="533F1510" w14:textId="77777777"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Pr>
            <w:noProof/>
          </w:rPr>
          <w:t>38</w:t>
        </w:r>
        <w:r w:rsidRPr="001B7E15">
          <w:rPr>
            <w:noProof/>
          </w:rPr>
          <w:fldChar w:fldCharType="end"/>
        </w:r>
      </w:p>
    </w:sdtContent>
  </w:sdt>
  <w:p w14:paraId="3617F63B" w14:textId="77777777" w:rsidR="00671E8F" w:rsidRPr="00956C60" w:rsidRDefault="00671E8F" w:rsidP="00956C60">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77659858"/>
      <w:docPartObj>
        <w:docPartGallery w:val="Page Numbers (Bottom of Page)"/>
        <w:docPartUnique/>
      </w:docPartObj>
    </w:sdtPr>
    <w:sdtEndPr>
      <w:rPr>
        <w:noProof/>
      </w:rPr>
    </w:sdtEndPr>
    <w:sdtContent>
      <w:p w14:paraId="05FED8AB" w14:textId="77777777" w:rsidR="00671E8F" w:rsidRPr="001B7E15" w:rsidRDefault="00671E8F"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1CCAD50A" w14:textId="77777777" w:rsidR="00671E8F" w:rsidRPr="00231623" w:rsidRDefault="00671E8F" w:rsidP="00C130D2">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45535924"/>
      <w:docPartObj>
        <w:docPartGallery w:val="Page Numbers (Bottom of Page)"/>
        <w:docPartUnique/>
      </w:docPartObj>
    </w:sdtPr>
    <w:sdtEndPr>
      <w:rPr>
        <w:noProof/>
      </w:rPr>
    </w:sdtEndPr>
    <w:sdtContent>
      <w:p w14:paraId="542D7B3A" w14:textId="49955F08" w:rsidR="00671E8F" w:rsidRDefault="00671E8F" w:rsidP="00C130D2">
        <w:pPr>
          <w:pStyle w:val="Footer"/>
          <w:rPr>
            <w:noProof/>
          </w:rPr>
        </w:pPr>
        <w:r w:rsidRPr="001B7E15">
          <w:fldChar w:fldCharType="begin"/>
        </w:r>
        <w:r w:rsidRPr="001B7E15">
          <w:instrText xml:space="preserve"> PAGE   \* MERGEFORMAT </w:instrText>
        </w:r>
        <w:r w:rsidRPr="001B7E15">
          <w:fldChar w:fldCharType="separate"/>
        </w:r>
        <w:r w:rsidR="008C094D">
          <w:rPr>
            <w:noProof/>
          </w:rPr>
          <w:t>41</w:t>
        </w:r>
        <w:r w:rsidRPr="001B7E15">
          <w:rPr>
            <w:noProof/>
          </w:rPr>
          <w:fldChar w:fldCharType="end"/>
        </w:r>
      </w:p>
    </w:sdtContent>
  </w:sdt>
  <w:p w14:paraId="6FDD3722" w14:textId="77777777" w:rsidR="00671E8F" w:rsidRPr="00956C60" w:rsidRDefault="00671E8F" w:rsidP="00956C60">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1344506"/>
      <w:docPartObj>
        <w:docPartGallery w:val="Page Numbers (Bottom of Page)"/>
        <w:docPartUnique/>
      </w:docPartObj>
    </w:sdtPr>
    <w:sdtEndPr>
      <w:rPr>
        <w:noProof/>
      </w:rPr>
    </w:sdtEndPr>
    <w:sdtContent>
      <w:p w14:paraId="009CD917" w14:textId="77777777" w:rsidR="00671E8F" w:rsidRPr="001B7E15" w:rsidRDefault="00671E8F"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1C410540" w14:textId="77777777" w:rsidR="00671E8F" w:rsidRPr="00231623" w:rsidRDefault="00671E8F" w:rsidP="00B51BEB">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41462609"/>
      <w:docPartObj>
        <w:docPartGallery w:val="Page Numbers (Bottom of Page)"/>
        <w:docPartUnique/>
      </w:docPartObj>
    </w:sdtPr>
    <w:sdtEndPr>
      <w:rPr>
        <w:noProof/>
      </w:rPr>
    </w:sdtEndPr>
    <w:sdtContent>
      <w:p w14:paraId="2C2F496B" w14:textId="01DABEFF" w:rsidR="00671E8F" w:rsidRDefault="00671E8F" w:rsidP="00B51BEB">
        <w:pPr>
          <w:pStyle w:val="Footer"/>
          <w:rPr>
            <w:noProof/>
          </w:rPr>
        </w:pPr>
        <w:r w:rsidRPr="001B7E15">
          <w:fldChar w:fldCharType="begin"/>
        </w:r>
        <w:r w:rsidRPr="001B7E15">
          <w:instrText xml:space="preserve"> PAGE   \* MERGEFORMAT </w:instrText>
        </w:r>
        <w:r w:rsidRPr="001B7E15">
          <w:fldChar w:fldCharType="separate"/>
        </w:r>
        <w:r w:rsidR="008C094D">
          <w:rPr>
            <w:noProof/>
          </w:rPr>
          <w:t>51</w:t>
        </w:r>
        <w:r w:rsidRPr="001B7E15">
          <w:rPr>
            <w:noProof/>
          </w:rPr>
          <w:fldChar w:fldCharType="end"/>
        </w:r>
      </w:p>
    </w:sdtContent>
  </w:sdt>
  <w:p w14:paraId="2D205218" w14:textId="77777777" w:rsidR="00671E8F" w:rsidRPr="00956C60" w:rsidRDefault="00671E8F" w:rsidP="00B51BEB">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55358983"/>
      <w:docPartObj>
        <w:docPartGallery w:val="Page Numbers (Bottom of Page)"/>
        <w:docPartUnique/>
      </w:docPartObj>
    </w:sdtPr>
    <w:sdtEndPr>
      <w:rPr>
        <w:noProof/>
      </w:rPr>
    </w:sdtEndPr>
    <w:sdtContent>
      <w:p w14:paraId="3ABFE4B5" w14:textId="77777777" w:rsidR="00671E8F" w:rsidRPr="001B7E15" w:rsidRDefault="00671E8F"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6EB5B6AA" w14:textId="77777777" w:rsidR="00671E8F" w:rsidRPr="00231623" w:rsidRDefault="00671E8F" w:rsidP="00B51BEB">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330546"/>
      <w:docPartObj>
        <w:docPartGallery w:val="Page Numbers (Bottom of Page)"/>
        <w:docPartUnique/>
      </w:docPartObj>
    </w:sdtPr>
    <w:sdtEndPr>
      <w:rPr>
        <w:noProof/>
      </w:rPr>
    </w:sdtEndPr>
    <w:sdtContent>
      <w:p w14:paraId="07999EAE" w14:textId="3369B57E" w:rsidR="00671E8F" w:rsidRDefault="00671E8F" w:rsidP="00B51BEB">
        <w:pPr>
          <w:pStyle w:val="Footer"/>
          <w:rPr>
            <w:noProof/>
          </w:rPr>
        </w:pPr>
        <w:r w:rsidRPr="001B7E15">
          <w:fldChar w:fldCharType="begin"/>
        </w:r>
        <w:r w:rsidRPr="001B7E15">
          <w:instrText xml:space="preserve"> PAGE   \* MERGEFORMAT </w:instrText>
        </w:r>
        <w:r w:rsidRPr="001B7E15">
          <w:fldChar w:fldCharType="separate"/>
        </w:r>
        <w:r w:rsidR="008C094D">
          <w:rPr>
            <w:noProof/>
          </w:rPr>
          <w:t>59</w:t>
        </w:r>
        <w:r w:rsidRPr="001B7E15">
          <w:rPr>
            <w:noProof/>
          </w:rPr>
          <w:fldChar w:fldCharType="end"/>
        </w:r>
      </w:p>
    </w:sdtContent>
  </w:sdt>
  <w:p w14:paraId="2B692186" w14:textId="77777777" w:rsidR="00671E8F" w:rsidRPr="00956C60" w:rsidRDefault="00671E8F" w:rsidP="00B51BEB">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23203351"/>
      <w:docPartObj>
        <w:docPartGallery w:val="Page Numbers (Bottom of Page)"/>
        <w:docPartUnique/>
      </w:docPartObj>
    </w:sdtPr>
    <w:sdtEndPr>
      <w:rPr>
        <w:noProof/>
      </w:rPr>
    </w:sdtEndPr>
    <w:sdtContent>
      <w:p w14:paraId="363E622C" w14:textId="77777777" w:rsidR="00671E8F" w:rsidRPr="001B7E15" w:rsidRDefault="00671E8F"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12490921" w14:textId="77777777" w:rsidR="00671E8F" w:rsidRPr="00231623" w:rsidRDefault="00671E8F" w:rsidP="00B51BEB">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01712566"/>
      <w:docPartObj>
        <w:docPartGallery w:val="Page Numbers (Bottom of Page)"/>
        <w:docPartUnique/>
      </w:docPartObj>
    </w:sdtPr>
    <w:sdtEndPr>
      <w:rPr>
        <w:noProof/>
      </w:rPr>
    </w:sdtEndPr>
    <w:sdtContent>
      <w:p w14:paraId="0E6FB87B" w14:textId="77777777" w:rsidR="00671E8F" w:rsidRDefault="00671E8F" w:rsidP="00B51BEB">
        <w:pPr>
          <w:pStyle w:val="Footer"/>
          <w:rPr>
            <w:noProof/>
          </w:rPr>
        </w:pPr>
        <w:r w:rsidRPr="001B7E15">
          <w:fldChar w:fldCharType="begin"/>
        </w:r>
        <w:r w:rsidRPr="001B7E15">
          <w:instrText xml:space="preserve"> PAGE   \* MERGEFORMAT </w:instrText>
        </w:r>
        <w:r w:rsidRPr="001B7E15">
          <w:fldChar w:fldCharType="separate"/>
        </w:r>
        <w:r>
          <w:rPr>
            <w:noProof/>
          </w:rPr>
          <w:t>30</w:t>
        </w:r>
        <w:r w:rsidRPr="001B7E15">
          <w:rPr>
            <w:noProof/>
          </w:rPr>
          <w:fldChar w:fldCharType="end"/>
        </w:r>
      </w:p>
    </w:sdtContent>
  </w:sdt>
  <w:p w14:paraId="6F05076B" w14:textId="77777777" w:rsidR="00671E8F" w:rsidRPr="00956C60" w:rsidRDefault="00671E8F" w:rsidP="00B51BEB">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17837812"/>
      <w:docPartObj>
        <w:docPartGallery w:val="Page Numbers (Bottom of Page)"/>
        <w:docPartUnique/>
      </w:docPartObj>
    </w:sdtPr>
    <w:sdtEndPr>
      <w:rPr>
        <w:noProof/>
      </w:rPr>
    </w:sdtEndPr>
    <w:sdtContent>
      <w:p w14:paraId="52482C10" w14:textId="77777777" w:rsidR="00671E8F" w:rsidRPr="001B7E15" w:rsidRDefault="00671E8F"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35CF5295" w14:textId="77777777" w:rsidR="00671E8F" w:rsidRPr="00231623" w:rsidRDefault="00671E8F" w:rsidP="00B51BEB">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47911858"/>
      <w:docPartObj>
        <w:docPartGallery w:val="Page Numbers (Bottom of Page)"/>
        <w:docPartUnique/>
      </w:docPartObj>
    </w:sdtPr>
    <w:sdtEndPr>
      <w:rPr>
        <w:noProof/>
      </w:rPr>
    </w:sdtEndPr>
    <w:sdtContent>
      <w:p w14:paraId="2958408A" w14:textId="2225CFD2" w:rsidR="00671E8F" w:rsidRDefault="00671E8F" w:rsidP="00B51BEB">
        <w:pPr>
          <w:pStyle w:val="Footer"/>
          <w:rPr>
            <w:noProof/>
          </w:rPr>
        </w:pPr>
        <w:r w:rsidRPr="001B7E15">
          <w:fldChar w:fldCharType="begin"/>
        </w:r>
        <w:r w:rsidRPr="001B7E15">
          <w:instrText xml:space="preserve"> PAGE   \* MERGEFORMAT </w:instrText>
        </w:r>
        <w:r w:rsidRPr="001B7E15">
          <w:fldChar w:fldCharType="separate"/>
        </w:r>
        <w:r w:rsidR="008C094D">
          <w:rPr>
            <w:noProof/>
          </w:rPr>
          <w:t>75</w:t>
        </w:r>
        <w:r w:rsidRPr="001B7E15">
          <w:rPr>
            <w:noProof/>
          </w:rPr>
          <w:fldChar w:fldCharType="end"/>
        </w:r>
      </w:p>
    </w:sdtContent>
  </w:sdt>
  <w:p w14:paraId="39B0BBFC" w14:textId="77777777" w:rsidR="00671E8F" w:rsidRPr="00956C60" w:rsidRDefault="00671E8F" w:rsidP="00B51BEB">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0594641"/>
      <w:docPartObj>
        <w:docPartGallery w:val="Page Numbers (Bottom of Page)"/>
        <w:docPartUnique/>
      </w:docPartObj>
    </w:sdtPr>
    <w:sdtEndPr>
      <w:rPr>
        <w:noProof/>
      </w:rPr>
    </w:sdtEndPr>
    <w:sdtContent>
      <w:p w14:paraId="18939466" w14:textId="77777777" w:rsidR="00671E8F" w:rsidRPr="001B7E15" w:rsidRDefault="00671E8F" w:rsidP="00D500A7">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70B0CE64" w14:textId="77777777" w:rsidR="00671E8F" w:rsidRPr="00231623" w:rsidRDefault="00671E8F" w:rsidP="00D500A7">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31081999"/>
      <w:docPartObj>
        <w:docPartGallery w:val="Page Numbers (Bottom of Page)"/>
        <w:docPartUnique/>
      </w:docPartObj>
    </w:sdtPr>
    <w:sdtEndPr>
      <w:rPr>
        <w:noProof/>
      </w:rPr>
    </w:sdtEndPr>
    <w:sdtContent>
      <w:p w14:paraId="4D1AA581" w14:textId="70A0776A" w:rsidR="00671E8F" w:rsidRDefault="00671E8F" w:rsidP="00D500A7">
        <w:pPr>
          <w:pStyle w:val="Footer"/>
          <w:rPr>
            <w:noProof/>
          </w:rPr>
        </w:pPr>
        <w:r w:rsidRPr="001B7E15">
          <w:fldChar w:fldCharType="begin"/>
        </w:r>
        <w:r w:rsidRPr="001B7E15">
          <w:instrText xml:space="preserve"> PAGE   \* MERGEFORMAT </w:instrText>
        </w:r>
        <w:r w:rsidRPr="001B7E15">
          <w:fldChar w:fldCharType="separate"/>
        </w:r>
        <w:r w:rsidR="008C094D">
          <w:rPr>
            <w:noProof/>
          </w:rPr>
          <w:t>78</w:t>
        </w:r>
        <w:r w:rsidRPr="001B7E15">
          <w:rPr>
            <w:noProof/>
          </w:rPr>
          <w:fldChar w:fldCharType="end"/>
        </w:r>
      </w:p>
    </w:sdtContent>
  </w:sdt>
  <w:p w14:paraId="124C13A4" w14:textId="77777777" w:rsidR="00671E8F" w:rsidRPr="00956C60" w:rsidRDefault="00671E8F" w:rsidP="00D500A7">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7254257"/>
      <w:docPartObj>
        <w:docPartGallery w:val="Page Numbers (Bottom of Page)"/>
        <w:docPartUnique/>
      </w:docPartObj>
    </w:sdtPr>
    <w:sdtEndPr>
      <w:rPr>
        <w:noProof/>
      </w:rPr>
    </w:sdtEndPr>
    <w:sdtContent>
      <w:p w14:paraId="511B928D" w14:textId="77777777" w:rsidR="00671E8F" w:rsidRPr="001B7E15" w:rsidRDefault="00671E8F" w:rsidP="00D500A7">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29D20F2E" w14:textId="77777777" w:rsidR="00671E8F" w:rsidRPr="00231623" w:rsidRDefault="00671E8F" w:rsidP="00D500A7">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25409187"/>
      <w:docPartObj>
        <w:docPartGallery w:val="Page Numbers (Bottom of Page)"/>
        <w:docPartUnique/>
      </w:docPartObj>
    </w:sdtPr>
    <w:sdtEndPr>
      <w:rPr>
        <w:noProof/>
      </w:rPr>
    </w:sdtEndPr>
    <w:sdtContent>
      <w:p w14:paraId="77892DAC" w14:textId="6CBA247C" w:rsidR="00671E8F" w:rsidRDefault="00671E8F" w:rsidP="00D500A7">
        <w:pPr>
          <w:pStyle w:val="Footer"/>
          <w:rPr>
            <w:noProof/>
          </w:rPr>
        </w:pPr>
        <w:r w:rsidRPr="001B7E15">
          <w:fldChar w:fldCharType="begin"/>
        </w:r>
        <w:r w:rsidRPr="001B7E15">
          <w:instrText xml:space="preserve"> PAGE   \* MERGEFORMAT </w:instrText>
        </w:r>
        <w:r w:rsidRPr="001B7E15">
          <w:fldChar w:fldCharType="separate"/>
        </w:r>
        <w:r w:rsidR="008C094D">
          <w:rPr>
            <w:noProof/>
          </w:rPr>
          <w:t>79</w:t>
        </w:r>
        <w:r w:rsidRPr="001B7E15">
          <w:rPr>
            <w:noProof/>
          </w:rPr>
          <w:fldChar w:fldCharType="end"/>
        </w:r>
      </w:p>
    </w:sdtContent>
  </w:sdt>
  <w:p w14:paraId="64AA2049" w14:textId="77777777" w:rsidR="00671E8F" w:rsidRPr="00956C60" w:rsidRDefault="00671E8F" w:rsidP="00D500A7">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87621609"/>
      <w:docPartObj>
        <w:docPartGallery w:val="Page Numbers (Bottom of Page)"/>
        <w:docPartUnique/>
      </w:docPartObj>
    </w:sdtPr>
    <w:sdtEndPr>
      <w:rPr>
        <w:noProof/>
      </w:rPr>
    </w:sdtEndPr>
    <w:sdtContent>
      <w:p w14:paraId="07CC3D54" w14:textId="77777777" w:rsidR="00671E8F" w:rsidRPr="001B7E15" w:rsidRDefault="00671E8F" w:rsidP="00D500A7">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41596A9A" w14:textId="77777777" w:rsidR="00671E8F" w:rsidRPr="00231623" w:rsidRDefault="00671E8F" w:rsidP="00D500A7">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51972801"/>
      <w:docPartObj>
        <w:docPartGallery w:val="Page Numbers (Bottom of Page)"/>
        <w:docPartUnique/>
      </w:docPartObj>
    </w:sdtPr>
    <w:sdtEndPr>
      <w:rPr>
        <w:noProof/>
      </w:rPr>
    </w:sdtEndPr>
    <w:sdtContent>
      <w:p w14:paraId="31A9088D" w14:textId="14A3BB3B" w:rsidR="00671E8F" w:rsidRDefault="00671E8F" w:rsidP="00D500A7">
        <w:pPr>
          <w:pStyle w:val="Footer"/>
          <w:rPr>
            <w:noProof/>
          </w:rPr>
        </w:pPr>
        <w:r w:rsidRPr="001B7E15">
          <w:fldChar w:fldCharType="begin"/>
        </w:r>
        <w:r w:rsidRPr="001B7E15">
          <w:instrText xml:space="preserve"> PAGE   \* MERGEFORMAT </w:instrText>
        </w:r>
        <w:r w:rsidRPr="001B7E15">
          <w:fldChar w:fldCharType="separate"/>
        </w:r>
        <w:r w:rsidR="008C094D">
          <w:rPr>
            <w:noProof/>
          </w:rPr>
          <w:t>90</w:t>
        </w:r>
        <w:r w:rsidRPr="001B7E15">
          <w:rPr>
            <w:noProof/>
          </w:rPr>
          <w:fldChar w:fldCharType="end"/>
        </w:r>
      </w:p>
    </w:sdtContent>
  </w:sdt>
  <w:p w14:paraId="3CB9D3DA" w14:textId="77777777" w:rsidR="00671E8F" w:rsidRPr="00956C60" w:rsidRDefault="00671E8F" w:rsidP="00D500A7">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F00E8A" w14:textId="77777777" w:rsidR="00671E8F" w:rsidRDefault="00671E8F">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71974227"/>
      <w:docPartObj>
        <w:docPartGallery w:val="Page Numbers (Bottom of Page)"/>
        <w:docPartUnique/>
      </w:docPartObj>
    </w:sdtPr>
    <w:sdtEndPr>
      <w:rPr>
        <w:noProof/>
      </w:rPr>
    </w:sdtEndPr>
    <w:sdtContent>
      <w:p w14:paraId="77D45DD2" w14:textId="06CEC49E" w:rsidR="00671E8F" w:rsidRDefault="00671E8F">
        <w:pPr>
          <w:pStyle w:val="Footer"/>
        </w:pPr>
        <w:r>
          <w:fldChar w:fldCharType="begin"/>
        </w:r>
        <w:r>
          <w:instrText xml:space="preserve"> PAGE   \* MERGEFORMAT </w:instrText>
        </w:r>
        <w:r>
          <w:fldChar w:fldCharType="separate"/>
        </w:r>
        <w:r w:rsidR="008C094D">
          <w:rPr>
            <w:noProof/>
          </w:rPr>
          <w:t>99</w:t>
        </w:r>
        <w:r>
          <w:rPr>
            <w:noProof/>
          </w:rPr>
          <w:fldChar w:fldCharType="end"/>
        </w:r>
      </w:p>
    </w:sdtContent>
  </w:sdt>
  <w:p w14:paraId="2920453D" w14:textId="77777777" w:rsidR="00671E8F" w:rsidRPr="00287EFB" w:rsidRDefault="00671E8F" w:rsidP="00C130D2">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3731552"/>
      <w:docPartObj>
        <w:docPartGallery w:val="Page Numbers (Bottom of Page)"/>
        <w:docPartUnique/>
      </w:docPartObj>
    </w:sdtPr>
    <w:sdtEndPr>
      <w:rPr>
        <w:noProof/>
      </w:rPr>
    </w:sdtEndPr>
    <w:sdtContent>
      <w:p w14:paraId="4D478D35" w14:textId="44BA03DB" w:rsidR="00671E8F" w:rsidRDefault="00671E8F">
        <w:pPr>
          <w:pStyle w:val="Footer"/>
        </w:pPr>
        <w:r>
          <w:fldChar w:fldCharType="begin"/>
        </w:r>
        <w:r>
          <w:instrText xml:space="preserve"> PAGE   \* MERGEFORMAT </w:instrText>
        </w:r>
        <w:r>
          <w:fldChar w:fldCharType="separate"/>
        </w:r>
        <w:r>
          <w:rPr>
            <w:noProof/>
          </w:rPr>
          <w:t>96</w:t>
        </w:r>
        <w:r>
          <w:rPr>
            <w:noProof/>
          </w:rPr>
          <w:fldChar w:fldCharType="end"/>
        </w:r>
      </w:p>
    </w:sdtContent>
  </w:sdt>
  <w:p w14:paraId="4D010717" w14:textId="77777777" w:rsidR="00671E8F" w:rsidRDefault="00671E8F">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46727124"/>
      <w:docPartObj>
        <w:docPartGallery w:val="Page Numbers (Bottom of Page)"/>
        <w:docPartUnique/>
      </w:docPartObj>
    </w:sdtPr>
    <w:sdtContent>
      <w:p w14:paraId="75FDAABD" w14:textId="34CF6732" w:rsidR="00671E8F" w:rsidRPr="006204E0" w:rsidRDefault="00671E8F">
        <w:pPr>
          <w:pStyle w:val="Footer"/>
        </w:pPr>
        <w:r w:rsidRPr="006204E0">
          <w:fldChar w:fldCharType="begin"/>
        </w:r>
        <w:r w:rsidRPr="006204E0">
          <w:instrText xml:space="preserve"> PAGE   \* MERGEFORMAT </w:instrText>
        </w:r>
        <w:r w:rsidRPr="006204E0">
          <w:fldChar w:fldCharType="separate"/>
        </w:r>
        <w:r>
          <w:rPr>
            <w:noProof/>
          </w:rPr>
          <w:t>29</w:t>
        </w:r>
        <w:r w:rsidRPr="006204E0">
          <w:fldChar w:fldCharType="end"/>
        </w:r>
      </w:p>
    </w:sdtContent>
  </w:sdt>
  <w:p w14:paraId="1F8C1A1D" w14:textId="77777777" w:rsidR="00671E8F" w:rsidRPr="006204E0" w:rsidRDefault="00671E8F">
    <w:pPr>
      <w:pStyle w:val="Footer"/>
    </w:pPr>
  </w:p>
  <w:p w14:paraId="5581E7F3" w14:textId="77777777" w:rsidR="00671E8F" w:rsidRDefault="00671E8F"/>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2D3BA5" w14:textId="77777777" w:rsidR="00671E8F" w:rsidRPr="006204E0" w:rsidRDefault="00671E8F">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53361313"/>
      <w:docPartObj>
        <w:docPartGallery w:val="Page Numbers (Bottom of Page)"/>
        <w:docPartUnique/>
      </w:docPartObj>
    </w:sdtPr>
    <w:sdtContent>
      <w:p w14:paraId="20BE23F1" w14:textId="72A8D93A"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105</w:t>
        </w:r>
        <w:r w:rsidRPr="006204E0">
          <w:fldChar w:fldCharType="end"/>
        </w:r>
      </w:p>
    </w:sdtContent>
  </w:sdt>
  <w:p w14:paraId="3975A194" w14:textId="77777777" w:rsidR="00671E8F" w:rsidRPr="006204E0" w:rsidRDefault="00671E8F" w:rsidP="00C130D2">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3508765"/>
      <w:docPartObj>
        <w:docPartGallery w:val="Page Numbers (Bottom of Page)"/>
        <w:docPartUnique/>
      </w:docPartObj>
    </w:sdtPr>
    <w:sdtContent>
      <w:p w14:paraId="3C8D9216" w14:textId="1B1E0B1D" w:rsidR="00671E8F" w:rsidRPr="006204E0" w:rsidRDefault="00671E8F">
        <w:pPr>
          <w:pStyle w:val="Footer"/>
        </w:pPr>
        <w:r w:rsidRPr="006204E0">
          <w:fldChar w:fldCharType="begin"/>
        </w:r>
        <w:r w:rsidRPr="006204E0">
          <w:instrText xml:space="preserve"> PAGE   \* MERGEFORMAT </w:instrText>
        </w:r>
        <w:r w:rsidRPr="006204E0">
          <w:fldChar w:fldCharType="separate"/>
        </w:r>
        <w:r w:rsidR="008C094D">
          <w:rPr>
            <w:noProof/>
          </w:rPr>
          <w:t>100</w:t>
        </w:r>
        <w:r w:rsidRPr="006204E0">
          <w:fldChar w:fldCharType="end"/>
        </w:r>
      </w:p>
    </w:sdtContent>
  </w:sdt>
  <w:p w14:paraId="1E2A3108" w14:textId="77777777" w:rsidR="00671E8F" w:rsidRPr="006204E0" w:rsidRDefault="00671E8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71EEA0" w14:textId="77777777" w:rsidR="00551BE3" w:rsidRPr="006204E0" w:rsidRDefault="00551BE3" w:rsidP="00BF7F6A">
      <w:pPr>
        <w:spacing w:after="0" w:line="240" w:lineRule="auto"/>
      </w:pPr>
      <w:r w:rsidRPr="006204E0">
        <w:separator/>
      </w:r>
    </w:p>
  </w:footnote>
  <w:footnote w:type="continuationSeparator" w:id="0">
    <w:p w14:paraId="04FA9255" w14:textId="77777777" w:rsidR="00551BE3" w:rsidRPr="006204E0" w:rsidRDefault="00551BE3" w:rsidP="00BF7F6A">
      <w:pPr>
        <w:spacing w:after="0" w:line="240" w:lineRule="auto"/>
      </w:pPr>
      <w:r w:rsidRPr="006204E0">
        <w:continuationSeparator/>
      </w:r>
    </w:p>
  </w:footnote>
  <w:footnote w:id="1">
    <w:p w14:paraId="5C610876" w14:textId="77777777" w:rsidR="00671E8F" w:rsidRPr="006204E0" w:rsidRDefault="00671E8F">
      <w:pPr>
        <w:pStyle w:val="FootnoteText"/>
      </w:pPr>
      <w:r w:rsidRPr="00B005A2">
        <w:rPr>
          <w:rStyle w:val="FootnoteReference"/>
          <w:sz w:val="18"/>
        </w:rPr>
        <w:footnoteRef/>
      </w:r>
      <w:r w:rsidRPr="00B005A2">
        <w:rPr>
          <w:sz w:val="18"/>
        </w:rPr>
        <w:t xml:space="preserve"> </w:t>
      </w:r>
      <w:r w:rsidRPr="00B005A2">
        <w:rPr>
          <w:sz w:val="16"/>
        </w:rPr>
        <w:t>Кварталне серије података о кретању БДП такође су предмет спроведене ревизије од стране РЗС. Међутим, ови подаци још увек нису доступни и биће објављени у саопштењу, које је према календару публиковања РЗС планирано за 2. децембар 2024. године.</w:t>
      </w:r>
    </w:p>
  </w:footnote>
  <w:footnote w:id="2">
    <w:p w14:paraId="054BBC77" w14:textId="77777777" w:rsidR="00671E8F" w:rsidRPr="00F777FB" w:rsidRDefault="00671E8F">
      <w:pPr>
        <w:pStyle w:val="FootnoteText"/>
        <w:rPr>
          <w:lang w:val="sr-Latn-RS"/>
        </w:rPr>
      </w:pPr>
      <w:r w:rsidRPr="006204E0">
        <w:rPr>
          <w:rStyle w:val="FootnoteReference"/>
        </w:rPr>
        <w:footnoteRef/>
      </w:r>
      <w:r w:rsidRPr="006204E0">
        <w:t xml:space="preserve"> </w:t>
      </w:r>
      <w:r w:rsidRPr="006204E0">
        <w:rPr>
          <w:sz w:val="16"/>
          <w:szCs w:val="16"/>
        </w:rPr>
        <w:t>Подаци се односе збирно за Народну Републику Кину, Макао, Хонг Конг и Кинеску Провинцију Тајван.</w:t>
      </w:r>
    </w:p>
  </w:footnote>
  <w:footnote w:id="3">
    <w:p w14:paraId="6C7221D2" w14:textId="77777777" w:rsidR="00671E8F" w:rsidRDefault="00671E8F" w:rsidP="00EA25AE">
      <w:pPr>
        <w:pStyle w:val="FootnoteText"/>
        <w:rPr>
          <w:sz w:val="16"/>
          <w:szCs w:val="16"/>
        </w:rPr>
      </w:pPr>
      <w:r>
        <w:rPr>
          <w:rStyle w:val="FootnoteReference"/>
        </w:rPr>
        <w:footnoteRef/>
      </w:r>
      <w:r>
        <w:t xml:space="preserve"> </w:t>
      </w:r>
      <w:r w:rsidRPr="00080426">
        <w:rPr>
          <w:sz w:val="16"/>
          <w:szCs w:val="16"/>
        </w:rPr>
        <w:t>Извор: Министарство финансија</w:t>
      </w:r>
    </w:p>
    <w:p w14:paraId="718878A3" w14:textId="77777777" w:rsidR="00671E8F" w:rsidRPr="00080426" w:rsidRDefault="00671E8F" w:rsidP="00EA25AE">
      <w:pPr>
        <w:pStyle w:val="FootnoteText"/>
        <w:rPr>
          <w:sz w:val="16"/>
          <w:szCs w:val="16"/>
        </w:rPr>
      </w:pPr>
      <w:r w:rsidRPr="00080426">
        <w:rPr>
          <w:sz w:val="16"/>
          <w:szCs w:val="16"/>
        </w:rPr>
        <w:t>* Оригинални буџет за 2024. годину је, у сврхе упоредивости са новом проценом за текућу годину, коригован за износе настале проширењем обухвата сектора државе који се односи на укључивање и извештавање о сопственим средствима (приходи и расходи) ванбуџетских корисника (јавне агенције и институти). Укупан обим тих средстава износи 20,2 млрд и на приходној и расходној страни.</w:t>
      </w:r>
    </w:p>
    <w:p w14:paraId="7C93EB95" w14:textId="1B88EF17" w:rsidR="00671E8F" w:rsidRPr="00EA25AE" w:rsidRDefault="00671E8F" w:rsidP="00EA25AE">
      <w:pPr>
        <w:pStyle w:val="FootnoteText"/>
        <w:rPr>
          <w:lang w:val="sr-Cyrl-RS"/>
        </w:rPr>
      </w:pPr>
      <w:r w:rsidRPr="00080426">
        <w:rPr>
          <w:sz w:val="16"/>
          <w:szCs w:val="16"/>
        </w:rPr>
        <w:t xml:space="preserve">** </w:t>
      </w:r>
      <w:r>
        <w:rPr>
          <w:sz w:val="16"/>
          <w:szCs w:val="16"/>
          <w:lang w:val="sr-Cyrl-RS"/>
        </w:rPr>
        <w:t>Р</w:t>
      </w:r>
      <w:r w:rsidRPr="00080426">
        <w:rPr>
          <w:sz w:val="16"/>
          <w:szCs w:val="16"/>
        </w:rPr>
        <w:t>ади лакше упоредивости, а услед значајне статистичке ревизије номиналног износа БДП, сва учешћа изражена су као проценат тренутне процене висине БДП за 2024. годину</w:t>
      </w:r>
      <w:r>
        <w:rPr>
          <w:sz w:val="16"/>
          <w:szCs w:val="16"/>
          <w:lang w:val="sr-Cyrl-RS"/>
        </w:rPr>
        <w:t>.</w:t>
      </w:r>
    </w:p>
  </w:footnote>
  <w:footnote w:id="4">
    <w:p w14:paraId="76EB2180" w14:textId="77777777" w:rsidR="00671E8F" w:rsidRPr="000B7C51" w:rsidRDefault="00671E8F" w:rsidP="00473C3B">
      <w:pPr>
        <w:pStyle w:val="FootnoteText"/>
        <w:rPr>
          <w:sz w:val="16"/>
          <w:szCs w:val="16"/>
          <w:lang w:val="sr-Cyrl-RS"/>
        </w:rPr>
      </w:pPr>
      <w:r w:rsidRPr="000B7C51">
        <w:rPr>
          <w:rStyle w:val="FootnoteReference"/>
          <w:sz w:val="16"/>
          <w:szCs w:val="16"/>
        </w:rPr>
        <w:footnoteRef/>
      </w:r>
      <w:r w:rsidRPr="000979D4">
        <w:rPr>
          <w:sz w:val="16"/>
          <w:szCs w:val="16"/>
          <w:lang w:val="sr-Cyrl-RS"/>
        </w:rPr>
        <w:t xml:space="preserve"> </w:t>
      </w:r>
      <w:r>
        <w:rPr>
          <w:sz w:val="16"/>
          <w:szCs w:val="16"/>
          <w:lang w:val="sr-Cyrl-RS"/>
        </w:rPr>
        <w:t>Нови ентите</w:t>
      </w:r>
      <w:r w:rsidRPr="000B7C51">
        <w:rPr>
          <w:sz w:val="16"/>
          <w:szCs w:val="16"/>
          <w:lang w:val="sr-Cyrl-RS"/>
        </w:rPr>
        <w:t>ти могу се укључити или искључити из обухвата сектора државе у складу са статистичким критеријумима и међународним стандардима који их одређују.</w:t>
      </w:r>
    </w:p>
  </w:footnote>
  <w:footnote w:id="5">
    <w:p w14:paraId="521C44C2" w14:textId="77777777" w:rsidR="00671E8F" w:rsidRDefault="00671E8F" w:rsidP="00473C3B">
      <w:pPr>
        <w:pStyle w:val="FootnoteText"/>
        <w:rPr>
          <w:rFonts w:cstheme="minorHAnsi"/>
          <w:sz w:val="16"/>
          <w:szCs w:val="16"/>
          <w:lang w:val="sr-Cyrl-RS"/>
        </w:rPr>
      </w:pPr>
      <w:r>
        <w:rPr>
          <w:rStyle w:val="FootnoteReference"/>
          <w:rFonts w:cstheme="minorHAnsi"/>
          <w:sz w:val="16"/>
          <w:szCs w:val="16"/>
          <w:lang w:val="sr-Cyrl-RS"/>
        </w:rPr>
        <w:footnoteRef/>
      </w:r>
      <w:r>
        <w:rPr>
          <w:rFonts w:cstheme="minorHAnsi"/>
          <w:sz w:val="16"/>
          <w:szCs w:val="16"/>
          <w:lang w:val="sr-Cyrl-RS"/>
        </w:rPr>
        <w:t xml:space="preserve"> Закон о јавном дугу („Службени гласник РС”, бр. 61/05, 107/09, 78/11, 68/15, 95/18, 91/19 и 149/20).</w:t>
      </w:r>
    </w:p>
  </w:footnote>
  <w:footnote w:id="6">
    <w:p w14:paraId="2186B6B9" w14:textId="77777777" w:rsidR="00671E8F" w:rsidRPr="00D121C1" w:rsidRDefault="00671E8F" w:rsidP="00473C3B">
      <w:pPr>
        <w:pStyle w:val="FootnoteText"/>
        <w:rPr>
          <w:sz w:val="16"/>
          <w:szCs w:val="16"/>
          <w:lang w:val="sr-Cyrl-RS"/>
        </w:rPr>
      </w:pPr>
      <w:r>
        <w:rPr>
          <w:rStyle w:val="FootnoteReference"/>
          <w:sz w:val="16"/>
          <w:szCs w:val="16"/>
        </w:rPr>
        <w:footnoteRef/>
      </w:r>
      <w:r>
        <w:rPr>
          <w:sz w:val="16"/>
          <w:szCs w:val="16"/>
        </w:rPr>
        <w:t xml:space="preserve"> </w:t>
      </w:r>
      <w:r>
        <w:rPr>
          <w:sz w:val="16"/>
          <w:szCs w:val="16"/>
          <w:lang w:val="sr-Cyrl-RS"/>
        </w:rPr>
        <w:t xml:space="preserve">Процењен БДП за 2024. годину је </w:t>
      </w:r>
      <w:r>
        <w:rPr>
          <w:sz w:val="16"/>
          <w:szCs w:val="16"/>
        </w:rPr>
        <w:t>9</w:t>
      </w:r>
      <w:r>
        <w:rPr>
          <w:sz w:val="16"/>
          <w:szCs w:val="16"/>
          <w:lang w:val="sr-Cyrl-RS"/>
        </w:rPr>
        <w:t>.</w:t>
      </w:r>
      <w:r>
        <w:rPr>
          <w:sz w:val="16"/>
          <w:szCs w:val="16"/>
        </w:rPr>
        <w:t>604</w:t>
      </w:r>
      <w:r>
        <w:rPr>
          <w:sz w:val="16"/>
          <w:szCs w:val="16"/>
          <w:lang w:val="sr-Cyrl-RS"/>
        </w:rPr>
        <w:t>,</w:t>
      </w:r>
      <w:r>
        <w:rPr>
          <w:sz w:val="16"/>
          <w:szCs w:val="16"/>
        </w:rPr>
        <w:t>8</w:t>
      </w:r>
      <w:r>
        <w:rPr>
          <w:sz w:val="16"/>
          <w:szCs w:val="16"/>
          <w:lang w:val="sr-Cyrl-RS"/>
        </w:rPr>
        <w:t xml:space="preserve"> млрд динара (Министарство финансија)</w:t>
      </w:r>
    </w:p>
  </w:footnote>
  <w:footnote w:id="7">
    <w:p w14:paraId="481C8E6E" w14:textId="77777777" w:rsidR="00671E8F" w:rsidRPr="00546A25" w:rsidRDefault="00671E8F" w:rsidP="00473C3B">
      <w:pPr>
        <w:spacing w:after="0"/>
        <w:rPr>
          <w:lang w:val="sr-Cyrl-RS"/>
        </w:rPr>
      </w:pPr>
      <w:r>
        <w:rPr>
          <w:rStyle w:val="FootnoteReference"/>
          <w:szCs w:val="20"/>
        </w:rPr>
        <w:footnoteRef/>
      </w:r>
      <w:r w:rsidRPr="00CD1400">
        <w:rPr>
          <w:rStyle w:val="FootnoteReference"/>
          <w:rFonts w:cstheme="minorHAnsi"/>
          <w:sz w:val="16"/>
          <w:szCs w:val="16"/>
          <w:lang w:val="sr-Cyrl-RS"/>
        </w:rPr>
        <w:footnoteRef/>
      </w:r>
      <w:r w:rsidRPr="00CD1400">
        <w:rPr>
          <w:rFonts w:cstheme="minorHAnsi"/>
          <w:sz w:val="16"/>
          <w:szCs w:val="16"/>
          <w:lang w:val="sr-Cyrl-RS"/>
        </w:rPr>
        <w:t xml:space="preserve"> </w:t>
      </w:r>
      <w:r w:rsidRPr="00CD1400">
        <w:rPr>
          <w:rFonts w:eastAsia="Times New Roman" w:cstheme="minorHAnsi"/>
          <w:bCs/>
          <w:sz w:val="16"/>
          <w:szCs w:val="16"/>
          <w:lang w:val="sr-Cyrl-R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CD1400">
        <w:rPr>
          <w:rFonts w:cstheme="minorHAnsi"/>
          <w:sz w:val="16"/>
          <w:szCs w:val="16"/>
          <w:lang w:val="sr-Cyrl-RS"/>
        </w:rPr>
        <w:t xml:space="preserve"> </w:t>
      </w:r>
      <w:hyperlink r:id="rId1" w:history="1">
        <w:r w:rsidRPr="00CD1400">
          <w:rPr>
            <w:rStyle w:val="Hyperlink"/>
            <w:color w:val="44546A" w:themeColor="text2"/>
            <w:sz w:val="16"/>
            <w:szCs w:val="16"/>
            <w:u w:val="none"/>
          </w:rPr>
          <w:t>https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www</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mfin</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gov</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rs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upload</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media</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jzsbpL</w:t>
        </w:r>
        <w:r w:rsidRPr="003805B7">
          <w:rPr>
            <w:rStyle w:val="Hyperlink"/>
            <w:color w:val="44546A" w:themeColor="text2"/>
            <w:sz w:val="16"/>
            <w:szCs w:val="16"/>
            <w:u w:val="none"/>
            <w:lang w:val="sr-Cyrl-RS"/>
          </w:rPr>
          <w:t>_601</w:t>
        </w:r>
        <w:r w:rsidRPr="00CD1400">
          <w:rPr>
            <w:rStyle w:val="Hyperlink"/>
            <w:color w:val="44546A" w:themeColor="text2"/>
            <w:sz w:val="16"/>
            <w:szCs w:val="16"/>
            <w:u w:val="none"/>
          </w:rPr>
          <w:t>ab</w:t>
        </w:r>
        <w:r w:rsidRPr="003805B7">
          <w:rPr>
            <w:rStyle w:val="Hyperlink"/>
            <w:color w:val="44546A" w:themeColor="text2"/>
            <w:sz w:val="16"/>
            <w:szCs w:val="16"/>
            <w:u w:val="none"/>
            <w:lang w:val="sr-Cyrl-RS"/>
          </w:rPr>
          <w:t>1585</w:t>
        </w:r>
        <w:r w:rsidRPr="00CD1400">
          <w:rPr>
            <w:rStyle w:val="Hyperlink"/>
            <w:color w:val="44546A" w:themeColor="text2"/>
            <w:sz w:val="16"/>
            <w:szCs w:val="16"/>
            <w:u w:val="none"/>
          </w:rPr>
          <w:t>ca</w:t>
        </w:r>
        <w:r w:rsidRPr="003805B7">
          <w:rPr>
            <w:rStyle w:val="Hyperlink"/>
            <w:color w:val="44546A" w:themeColor="text2"/>
            <w:sz w:val="16"/>
            <w:szCs w:val="16"/>
            <w:u w:val="none"/>
            <w:lang w:val="sr-Cyrl-RS"/>
          </w:rPr>
          <w:t>02.</w:t>
        </w:r>
        <w:r w:rsidRPr="00CD1400">
          <w:rPr>
            <w:rStyle w:val="Hyperlink"/>
            <w:color w:val="44546A" w:themeColor="text2"/>
            <w:sz w:val="16"/>
            <w:szCs w:val="16"/>
            <w:u w:val="none"/>
          </w:rPr>
          <w:t>pdf</w:t>
        </w:r>
      </w:hyperlink>
      <w:r>
        <w:rPr>
          <w:rStyle w:val="Hyperlink"/>
          <w:color w:val="44546A" w:themeColor="text2"/>
          <w:sz w:val="16"/>
          <w:szCs w:val="16"/>
          <w:u w:val="none"/>
          <w:lang w:val="sr-Cyrl-RS"/>
        </w:rPr>
        <w:t xml:space="preserve"> </w:t>
      </w:r>
    </w:p>
  </w:footnote>
  <w:footnote w:id="8">
    <w:p w14:paraId="20F2B357" w14:textId="77777777" w:rsidR="00671E8F" w:rsidRPr="002F6B52" w:rsidRDefault="00671E8F" w:rsidP="00AE5DED">
      <w:pPr>
        <w:pStyle w:val="FootnoteText"/>
        <w:rPr>
          <w:rStyle w:val="FootnoteReference"/>
          <w:rFonts w:cs="Times New Roman"/>
          <w:sz w:val="16"/>
          <w:szCs w:val="16"/>
          <w:vertAlign w:val="baseline"/>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АТМ (</w:t>
      </w:r>
      <w:r w:rsidRPr="002F6B52">
        <w:rPr>
          <w:rStyle w:val="FootnoteReference"/>
          <w:i/>
          <w:sz w:val="16"/>
          <w:szCs w:val="16"/>
          <w:vertAlign w:val="baseline"/>
          <w:lang w:val="sr-Cyrl-RS"/>
        </w:rPr>
        <w:t>Average Time to Maturity</w:t>
      </w:r>
      <w:r w:rsidRPr="002F6B52">
        <w:rPr>
          <w:rStyle w:val="FootnoteReference"/>
          <w:sz w:val="16"/>
          <w:szCs w:val="16"/>
          <w:vertAlign w:val="baseline"/>
          <w:lang w:val="sr-Cyrl-RS"/>
        </w:rPr>
        <w:t>) – енглеска скраћеница за просечно време до доспећа.</w:t>
      </w:r>
    </w:p>
  </w:footnote>
  <w:footnote w:id="9">
    <w:p w14:paraId="19D6C9EE" w14:textId="77777777" w:rsidR="00671E8F" w:rsidRPr="002F6B52" w:rsidRDefault="00671E8F" w:rsidP="00AE5DED">
      <w:pPr>
        <w:pStyle w:val="FootnoteText"/>
        <w:rPr>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АТR (</w:t>
      </w:r>
      <w:r w:rsidRPr="002F6B52">
        <w:rPr>
          <w:rStyle w:val="FootnoteReference"/>
          <w:i/>
          <w:sz w:val="16"/>
          <w:szCs w:val="16"/>
          <w:vertAlign w:val="baseline"/>
          <w:lang w:val="sr-Cyrl-RS"/>
        </w:rPr>
        <w:t>Average Time to Refixing</w:t>
      </w:r>
      <w:r w:rsidRPr="002F6B52">
        <w:rPr>
          <w:rStyle w:val="FootnoteReference"/>
          <w:sz w:val="16"/>
          <w:szCs w:val="16"/>
          <w:vertAlign w:val="baseline"/>
          <w:lang w:val="sr-Cyrl-RS"/>
        </w:rPr>
        <w:t>) – енглеска скраћеница за просечно време до промене каматних стопа.</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E6DA8B" w14:textId="03EC1373" w:rsidR="00671E8F" w:rsidRPr="006204E0" w:rsidRDefault="00671E8F" w:rsidP="000E0EDA">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4E5E8A" w14:textId="77777777" w:rsidR="00671E8F" w:rsidRPr="006204E0" w:rsidRDefault="00671E8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AB005C" w14:textId="4350F2E6" w:rsidR="00671E8F" w:rsidRPr="003C2EED" w:rsidRDefault="00671E8F" w:rsidP="003C2EE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9E162D" w14:textId="77777777" w:rsidR="00671E8F" w:rsidRPr="006204E0" w:rsidRDefault="00671E8F" w:rsidP="000E0EDA">
    <w:pPr>
      <w:pStyle w:val="Header"/>
      <w:jc w:val="center"/>
    </w:pPr>
    <w:r w:rsidRPr="006204E0">
      <w:t>Фискална стратегија за 2025. годину са пројекцијама за 2026. и 2027. годину</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3E074E" w14:textId="42E10650" w:rsidR="00671E8F" w:rsidRPr="006204E0" w:rsidRDefault="00671E8F" w:rsidP="000353A6">
    <w:pPr>
      <w:pStyle w:val="Header"/>
      <w:jc w:val="center"/>
    </w:pPr>
    <w:r w:rsidRPr="006204E0">
      <w:t>Ревидирана Фискална стратегија за 2025. годину са пројекцијама за 2026. и 2027. годину</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8CA63C" w14:textId="24D8B195" w:rsidR="00671E8F" w:rsidRPr="00351B52" w:rsidRDefault="00671E8F" w:rsidP="00351B5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6285C" w14:textId="77777777" w:rsidR="00671E8F" w:rsidRPr="006204E0" w:rsidRDefault="00671E8F" w:rsidP="000353A6">
    <w:pPr>
      <w:pStyle w:val="Header"/>
      <w:jc w:val="center"/>
    </w:pPr>
    <w:r w:rsidRPr="006204E0">
      <w:t>Фискална стратегија за 2020. годину са пројекцијама за 2021. и 2022. годину</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86B628" w14:textId="4CAEE8DF" w:rsidR="00671E8F" w:rsidRPr="00351B52" w:rsidRDefault="00671E8F" w:rsidP="00351B52">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1D4601" w14:textId="77777777" w:rsidR="00671E8F" w:rsidRPr="006204E0" w:rsidRDefault="00671E8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61467" w14:textId="77777777" w:rsidR="00671E8F" w:rsidRPr="006204E0" w:rsidRDefault="00671E8F" w:rsidP="000353A6">
    <w:pPr>
      <w:pStyle w:val="Header"/>
      <w:jc w:val="center"/>
    </w:pPr>
    <w:r w:rsidRPr="006204E0">
      <w:t>Ревидирана Фискална стратегија за 2024. годину са пројекцијама за 2025. и 2026. годину</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8E7F65" w14:textId="5F231A9F" w:rsidR="00671E8F" w:rsidRPr="00351B52" w:rsidRDefault="00671E8F" w:rsidP="00351B5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50723C" w14:textId="77777777" w:rsidR="00671E8F" w:rsidRPr="006204E0" w:rsidRDefault="00671E8F" w:rsidP="000353A6">
    <w:pPr>
      <w:pStyle w:val="Header"/>
      <w:jc w:val="center"/>
    </w:pPr>
    <w:r w:rsidRPr="006204E0">
      <w:t>Фискална стратегија за 2025. годину са пројекцијама за 2026. и 2027. годину</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728304" w14:textId="75071F14" w:rsidR="00671E8F" w:rsidRPr="006204E0" w:rsidRDefault="00671E8F" w:rsidP="000353A6">
    <w:pPr>
      <w:pStyle w:val="Header"/>
      <w:jc w:val="center"/>
    </w:pPr>
    <w:r>
      <w:rPr>
        <w:lang w:val="sr-Cyrl-RS"/>
      </w:rPr>
      <w:t xml:space="preserve">Ревидирана </w:t>
    </w:r>
    <w:r w:rsidRPr="006204E0">
      <w:t>Фискална стратегија за 2025. годину са пројекцијама за 2026. и 2027. годину</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91AE14" w14:textId="77777777" w:rsidR="00671E8F" w:rsidRPr="00F061F2" w:rsidRDefault="00671E8F" w:rsidP="00C130D2">
    <w:pPr>
      <w:pStyle w:val="Header"/>
      <w:jc w:val="center"/>
    </w:pPr>
    <w:r>
      <w:rPr>
        <w:lang w:val="sr-Cyrl-RS"/>
      </w:rPr>
      <w:t>Фискална стратегија за 202</w:t>
    </w:r>
    <w:r>
      <w:t>1</w:t>
    </w:r>
    <w:r>
      <w:rPr>
        <w:lang w:val="sr-Cyrl-RS"/>
      </w:rPr>
      <w:t>. годину са пројекцијама за 202</w:t>
    </w:r>
    <w:r>
      <w:t>2</w:t>
    </w:r>
    <w:r>
      <w:rPr>
        <w:lang w:val="sr-Cyrl-RS"/>
      </w:rPr>
      <w:t>. и 202</w:t>
    </w:r>
    <w:r>
      <w:t>3</w:t>
    </w:r>
    <w:r w:rsidRPr="00F061F2">
      <w:rPr>
        <w:lang w:val="sr-Cyrl-RS"/>
      </w:rPr>
      <w:t>. годину</w:t>
    </w:r>
  </w:p>
  <w:p w14:paraId="4ED01ED7" w14:textId="77777777" w:rsidR="00671E8F" w:rsidRPr="004F72C4" w:rsidRDefault="00671E8F" w:rsidP="004F72C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4A3ADF" w14:textId="44E02F78" w:rsidR="00671E8F" w:rsidRPr="00C93518" w:rsidRDefault="00671E8F" w:rsidP="00C93518">
    <w:pPr>
      <w:pStyle w:val="Header"/>
      <w:jc w:val="center"/>
      <w:rPr>
        <w:lang w:val="sr-Cyrl-RS"/>
      </w:rPr>
    </w:pPr>
    <w:r>
      <w:rPr>
        <w:lang w:val="sr-Cyrl-RS"/>
      </w:rPr>
      <w:t>Ревидирана 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58AD6B" w14:textId="77777777" w:rsidR="00671E8F" w:rsidRPr="00F061F2" w:rsidRDefault="00671E8F" w:rsidP="005D42AC">
    <w:pPr>
      <w:pStyle w:val="Header"/>
      <w:jc w:val="center"/>
    </w:pPr>
    <w:r>
      <w:t>Фискална стратегија за 2021. годину са пројекцијама за 2022. и 2023</w:t>
    </w:r>
    <w:r w:rsidRPr="00F061F2">
      <w:t>. годину</w:t>
    </w:r>
  </w:p>
  <w:p w14:paraId="4801B4AB" w14:textId="77777777" w:rsidR="00671E8F" w:rsidRPr="004F72C4" w:rsidRDefault="00671E8F" w:rsidP="004F72C4">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B56B0D" w14:textId="77777777" w:rsidR="00671E8F" w:rsidRPr="00863D40" w:rsidRDefault="00671E8F" w:rsidP="003F1BD3">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73C23B" w14:textId="77777777" w:rsidR="00671E8F" w:rsidRPr="00BF7F6A" w:rsidRDefault="00671E8F" w:rsidP="00BD7EB6">
    <w:pPr>
      <w:pStyle w:val="Header"/>
      <w:jc w:val="center"/>
    </w:pPr>
    <w:r>
      <w:t>Фискална стратегија за 2019. годину са пројекцијама за 2020. и 2021. годину</w:t>
    </w:r>
  </w:p>
  <w:p w14:paraId="53EF3949" w14:textId="77777777" w:rsidR="00671E8F" w:rsidRDefault="00671E8F">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398E65" w14:textId="77777777" w:rsidR="00671E8F" w:rsidRPr="00F061F2" w:rsidRDefault="00671E8F"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2F1859E3" w14:textId="77777777" w:rsidR="00671E8F" w:rsidRDefault="00671E8F">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D54C50" w14:textId="77777777" w:rsidR="00671E8F" w:rsidRDefault="00671E8F" w:rsidP="00D500A7">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EBA3F9" w14:textId="77777777" w:rsidR="00671E8F" w:rsidRPr="008E1700" w:rsidRDefault="00671E8F" w:rsidP="00473C3B">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13003" w14:textId="77777777" w:rsidR="00671E8F" w:rsidRPr="00F061F2" w:rsidRDefault="00671E8F" w:rsidP="005D42AC">
    <w:pPr>
      <w:pStyle w:val="Header"/>
      <w:jc w:val="center"/>
    </w:pPr>
    <w:r>
      <w:t>Фискална стратегија за 2021. годину са пројекцијама за 2022. и 2023</w:t>
    </w:r>
    <w:r w:rsidRPr="00F061F2">
      <w:t>. годину</w:t>
    </w:r>
  </w:p>
  <w:p w14:paraId="28FBAAA6" w14:textId="77777777" w:rsidR="00671E8F" w:rsidRPr="004F72C4" w:rsidRDefault="00671E8F" w:rsidP="004F72C4">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6CAC6B" w14:textId="77777777" w:rsidR="00671E8F" w:rsidRPr="006A48F5" w:rsidRDefault="00671E8F" w:rsidP="00473C3B">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DD6B91" w14:textId="77777777" w:rsidR="00671E8F" w:rsidRPr="00F061F2" w:rsidRDefault="00671E8F"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0C745A0B" w14:textId="77777777" w:rsidR="00671E8F" w:rsidRDefault="00671E8F">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8310B0" w14:textId="77777777" w:rsidR="00671E8F" w:rsidRPr="006A48F5" w:rsidRDefault="00671E8F" w:rsidP="00473C3B">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AC1E3" w14:textId="77777777" w:rsidR="00671E8F" w:rsidRPr="00BF7F6A" w:rsidRDefault="00671E8F" w:rsidP="00BD7EB6">
    <w:pPr>
      <w:pStyle w:val="Header"/>
      <w:jc w:val="center"/>
      <w:rPr>
        <w:lang w:val="sr-Cyrl-RS"/>
      </w:rPr>
    </w:pPr>
    <w:r>
      <w:rPr>
        <w:lang w:val="sr-Cyrl-RS"/>
      </w:rPr>
      <w:t>Фискална стратегија за 2019. годину са пројекцијама за 2020. и 2021. годину</w:t>
    </w:r>
  </w:p>
  <w:p w14:paraId="3D2D118F" w14:textId="77777777" w:rsidR="00671E8F" w:rsidRDefault="00671E8F">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914CA6" w14:textId="77777777" w:rsidR="00671E8F" w:rsidRDefault="00671E8F">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F254CB" w14:textId="77777777" w:rsidR="00671E8F" w:rsidRPr="00F061F2" w:rsidRDefault="00671E8F"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23ABA911" w14:textId="77777777" w:rsidR="00671E8F" w:rsidRDefault="00671E8F">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140D1A" w14:textId="0C0CEC68" w:rsidR="00671E8F" w:rsidRPr="003C2EED" w:rsidRDefault="00671E8F" w:rsidP="003C2EED">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7576B3" w14:textId="77777777" w:rsidR="00671E8F" w:rsidRPr="00BF7F6A" w:rsidRDefault="00671E8F" w:rsidP="00BD7EB6">
    <w:pPr>
      <w:pStyle w:val="Header"/>
      <w:jc w:val="center"/>
      <w:rPr>
        <w:lang w:val="sr-Cyrl-RS"/>
      </w:rPr>
    </w:pPr>
    <w:r>
      <w:rPr>
        <w:lang w:val="sr-Cyrl-RS"/>
      </w:rPr>
      <w:t>Фискална стратегија за 2019. годину са пројекцијама за 2020. и 2021. годину</w:t>
    </w:r>
  </w:p>
  <w:p w14:paraId="29575C56" w14:textId="77777777" w:rsidR="00671E8F" w:rsidRDefault="00671E8F">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E99D13" w14:textId="77777777" w:rsidR="00671E8F" w:rsidRPr="00F061F2" w:rsidRDefault="00671E8F" w:rsidP="00C130D2">
    <w:pPr>
      <w:pStyle w:val="Header"/>
      <w:jc w:val="center"/>
    </w:pPr>
    <w:r w:rsidRPr="00724C89">
      <w:t xml:space="preserve">Ревидирана фискална </w:t>
    </w:r>
    <w:r>
      <w:t>стратегија за 2020. годину са пројекцијама за 2021. и 2022</w:t>
    </w:r>
    <w:r w:rsidRPr="00F061F2">
      <w:t>. годину</w:t>
    </w:r>
  </w:p>
  <w:p w14:paraId="663BD404" w14:textId="77777777" w:rsidR="00671E8F" w:rsidRDefault="00671E8F">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363FA2" w14:textId="2EE7253E" w:rsidR="00671E8F" w:rsidRPr="003C2EED" w:rsidRDefault="00671E8F" w:rsidP="003C2EED">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282BA0" w14:textId="77777777" w:rsidR="00671E8F" w:rsidRPr="00BF7F6A" w:rsidRDefault="00671E8F" w:rsidP="00BD7EB6">
    <w:pPr>
      <w:pStyle w:val="Header"/>
      <w:jc w:val="center"/>
    </w:pPr>
    <w:r>
      <w:t>Фискална стратегија за 2019. годину са пројекцијама за 2020. и 2021. годину</w:t>
    </w:r>
  </w:p>
  <w:p w14:paraId="2E1E8480" w14:textId="77777777" w:rsidR="00671E8F" w:rsidRDefault="00671E8F">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42F638" w14:textId="77777777" w:rsidR="00671E8F" w:rsidRPr="00F061F2" w:rsidRDefault="00671E8F"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5FECC1DF" w14:textId="77777777" w:rsidR="00671E8F" w:rsidRDefault="00671E8F">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3F5B81" w14:textId="77777777" w:rsidR="00671E8F" w:rsidRPr="00BF7F6A" w:rsidRDefault="00671E8F" w:rsidP="00BD7EB6">
    <w:pPr>
      <w:pStyle w:val="Header"/>
      <w:jc w:val="center"/>
    </w:pPr>
    <w:r>
      <w:t>Фискална стратегија за 2019. годину са пројекцијама за 2020. и 2021. годину</w:t>
    </w:r>
  </w:p>
  <w:p w14:paraId="3FA65142" w14:textId="77777777" w:rsidR="00671E8F" w:rsidRDefault="00671E8F">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F1BBEF" w14:textId="77777777" w:rsidR="00671E8F" w:rsidRPr="003C3685" w:rsidRDefault="00671E8F" w:rsidP="003F1BD3">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p w14:paraId="07C3AD86" w14:textId="77777777" w:rsidR="00671E8F" w:rsidRDefault="00671E8F">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945260" w14:textId="77777777" w:rsidR="00671E8F" w:rsidRPr="003B6D80" w:rsidRDefault="00671E8F"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70351" w14:textId="77777777" w:rsidR="00671E8F" w:rsidRDefault="00671E8F">
    <w:pPr>
      <w:pStyle w:val="Header"/>
      <w:rPr>
        <w:lang w:val="sr-Latn-RS"/>
      </w:rPr>
    </w:pPr>
  </w:p>
  <w:p w14:paraId="14570FB2" w14:textId="77777777" w:rsidR="00671E8F" w:rsidRPr="0098316A" w:rsidRDefault="00671E8F">
    <w:pPr>
      <w:pStyle w:val="Header"/>
      <w:rPr>
        <w:lang w:val="sr-Latn-RS"/>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1E6EEF" w14:textId="77777777" w:rsidR="00671E8F" w:rsidRPr="003B6D80" w:rsidRDefault="00671E8F"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BAF15B" w14:textId="77777777" w:rsidR="00671E8F" w:rsidRDefault="00671E8F">
    <w:pPr>
      <w:pStyle w:val="Header"/>
      <w:rPr>
        <w:lang w:val="sr-Latn-RS"/>
      </w:rPr>
    </w:pPr>
  </w:p>
  <w:p w14:paraId="03C9ECD4" w14:textId="77777777" w:rsidR="00671E8F" w:rsidRPr="0098316A" w:rsidRDefault="00671E8F">
    <w:pPr>
      <w:pStyle w:val="Header"/>
      <w:rPr>
        <w:lang w:val="sr-Latn-RS"/>
      </w:rP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A6A2E2" w14:textId="77777777" w:rsidR="00671E8F" w:rsidRPr="003B6D80" w:rsidRDefault="00671E8F"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B372C9" w14:textId="77777777" w:rsidR="00671E8F" w:rsidRPr="00BF7F6A" w:rsidRDefault="00671E8F" w:rsidP="00B51BEB">
    <w:pPr>
      <w:pStyle w:val="Header"/>
      <w:jc w:val="center"/>
      <w:rPr>
        <w:lang w:val="sr-Cyrl-RS"/>
      </w:rPr>
    </w:pPr>
    <w:r>
      <w:rPr>
        <w:lang w:val="sr-Cyrl-RS"/>
      </w:rPr>
      <w:t>Фискална стратегија за 2019. годину са пројекцијама за 2020. и 2021. годину</w:t>
    </w:r>
  </w:p>
  <w:p w14:paraId="48477A29" w14:textId="77777777" w:rsidR="00671E8F" w:rsidRDefault="00671E8F">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8C3B9B" w14:textId="77777777" w:rsidR="00671E8F" w:rsidRPr="003B6D80" w:rsidRDefault="00671E8F"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0935DF" w14:textId="77777777" w:rsidR="00671E8F" w:rsidRPr="00BF7F6A" w:rsidRDefault="00671E8F" w:rsidP="00B51BEB">
    <w:pPr>
      <w:pStyle w:val="Header"/>
      <w:jc w:val="center"/>
      <w:rPr>
        <w:lang w:val="sr-Cyrl-RS"/>
      </w:rPr>
    </w:pPr>
    <w:r>
      <w:rPr>
        <w:lang w:val="sr-Cyrl-RS"/>
      </w:rPr>
      <w:t>Фискална стратегија за 2019. годину са пројекцијама за 2020. и 2021. годину</w:t>
    </w:r>
  </w:p>
  <w:p w14:paraId="01648B06" w14:textId="77777777" w:rsidR="00671E8F" w:rsidRDefault="00671E8F">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34217E" w14:textId="77777777" w:rsidR="00671E8F" w:rsidRPr="003B6D80" w:rsidRDefault="00671E8F" w:rsidP="00D500A7">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04BCCE" w14:textId="77777777" w:rsidR="00671E8F" w:rsidRPr="00BF7F6A" w:rsidRDefault="00671E8F" w:rsidP="00D500A7">
    <w:pPr>
      <w:pStyle w:val="Header"/>
      <w:jc w:val="center"/>
      <w:rPr>
        <w:lang w:val="sr-Cyrl-RS"/>
      </w:rPr>
    </w:pPr>
    <w:r>
      <w:rPr>
        <w:lang w:val="sr-Cyrl-RS"/>
      </w:rPr>
      <w:t>Фискална стратегија за 2019. годину са пројекцијама за 2020. и 2021. годину</w:t>
    </w:r>
  </w:p>
  <w:p w14:paraId="28CC0979" w14:textId="77777777" w:rsidR="00671E8F" w:rsidRDefault="00671E8F">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256AB5" w14:textId="77777777" w:rsidR="00671E8F" w:rsidRPr="003B6D80" w:rsidRDefault="00671E8F" w:rsidP="00D500A7">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528D0E" w14:textId="77777777" w:rsidR="00671E8F" w:rsidRPr="00BF7F6A" w:rsidRDefault="00671E8F" w:rsidP="00D500A7">
    <w:pPr>
      <w:pStyle w:val="Header"/>
      <w:jc w:val="center"/>
      <w:rPr>
        <w:lang w:val="sr-Cyrl-RS"/>
      </w:rPr>
    </w:pPr>
    <w:r>
      <w:rPr>
        <w:lang w:val="sr-Cyrl-RS"/>
      </w:rPr>
      <w:t>Фискална стратегија за 2019. годину са пројекцијама за 2020. и 2021. годину</w:t>
    </w:r>
  </w:p>
  <w:p w14:paraId="1CFA45B4" w14:textId="77777777" w:rsidR="00671E8F" w:rsidRDefault="00671E8F">
    <w:pPr>
      <w:pStyle w:val="Heade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232D37" w14:textId="77777777" w:rsidR="00671E8F" w:rsidRPr="003B6D80" w:rsidRDefault="00671E8F" w:rsidP="00D500A7">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DF91C1" w14:textId="77777777" w:rsidR="00671E8F" w:rsidRDefault="00671E8F">
    <w:pPr>
      <w:pStyle w:val="Heade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A30AE4" w14:textId="77777777" w:rsidR="00671E8F" w:rsidRDefault="00671E8F">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7A437" w14:textId="77777777" w:rsidR="00671E8F" w:rsidRPr="006204E0" w:rsidRDefault="00671E8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C328B3"/>
    <w:multiLevelType w:val="hybridMultilevel"/>
    <w:tmpl w:val="4B800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7C45D5"/>
    <w:multiLevelType w:val="hybridMultilevel"/>
    <w:tmpl w:val="9756494C"/>
    <w:lvl w:ilvl="0" w:tplc="281A0001">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 w15:restartNumberingAfterBreak="0">
    <w:nsid w:val="20FA5E91"/>
    <w:multiLevelType w:val="hybridMultilevel"/>
    <w:tmpl w:val="5DF4BD4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0195F79"/>
    <w:multiLevelType w:val="hybridMultilevel"/>
    <w:tmpl w:val="DDF6E3A4"/>
    <w:lvl w:ilvl="0" w:tplc="281A0001">
      <w:start w:val="1"/>
      <w:numFmt w:val="bullet"/>
      <w:lvlText w:val=""/>
      <w:lvlJc w:val="left"/>
      <w:pPr>
        <w:ind w:left="720" w:hanging="360"/>
      </w:pPr>
      <w:rPr>
        <w:rFonts w:ascii="Symbol" w:hAnsi="Symbol" w:hint="default"/>
      </w:rPr>
    </w:lvl>
    <w:lvl w:ilvl="1" w:tplc="0C1A0003" w:tentative="1">
      <w:start w:val="1"/>
      <w:numFmt w:val="bullet"/>
      <w:lvlText w:val="o"/>
      <w:lvlJc w:val="left"/>
      <w:pPr>
        <w:ind w:left="1440" w:hanging="360"/>
      </w:pPr>
      <w:rPr>
        <w:rFonts w:ascii="Courier New" w:hAnsi="Courier New" w:cs="Courier New" w:hint="default"/>
      </w:rPr>
    </w:lvl>
    <w:lvl w:ilvl="2" w:tplc="0C1A0005" w:tentative="1">
      <w:start w:val="1"/>
      <w:numFmt w:val="bullet"/>
      <w:lvlText w:val=""/>
      <w:lvlJc w:val="left"/>
      <w:pPr>
        <w:ind w:left="2160" w:hanging="360"/>
      </w:pPr>
      <w:rPr>
        <w:rFonts w:ascii="Wingdings" w:hAnsi="Wingdings" w:hint="default"/>
      </w:rPr>
    </w:lvl>
    <w:lvl w:ilvl="3" w:tplc="0C1A0001" w:tentative="1">
      <w:start w:val="1"/>
      <w:numFmt w:val="bullet"/>
      <w:lvlText w:val=""/>
      <w:lvlJc w:val="left"/>
      <w:pPr>
        <w:ind w:left="2880" w:hanging="360"/>
      </w:pPr>
      <w:rPr>
        <w:rFonts w:ascii="Symbol" w:hAnsi="Symbol" w:hint="default"/>
      </w:rPr>
    </w:lvl>
    <w:lvl w:ilvl="4" w:tplc="0C1A0003" w:tentative="1">
      <w:start w:val="1"/>
      <w:numFmt w:val="bullet"/>
      <w:lvlText w:val="o"/>
      <w:lvlJc w:val="left"/>
      <w:pPr>
        <w:ind w:left="3600" w:hanging="360"/>
      </w:pPr>
      <w:rPr>
        <w:rFonts w:ascii="Courier New" w:hAnsi="Courier New" w:cs="Courier New" w:hint="default"/>
      </w:rPr>
    </w:lvl>
    <w:lvl w:ilvl="5" w:tplc="0C1A0005" w:tentative="1">
      <w:start w:val="1"/>
      <w:numFmt w:val="bullet"/>
      <w:lvlText w:val=""/>
      <w:lvlJc w:val="left"/>
      <w:pPr>
        <w:ind w:left="4320" w:hanging="360"/>
      </w:pPr>
      <w:rPr>
        <w:rFonts w:ascii="Wingdings" w:hAnsi="Wingdings" w:hint="default"/>
      </w:rPr>
    </w:lvl>
    <w:lvl w:ilvl="6" w:tplc="0C1A0001" w:tentative="1">
      <w:start w:val="1"/>
      <w:numFmt w:val="bullet"/>
      <w:lvlText w:val=""/>
      <w:lvlJc w:val="left"/>
      <w:pPr>
        <w:ind w:left="5040" w:hanging="360"/>
      </w:pPr>
      <w:rPr>
        <w:rFonts w:ascii="Symbol" w:hAnsi="Symbol" w:hint="default"/>
      </w:rPr>
    </w:lvl>
    <w:lvl w:ilvl="7" w:tplc="0C1A0003" w:tentative="1">
      <w:start w:val="1"/>
      <w:numFmt w:val="bullet"/>
      <w:lvlText w:val="o"/>
      <w:lvlJc w:val="left"/>
      <w:pPr>
        <w:ind w:left="5760" w:hanging="360"/>
      </w:pPr>
      <w:rPr>
        <w:rFonts w:ascii="Courier New" w:hAnsi="Courier New" w:cs="Courier New" w:hint="default"/>
      </w:rPr>
    </w:lvl>
    <w:lvl w:ilvl="8" w:tplc="0C1A0005" w:tentative="1">
      <w:start w:val="1"/>
      <w:numFmt w:val="bullet"/>
      <w:lvlText w:val=""/>
      <w:lvlJc w:val="left"/>
      <w:pPr>
        <w:ind w:left="6480" w:hanging="360"/>
      </w:pPr>
      <w:rPr>
        <w:rFonts w:ascii="Wingdings" w:hAnsi="Wingdings" w:hint="default"/>
      </w:rPr>
    </w:lvl>
  </w:abstractNum>
  <w:abstractNum w:abstractNumId="4" w15:restartNumberingAfterBreak="0">
    <w:nsid w:val="311B23A4"/>
    <w:multiLevelType w:val="hybridMultilevel"/>
    <w:tmpl w:val="0F4E72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14850F7"/>
    <w:multiLevelType w:val="hybridMultilevel"/>
    <w:tmpl w:val="9D58C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5F6A1A"/>
    <w:multiLevelType w:val="hybridMultilevel"/>
    <w:tmpl w:val="6358C0B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F974621"/>
    <w:multiLevelType w:val="hybridMultilevel"/>
    <w:tmpl w:val="3D1E117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817CF4"/>
    <w:multiLevelType w:val="hybridMultilevel"/>
    <w:tmpl w:val="BBAC36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3A85611"/>
    <w:multiLevelType w:val="multilevel"/>
    <w:tmpl w:val="18667D1A"/>
    <w:lvl w:ilvl="0">
      <w:start w:val="1"/>
      <w:numFmt w:val="decimal"/>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0" w15:restartNumberingAfterBreak="0">
    <w:nsid w:val="4D6972A3"/>
    <w:multiLevelType w:val="hybridMultilevel"/>
    <w:tmpl w:val="3750566E"/>
    <w:lvl w:ilvl="0" w:tplc="04090005">
      <w:start w:val="1"/>
      <w:numFmt w:val="bullet"/>
      <w:lvlText w:val=""/>
      <w:lvlJc w:val="left"/>
      <w:pPr>
        <w:ind w:left="1077" w:hanging="360"/>
      </w:pPr>
      <w:rPr>
        <w:rFonts w:ascii="Wingdings" w:hAnsi="Wingdings" w:hint="default"/>
      </w:rPr>
    </w:lvl>
    <w:lvl w:ilvl="1" w:tplc="04090003">
      <w:start w:val="1"/>
      <w:numFmt w:val="bullet"/>
      <w:lvlText w:val="o"/>
      <w:lvlJc w:val="left"/>
      <w:pPr>
        <w:ind w:left="1797" w:hanging="360"/>
      </w:pPr>
      <w:rPr>
        <w:rFonts w:ascii="Courier New" w:hAnsi="Courier New" w:cs="Courier New" w:hint="default"/>
      </w:rPr>
    </w:lvl>
    <w:lvl w:ilvl="2" w:tplc="04090005">
      <w:start w:val="1"/>
      <w:numFmt w:val="bullet"/>
      <w:lvlText w:val=""/>
      <w:lvlJc w:val="left"/>
      <w:pPr>
        <w:ind w:left="2517" w:hanging="360"/>
      </w:pPr>
      <w:rPr>
        <w:rFonts w:ascii="Wingdings" w:hAnsi="Wingdings" w:hint="default"/>
      </w:rPr>
    </w:lvl>
    <w:lvl w:ilvl="3" w:tplc="04090001">
      <w:start w:val="1"/>
      <w:numFmt w:val="bullet"/>
      <w:lvlText w:val=""/>
      <w:lvlJc w:val="left"/>
      <w:pPr>
        <w:ind w:left="3237" w:hanging="360"/>
      </w:pPr>
      <w:rPr>
        <w:rFonts w:ascii="Symbol" w:hAnsi="Symbol" w:hint="default"/>
      </w:rPr>
    </w:lvl>
    <w:lvl w:ilvl="4" w:tplc="04090003">
      <w:start w:val="1"/>
      <w:numFmt w:val="bullet"/>
      <w:lvlText w:val="o"/>
      <w:lvlJc w:val="left"/>
      <w:pPr>
        <w:ind w:left="3957" w:hanging="360"/>
      </w:pPr>
      <w:rPr>
        <w:rFonts w:ascii="Courier New" w:hAnsi="Courier New" w:cs="Courier New" w:hint="default"/>
      </w:rPr>
    </w:lvl>
    <w:lvl w:ilvl="5" w:tplc="04090005">
      <w:start w:val="1"/>
      <w:numFmt w:val="bullet"/>
      <w:lvlText w:val=""/>
      <w:lvlJc w:val="left"/>
      <w:pPr>
        <w:ind w:left="4677" w:hanging="360"/>
      </w:pPr>
      <w:rPr>
        <w:rFonts w:ascii="Wingdings" w:hAnsi="Wingdings" w:hint="default"/>
      </w:rPr>
    </w:lvl>
    <w:lvl w:ilvl="6" w:tplc="04090001">
      <w:start w:val="1"/>
      <w:numFmt w:val="bullet"/>
      <w:lvlText w:val=""/>
      <w:lvlJc w:val="left"/>
      <w:pPr>
        <w:ind w:left="5397" w:hanging="360"/>
      </w:pPr>
      <w:rPr>
        <w:rFonts w:ascii="Symbol" w:hAnsi="Symbol" w:hint="default"/>
      </w:rPr>
    </w:lvl>
    <w:lvl w:ilvl="7" w:tplc="04090003">
      <w:start w:val="1"/>
      <w:numFmt w:val="bullet"/>
      <w:lvlText w:val="o"/>
      <w:lvlJc w:val="left"/>
      <w:pPr>
        <w:ind w:left="6117" w:hanging="360"/>
      </w:pPr>
      <w:rPr>
        <w:rFonts w:ascii="Courier New" w:hAnsi="Courier New" w:cs="Courier New" w:hint="default"/>
      </w:rPr>
    </w:lvl>
    <w:lvl w:ilvl="8" w:tplc="04090005">
      <w:start w:val="1"/>
      <w:numFmt w:val="bullet"/>
      <w:lvlText w:val=""/>
      <w:lvlJc w:val="left"/>
      <w:pPr>
        <w:ind w:left="6837" w:hanging="360"/>
      </w:pPr>
      <w:rPr>
        <w:rFonts w:ascii="Wingdings" w:hAnsi="Wingdings" w:hint="default"/>
      </w:rPr>
    </w:lvl>
  </w:abstractNum>
  <w:abstractNum w:abstractNumId="11" w15:restartNumberingAfterBreak="0">
    <w:nsid w:val="4E321928"/>
    <w:multiLevelType w:val="hybridMultilevel"/>
    <w:tmpl w:val="7D3273FE"/>
    <w:lvl w:ilvl="0" w:tplc="04090005">
      <w:start w:val="1"/>
      <w:numFmt w:val="bullet"/>
      <w:lvlText w:val=""/>
      <w:lvlJc w:val="left"/>
      <w:pPr>
        <w:ind w:left="1797" w:hanging="360"/>
      </w:pPr>
      <w:rPr>
        <w:rFonts w:ascii="Wingdings" w:hAnsi="Wingdings" w:hint="default"/>
      </w:rPr>
    </w:lvl>
    <w:lvl w:ilvl="1" w:tplc="04090003">
      <w:start w:val="1"/>
      <w:numFmt w:val="bullet"/>
      <w:lvlText w:val="o"/>
      <w:lvlJc w:val="left"/>
      <w:pPr>
        <w:ind w:left="2517" w:hanging="360"/>
      </w:pPr>
      <w:rPr>
        <w:rFonts w:ascii="Courier New" w:hAnsi="Courier New" w:cs="Courier New" w:hint="default"/>
      </w:rPr>
    </w:lvl>
    <w:lvl w:ilvl="2" w:tplc="04090005">
      <w:start w:val="1"/>
      <w:numFmt w:val="bullet"/>
      <w:lvlText w:val=""/>
      <w:lvlJc w:val="left"/>
      <w:pPr>
        <w:ind w:left="3237" w:hanging="360"/>
      </w:pPr>
      <w:rPr>
        <w:rFonts w:ascii="Wingdings" w:hAnsi="Wingdings" w:hint="default"/>
      </w:rPr>
    </w:lvl>
    <w:lvl w:ilvl="3" w:tplc="04090001">
      <w:start w:val="1"/>
      <w:numFmt w:val="bullet"/>
      <w:lvlText w:val=""/>
      <w:lvlJc w:val="left"/>
      <w:pPr>
        <w:ind w:left="3957" w:hanging="360"/>
      </w:pPr>
      <w:rPr>
        <w:rFonts w:ascii="Symbol" w:hAnsi="Symbol" w:hint="default"/>
      </w:rPr>
    </w:lvl>
    <w:lvl w:ilvl="4" w:tplc="04090003">
      <w:start w:val="1"/>
      <w:numFmt w:val="bullet"/>
      <w:lvlText w:val="o"/>
      <w:lvlJc w:val="left"/>
      <w:pPr>
        <w:ind w:left="4677" w:hanging="360"/>
      </w:pPr>
      <w:rPr>
        <w:rFonts w:ascii="Courier New" w:hAnsi="Courier New" w:cs="Courier New" w:hint="default"/>
      </w:rPr>
    </w:lvl>
    <w:lvl w:ilvl="5" w:tplc="04090005">
      <w:start w:val="1"/>
      <w:numFmt w:val="bullet"/>
      <w:lvlText w:val=""/>
      <w:lvlJc w:val="left"/>
      <w:pPr>
        <w:ind w:left="5397" w:hanging="360"/>
      </w:pPr>
      <w:rPr>
        <w:rFonts w:ascii="Wingdings" w:hAnsi="Wingdings" w:hint="default"/>
      </w:rPr>
    </w:lvl>
    <w:lvl w:ilvl="6" w:tplc="04090001">
      <w:start w:val="1"/>
      <w:numFmt w:val="bullet"/>
      <w:lvlText w:val=""/>
      <w:lvlJc w:val="left"/>
      <w:pPr>
        <w:ind w:left="6117" w:hanging="360"/>
      </w:pPr>
      <w:rPr>
        <w:rFonts w:ascii="Symbol" w:hAnsi="Symbol" w:hint="default"/>
      </w:rPr>
    </w:lvl>
    <w:lvl w:ilvl="7" w:tplc="04090003">
      <w:start w:val="1"/>
      <w:numFmt w:val="bullet"/>
      <w:lvlText w:val="o"/>
      <w:lvlJc w:val="left"/>
      <w:pPr>
        <w:ind w:left="6837" w:hanging="360"/>
      </w:pPr>
      <w:rPr>
        <w:rFonts w:ascii="Courier New" w:hAnsi="Courier New" w:cs="Courier New" w:hint="default"/>
      </w:rPr>
    </w:lvl>
    <w:lvl w:ilvl="8" w:tplc="04090005">
      <w:start w:val="1"/>
      <w:numFmt w:val="bullet"/>
      <w:lvlText w:val=""/>
      <w:lvlJc w:val="left"/>
      <w:pPr>
        <w:ind w:left="7557" w:hanging="360"/>
      </w:pPr>
      <w:rPr>
        <w:rFonts w:ascii="Wingdings" w:hAnsi="Wingdings" w:hint="default"/>
      </w:rPr>
    </w:lvl>
  </w:abstractNum>
  <w:abstractNum w:abstractNumId="12" w15:restartNumberingAfterBreak="0">
    <w:nsid w:val="54592C15"/>
    <w:multiLevelType w:val="hybridMultilevel"/>
    <w:tmpl w:val="CC3CD6FE"/>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C003055"/>
    <w:multiLevelType w:val="hybridMultilevel"/>
    <w:tmpl w:val="DB8ACF72"/>
    <w:lvl w:ilvl="0" w:tplc="04090005">
      <w:start w:val="1"/>
      <w:numFmt w:val="bullet"/>
      <w:lvlText w:val=""/>
      <w:lvlJc w:val="left"/>
      <w:pPr>
        <w:ind w:left="720" w:hanging="360"/>
      </w:pPr>
      <w:rPr>
        <w:rFonts w:ascii="Wingdings" w:hAnsi="Wingdings" w:hint="default"/>
      </w:rPr>
    </w:lvl>
    <w:lvl w:ilvl="1" w:tplc="CE94C130">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A75434"/>
    <w:multiLevelType w:val="hybridMultilevel"/>
    <w:tmpl w:val="1F682A8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F667808"/>
    <w:multiLevelType w:val="hybridMultilevel"/>
    <w:tmpl w:val="38E0640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4430566"/>
    <w:multiLevelType w:val="hybridMultilevel"/>
    <w:tmpl w:val="8BBC2D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44B4078"/>
    <w:multiLevelType w:val="hybridMultilevel"/>
    <w:tmpl w:val="E1122C1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4B74E8F"/>
    <w:multiLevelType w:val="hybridMultilevel"/>
    <w:tmpl w:val="335221A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78869C2"/>
    <w:multiLevelType w:val="hybridMultilevel"/>
    <w:tmpl w:val="F64093A4"/>
    <w:lvl w:ilvl="0" w:tplc="04090005">
      <w:start w:val="1"/>
      <w:numFmt w:val="bullet"/>
      <w:lvlText w:val=""/>
      <w:lvlJc w:val="left"/>
      <w:pPr>
        <w:ind w:left="720" w:hanging="360"/>
      </w:pPr>
      <w:rPr>
        <w:rFonts w:ascii="Wingdings" w:hAnsi="Wingdings" w:hint="default"/>
      </w:rPr>
    </w:lvl>
    <w:lvl w:ilvl="1" w:tplc="8828E634">
      <w:start w:val="6"/>
      <w:numFmt w:val="bullet"/>
      <w:lvlText w:val="•"/>
      <w:lvlJc w:val="left"/>
      <w:pPr>
        <w:ind w:left="1440" w:hanging="360"/>
      </w:pPr>
      <w:rPr>
        <w:rFonts w:ascii="Calibri" w:eastAsiaTheme="minorHAnsi" w:hAnsi="Calibri" w:cs="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6373153">
    <w:abstractNumId w:val="4"/>
  </w:num>
  <w:num w:numId="2" w16cid:durableId="1022169519">
    <w:abstractNumId w:val="10"/>
  </w:num>
  <w:num w:numId="3" w16cid:durableId="1767846650">
    <w:abstractNumId w:val="11"/>
  </w:num>
  <w:num w:numId="4" w16cid:durableId="1847161802">
    <w:abstractNumId w:val="16"/>
  </w:num>
  <w:num w:numId="5" w16cid:durableId="1873568389">
    <w:abstractNumId w:val="8"/>
  </w:num>
  <w:num w:numId="6" w16cid:durableId="59599204">
    <w:abstractNumId w:val="19"/>
  </w:num>
  <w:num w:numId="7" w16cid:durableId="840006262">
    <w:abstractNumId w:val="7"/>
  </w:num>
  <w:num w:numId="8" w16cid:durableId="1063211759">
    <w:abstractNumId w:val="13"/>
  </w:num>
  <w:num w:numId="9" w16cid:durableId="639965585">
    <w:abstractNumId w:val="18"/>
  </w:num>
  <w:num w:numId="10" w16cid:durableId="1401976511">
    <w:abstractNumId w:val="12"/>
  </w:num>
  <w:num w:numId="11" w16cid:durableId="2013216536">
    <w:abstractNumId w:val="15"/>
  </w:num>
  <w:num w:numId="12" w16cid:durableId="1381368366">
    <w:abstractNumId w:val="17"/>
  </w:num>
  <w:num w:numId="13" w16cid:durableId="2092047412">
    <w:abstractNumId w:val="6"/>
  </w:num>
  <w:num w:numId="14" w16cid:durableId="1262567212">
    <w:abstractNumId w:val="14"/>
  </w:num>
  <w:num w:numId="15" w16cid:durableId="41684672">
    <w:abstractNumId w:val="0"/>
  </w:num>
  <w:num w:numId="16" w16cid:durableId="442386919">
    <w:abstractNumId w:val="1"/>
  </w:num>
  <w:num w:numId="17" w16cid:durableId="269823796">
    <w:abstractNumId w:val="2"/>
  </w:num>
  <w:num w:numId="18" w16cid:durableId="308048922">
    <w:abstractNumId w:val="9"/>
  </w:num>
  <w:num w:numId="19" w16cid:durableId="717247869">
    <w:abstractNumId w:val="5"/>
  </w:num>
  <w:num w:numId="20" w16cid:durableId="13765399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073159569">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hideGrammatical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QzMTS2sDAxNzYwM7RU0lEKTi0uzszPAykwrQUAdftuaCwAAAA="/>
  </w:docVars>
  <w:rsids>
    <w:rsidRoot w:val="00570694"/>
    <w:rsid w:val="00000738"/>
    <w:rsid w:val="00002286"/>
    <w:rsid w:val="000024E4"/>
    <w:rsid w:val="00003DDE"/>
    <w:rsid w:val="00004C50"/>
    <w:rsid w:val="00005A98"/>
    <w:rsid w:val="00005B4B"/>
    <w:rsid w:val="000070D4"/>
    <w:rsid w:val="00007166"/>
    <w:rsid w:val="00007450"/>
    <w:rsid w:val="00007DCD"/>
    <w:rsid w:val="0001031F"/>
    <w:rsid w:val="0001068B"/>
    <w:rsid w:val="00010C73"/>
    <w:rsid w:val="00011441"/>
    <w:rsid w:val="00011F40"/>
    <w:rsid w:val="00011F7A"/>
    <w:rsid w:val="00012A00"/>
    <w:rsid w:val="000137D6"/>
    <w:rsid w:val="000142EA"/>
    <w:rsid w:val="0001436A"/>
    <w:rsid w:val="0001456F"/>
    <w:rsid w:val="000146BD"/>
    <w:rsid w:val="0001479F"/>
    <w:rsid w:val="00014BA1"/>
    <w:rsid w:val="00014BF7"/>
    <w:rsid w:val="0001518F"/>
    <w:rsid w:val="00015AF3"/>
    <w:rsid w:val="00016599"/>
    <w:rsid w:val="000176BA"/>
    <w:rsid w:val="00017CE7"/>
    <w:rsid w:val="00017FEA"/>
    <w:rsid w:val="0002040E"/>
    <w:rsid w:val="00020F32"/>
    <w:rsid w:val="0002394D"/>
    <w:rsid w:val="00023CAD"/>
    <w:rsid w:val="000248EF"/>
    <w:rsid w:val="00024B73"/>
    <w:rsid w:val="00025B30"/>
    <w:rsid w:val="00025DEA"/>
    <w:rsid w:val="00026799"/>
    <w:rsid w:val="00030428"/>
    <w:rsid w:val="00030ED7"/>
    <w:rsid w:val="00031215"/>
    <w:rsid w:val="0003124E"/>
    <w:rsid w:val="000312CC"/>
    <w:rsid w:val="0003151D"/>
    <w:rsid w:val="0003267D"/>
    <w:rsid w:val="00032ABE"/>
    <w:rsid w:val="00033236"/>
    <w:rsid w:val="0003520F"/>
    <w:rsid w:val="000353A6"/>
    <w:rsid w:val="00036174"/>
    <w:rsid w:val="0003624C"/>
    <w:rsid w:val="000373BC"/>
    <w:rsid w:val="000378CD"/>
    <w:rsid w:val="00040604"/>
    <w:rsid w:val="00040A56"/>
    <w:rsid w:val="00040D82"/>
    <w:rsid w:val="00040FBC"/>
    <w:rsid w:val="0004265A"/>
    <w:rsid w:val="00043D88"/>
    <w:rsid w:val="0004446C"/>
    <w:rsid w:val="00044DE8"/>
    <w:rsid w:val="00044F53"/>
    <w:rsid w:val="00045DA2"/>
    <w:rsid w:val="00046551"/>
    <w:rsid w:val="00047557"/>
    <w:rsid w:val="000475C0"/>
    <w:rsid w:val="0004786A"/>
    <w:rsid w:val="00047F32"/>
    <w:rsid w:val="00047F55"/>
    <w:rsid w:val="00050D40"/>
    <w:rsid w:val="00050E4C"/>
    <w:rsid w:val="00051446"/>
    <w:rsid w:val="00051E16"/>
    <w:rsid w:val="000520C7"/>
    <w:rsid w:val="0005265C"/>
    <w:rsid w:val="000526AB"/>
    <w:rsid w:val="00052880"/>
    <w:rsid w:val="000532A3"/>
    <w:rsid w:val="00053791"/>
    <w:rsid w:val="00053E30"/>
    <w:rsid w:val="00053E87"/>
    <w:rsid w:val="00054089"/>
    <w:rsid w:val="000544FF"/>
    <w:rsid w:val="00054623"/>
    <w:rsid w:val="00054A7A"/>
    <w:rsid w:val="00055075"/>
    <w:rsid w:val="000554B1"/>
    <w:rsid w:val="00055FE2"/>
    <w:rsid w:val="00056DF7"/>
    <w:rsid w:val="00057424"/>
    <w:rsid w:val="000579BB"/>
    <w:rsid w:val="00061EA4"/>
    <w:rsid w:val="000623F6"/>
    <w:rsid w:val="000628F2"/>
    <w:rsid w:val="00063AC2"/>
    <w:rsid w:val="00063E59"/>
    <w:rsid w:val="0006488B"/>
    <w:rsid w:val="000662DC"/>
    <w:rsid w:val="000676C7"/>
    <w:rsid w:val="00067B90"/>
    <w:rsid w:val="00071191"/>
    <w:rsid w:val="000718C2"/>
    <w:rsid w:val="000727B2"/>
    <w:rsid w:val="00073179"/>
    <w:rsid w:val="00073336"/>
    <w:rsid w:val="000766DD"/>
    <w:rsid w:val="00076726"/>
    <w:rsid w:val="00076EF0"/>
    <w:rsid w:val="000771A0"/>
    <w:rsid w:val="000771A3"/>
    <w:rsid w:val="00077230"/>
    <w:rsid w:val="00077663"/>
    <w:rsid w:val="00077711"/>
    <w:rsid w:val="00080426"/>
    <w:rsid w:val="00080CB4"/>
    <w:rsid w:val="000814C2"/>
    <w:rsid w:val="00081C1E"/>
    <w:rsid w:val="00082B03"/>
    <w:rsid w:val="000836F4"/>
    <w:rsid w:val="00084201"/>
    <w:rsid w:val="000857D1"/>
    <w:rsid w:val="00085D4A"/>
    <w:rsid w:val="00085ECE"/>
    <w:rsid w:val="00086B41"/>
    <w:rsid w:val="0008731A"/>
    <w:rsid w:val="00087829"/>
    <w:rsid w:val="00087CD9"/>
    <w:rsid w:val="00091211"/>
    <w:rsid w:val="000919A1"/>
    <w:rsid w:val="00092123"/>
    <w:rsid w:val="000931AB"/>
    <w:rsid w:val="00094ACF"/>
    <w:rsid w:val="00095B36"/>
    <w:rsid w:val="00095C15"/>
    <w:rsid w:val="000964C9"/>
    <w:rsid w:val="000966AF"/>
    <w:rsid w:val="00097B64"/>
    <w:rsid w:val="000A00D2"/>
    <w:rsid w:val="000A051C"/>
    <w:rsid w:val="000A125C"/>
    <w:rsid w:val="000A179B"/>
    <w:rsid w:val="000A357F"/>
    <w:rsid w:val="000A3BA4"/>
    <w:rsid w:val="000A3DA9"/>
    <w:rsid w:val="000A46FE"/>
    <w:rsid w:val="000A55CF"/>
    <w:rsid w:val="000A5C49"/>
    <w:rsid w:val="000A6528"/>
    <w:rsid w:val="000A6F14"/>
    <w:rsid w:val="000A72D6"/>
    <w:rsid w:val="000A772F"/>
    <w:rsid w:val="000A7AA9"/>
    <w:rsid w:val="000A7CCE"/>
    <w:rsid w:val="000B062E"/>
    <w:rsid w:val="000B24C5"/>
    <w:rsid w:val="000B282B"/>
    <w:rsid w:val="000B2BAB"/>
    <w:rsid w:val="000B3520"/>
    <w:rsid w:val="000B3E5D"/>
    <w:rsid w:val="000B43F5"/>
    <w:rsid w:val="000B44BA"/>
    <w:rsid w:val="000B4AC5"/>
    <w:rsid w:val="000B4ACD"/>
    <w:rsid w:val="000B4B5F"/>
    <w:rsid w:val="000B54C8"/>
    <w:rsid w:val="000B5582"/>
    <w:rsid w:val="000B7B50"/>
    <w:rsid w:val="000C08A1"/>
    <w:rsid w:val="000C20F5"/>
    <w:rsid w:val="000C255B"/>
    <w:rsid w:val="000C2568"/>
    <w:rsid w:val="000C433F"/>
    <w:rsid w:val="000C4E9D"/>
    <w:rsid w:val="000C5A76"/>
    <w:rsid w:val="000C5E26"/>
    <w:rsid w:val="000C7AEF"/>
    <w:rsid w:val="000C7D6F"/>
    <w:rsid w:val="000D0A45"/>
    <w:rsid w:val="000D1073"/>
    <w:rsid w:val="000D2FC6"/>
    <w:rsid w:val="000D35C5"/>
    <w:rsid w:val="000D3B88"/>
    <w:rsid w:val="000D408C"/>
    <w:rsid w:val="000D477E"/>
    <w:rsid w:val="000D571E"/>
    <w:rsid w:val="000D590F"/>
    <w:rsid w:val="000D5A02"/>
    <w:rsid w:val="000D5CCA"/>
    <w:rsid w:val="000D63DF"/>
    <w:rsid w:val="000D6511"/>
    <w:rsid w:val="000D6FF5"/>
    <w:rsid w:val="000E05E0"/>
    <w:rsid w:val="000E0972"/>
    <w:rsid w:val="000E0EDA"/>
    <w:rsid w:val="000E1901"/>
    <w:rsid w:val="000E1A99"/>
    <w:rsid w:val="000E2AEF"/>
    <w:rsid w:val="000E2C4E"/>
    <w:rsid w:val="000E3193"/>
    <w:rsid w:val="000E3344"/>
    <w:rsid w:val="000E343C"/>
    <w:rsid w:val="000E376B"/>
    <w:rsid w:val="000E4558"/>
    <w:rsid w:val="000E5961"/>
    <w:rsid w:val="000E608D"/>
    <w:rsid w:val="000E61F4"/>
    <w:rsid w:val="000E651E"/>
    <w:rsid w:val="000E72F0"/>
    <w:rsid w:val="000F0F1A"/>
    <w:rsid w:val="000F1CF3"/>
    <w:rsid w:val="000F1EB4"/>
    <w:rsid w:val="000F33F8"/>
    <w:rsid w:val="000F3E46"/>
    <w:rsid w:val="000F4BFA"/>
    <w:rsid w:val="000F4E58"/>
    <w:rsid w:val="000F4F17"/>
    <w:rsid w:val="000F58B5"/>
    <w:rsid w:val="000F6048"/>
    <w:rsid w:val="000F7F33"/>
    <w:rsid w:val="00100B11"/>
    <w:rsid w:val="00101649"/>
    <w:rsid w:val="00105AE6"/>
    <w:rsid w:val="00105FA7"/>
    <w:rsid w:val="0010645C"/>
    <w:rsid w:val="00107CFA"/>
    <w:rsid w:val="00107E08"/>
    <w:rsid w:val="00110235"/>
    <w:rsid w:val="0011038F"/>
    <w:rsid w:val="00111810"/>
    <w:rsid w:val="00111833"/>
    <w:rsid w:val="00111DAF"/>
    <w:rsid w:val="0011303A"/>
    <w:rsid w:val="00113079"/>
    <w:rsid w:val="00114519"/>
    <w:rsid w:val="0011480F"/>
    <w:rsid w:val="001152C5"/>
    <w:rsid w:val="00116920"/>
    <w:rsid w:val="00117192"/>
    <w:rsid w:val="00117933"/>
    <w:rsid w:val="001200FD"/>
    <w:rsid w:val="00120DA0"/>
    <w:rsid w:val="00122265"/>
    <w:rsid w:val="001228F9"/>
    <w:rsid w:val="0012307B"/>
    <w:rsid w:val="001232FD"/>
    <w:rsid w:val="001239A8"/>
    <w:rsid w:val="00123E26"/>
    <w:rsid w:val="00125397"/>
    <w:rsid w:val="001259A9"/>
    <w:rsid w:val="001275CF"/>
    <w:rsid w:val="0012767A"/>
    <w:rsid w:val="00130B95"/>
    <w:rsid w:val="001315A6"/>
    <w:rsid w:val="0013170E"/>
    <w:rsid w:val="00131B29"/>
    <w:rsid w:val="00131C9F"/>
    <w:rsid w:val="00132FA9"/>
    <w:rsid w:val="00133AB2"/>
    <w:rsid w:val="00133CD9"/>
    <w:rsid w:val="00133D9B"/>
    <w:rsid w:val="00133EBC"/>
    <w:rsid w:val="001359FB"/>
    <w:rsid w:val="00135A8B"/>
    <w:rsid w:val="00135AAB"/>
    <w:rsid w:val="001367C0"/>
    <w:rsid w:val="00136A9D"/>
    <w:rsid w:val="00137CAB"/>
    <w:rsid w:val="00140BC2"/>
    <w:rsid w:val="00140BCF"/>
    <w:rsid w:val="00140F69"/>
    <w:rsid w:val="00141A18"/>
    <w:rsid w:val="00142BB2"/>
    <w:rsid w:val="0014307F"/>
    <w:rsid w:val="00144189"/>
    <w:rsid w:val="001441C8"/>
    <w:rsid w:val="00144472"/>
    <w:rsid w:val="00144545"/>
    <w:rsid w:val="00144917"/>
    <w:rsid w:val="00144C44"/>
    <w:rsid w:val="0014561B"/>
    <w:rsid w:val="0014585F"/>
    <w:rsid w:val="00146101"/>
    <w:rsid w:val="00146506"/>
    <w:rsid w:val="001476C8"/>
    <w:rsid w:val="00147925"/>
    <w:rsid w:val="00147C55"/>
    <w:rsid w:val="0015014A"/>
    <w:rsid w:val="00150351"/>
    <w:rsid w:val="00150B26"/>
    <w:rsid w:val="00151DA1"/>
    <w:rsid w:val="001527EE"/>
    <w:rsid w:val="0015290B"/>
    <w:rsid w:val="00152A98"/>
    <w:rsid w:val="00152CE2"/>
    <w:rsid w:val="00152FE9"/>
    <w:rsid w:val="00153636"/>
    <w:rsid w:val="0015375D"/>
    <w:rsid w:val="0015484A"/>
    <w:rsid w:val="00154CBB"/>
    <w:rsid w:val="00155570"/>
    <w:rsid w:val="0015584F"/>
    <w:rsid w:val="00156088"/>
    <w:rsid w:val="00156BFA"/>
    <w:rsid w:val="001604B9"/>
    <w:rsid w:val="00160B6D"/>
    <w:rsid w:val="00160DC2"/>
    <w:rsid w:val="00161001"/>
    <w:rsid w:val="00162A08"/>
    <w:rsid w:val="001639AF"/>
    <w:rsid w:val="00163ABC"/>
    <w:rsid w:val="00163E9D"/>
    <w:rsid w:val="00164283"/>
    <w:rsid w:val="0016494D"/>
    <w:rsid w:val="001654B4"/>
    <w:rsid w:val="001658DB"/>
    <w:rsid w:val="00165FA9"/>
    <w:rsid w:val="00166017"/>
    <w:rsid w:val="00166653"/>
    <w:rsid w:val="0017035F"/>
    <w:rsid w:val="0017154C"/>
    <w:rsid w:val="00171E52"/>
    <w:rsid w:val="00172947"/>
    <w:rsid w:val="00173CF3"/>
    <w:rsid w:val="0017431E"/>
    <w:rsid w:val="0017465F"/>
    <w:rsid w:val="001748A7"/>
    <w:rsid w:val="001753B7"/>
    <w:rsid w:val="00175A72"/>
    <w:rsid w:val="00176F75"/>
    <w:rsid w:val="001773CD"/>
    <w:rsid w:val="001808BA"/>
    <w:rsid w:val="00180DF6"/>
    <w:rsid w:val="00182173"/>
    <w:rsid w:val="001829CE"/>
    <w:rsid w:val="00182A86"/>
    <w:rsid w:val="00183A2A"/>
    <w:rsid w:val="00183C60"/>
    <w:rsid w:val="00184007"/>
    <w:rsid w:val="00184D15"/>
    <w:rsid w:val="00185913"/>
    <w:rsid w:val="00187838"/>
    <w:rsid w:val="001901A5"/>
    <w:rsid w:val="001901FC"/>
    <w:rsid w:val="00190616"/>
    <w:rsid w:val="00190661"/>
    <w:rsid w:val="0019112F"/>
    <w:rsid w:val="00191645"/>
    <w:rsid w:val="001940DA"/>
    <w:rsid w:val="00194321"/>
    <w:rsid w:val="00195054"/>
    <w:rsid w:val="00195D34"/>
    <w:rsid w:val="00195EED"/>
    <w:rsid w:val="0019659D"/>
    <w:rsid w:val="00196FF3"/>
    <w:rsid w:val="00197D5B"/>
    <w:rsid w:val="001A0255"/>
    <w:rsid w:val="001A0449"/>
    <w:rsid w:val="001A06AE"/>
    <w:rsid w:val="001A108B"/>
    <w:rsid w:val="001A1730"/>
    <w:rsid w:val="001A25EA"/>
    <w:rsid w:val="001A2C4E"/>
    <w:rsid w:val="001A342B"/>
    <w:rsid w:val="001A35AD"/>
    <w:rsid w:val="001A3758"/>
    <w:rsid w:val="001A3C0E"/>
    <w:rsid w:val="001A4391"/>
    <w:rsid w:val="001A4FAD"/>
    <w:rsid w:val="001A57BB"/>
    <w:rsid w:val="001A7C3B"/>
    <w:rsid w:val="001B0D1E"/>
    <w:rsid w:val="001B0E94"/>
    <w:rsid w:val="001B200E"/>
    <w:rsid w:val="001B2B9F"/>
    <w:rsid w:val="001B3294"/>
    <w:rsid w:val="001B39B1"/>
    <w:rsid w:val="001B3F5A"/>
    <w:rsid w:val="001B4899"/>
    <w:rsid w:val="001B5A30"/>
    <w:rsid w:val="001B5D92"/>
    <w:rsid w:val="001B65DD"/>
    <w:rsid w:val="001B6CF0"/>
    <w:rsid w:val="001B7B6D"/>
    <w:rsid w:val="001B7F07"/>
    <w:rsid w:val="001C2BDA"/>
    <w:rsid w:val="001C31E8"/>
    <w:rsid w:val="001C37C3"/>
    <w:rsid w:val="001C3BCE"/>
    <w:rsid w:val="001C3EB8"/>
    <w:rsid w:val="001C5986"/>
    <w:rsid w:val="001C5C26"/>
    <w:rsid w:val="001C5E46"/>
    <w:rsid w:val="001C624A"/>
    <w:rsid w:val="001C6857"/>
    <w:rsid w:val="001C6D5F"/>
    <w:rsid w:val="001C7486"/>
    <w:rsid w:val="001C7944"/>
    <w:rsid w:val="001D12AA"/>
    <w:rsid w:val="001D1BC3"/>
    <w:rsid w:val="001D20DE"/>
    <w:rsid w:val="001D254C"/>
    <w:rsid w:val="001D2764"/>
    <w:rsid w:val="001D3241"/>
    <w:rsid w:val="001D3262"/>
    <w:rsid w:val="001D3316"/>
    <w:rsid w:val="001D3A04"/>
    <w:rsid w:val="001D528E"/>
    <w:rsid w:val="001D52A6"/>
    <w:rsid w:val="001D530B"/>
    <w:rsid w:val="001D5B47"/>
    <w:rsid w:val="001D5B59"/>
    <w:rsid w:val="001D5D32"/>
    <w:rsid w:val="001D6890"/>
    <w:rsid w:val="001D6BAB"/>
    <w:rsid w:val="001D6C6B"/>
    <w:rsid w:val="001D7587"/>
    <w:rsid w:val="001E0313"/>
    <w:rsid w:val="001E1555"/>
    <w:rsid w:val="001E1EFD"/>
    <w:rsid w:val="001E2B90"/>
    <w:rsid w:val="001E3C08"/>
    <w:rsid w:val="001E43C2"/>
    <w:rsid w:val="001E44C9"/>
    <w:rsid w:val="001E499B"/>
    <w:rsid w:val="001E5B42"/>
    <w:rsid w:val="001E5D13"/>
    <w:rsid w:val="001E71AB"/>
    <w:rsid w:val="001F0A52"/>
    <w:rsid w:val="001F0C57"/>
    <w:rsid w:val="001F1B9F"/>
    <w:rsid w:val="001F1F84"/>
    <w:rsid w:val="001F26F8"/>
    <w:rsid w:val="001F3CA9"/>
    <w:rsid w:val="001F46AD"/>
    <w:rsid w:val="001F4750"/>
    <w:rsid w:val="001F4A1C"/>
    <w:rsid w:val="001F4FBB"/>
    <w:rsid w:val="001F5118"/>
    <w:rsid w:val="001F51C8"/>
    <w:rsid w:val="001F52FB"/>
    <w:rsid w:val="001F5CF6"/>
    <w:rsid w:val="001F5D30"/>
    <w:rsid w:val="001F6AEA"/>
    <w:rsid w:val="001F72DE"/>
    <w:rsid w:val="001F796C"/>
    <w:rsid w:val="00201099"/>
    <w:rsid w:val="00201586"/>
    <w:rsid w:val="0020165D"/>
    <w:rsid w:val="002016D9"/>
    <w:rsid w:val="00201771"/>
    <w:rsid w:val="002025D1"/>
    <w:rsid w:val="002027E9"/>
    <w:rsid w:val="00203391"/>
    <w:rsid w:val="00203579"/>
    <w:rsid w:val="0020373B"/>
    <w:rsid w:val="002048DF"/>
    <w:rsid w:val="00204F22"/>
    <w:rsid w:val="00205098"/>
    <w:rsid w:val="00205636"/>
    <w:rsid w:val="00206FBA"/>
    <w:rsid w:val="0020757D"/>
    <w:rsid w:val="0020784A"/>
    <w:rsid w:val="0021016A"/>
    <w:rsid w:val="00213C53"/>
    <w:rsid w:val="00214CFC"/>
    <w:rsid w:val="002152C6"/>
    <w:rsid w:val="0021538A"/>
    <w:rsid w:val="002165A3"/>
    <w:rsid w:val="002166F8"/>
    <w:rsid w:val="00216CA0"/>
    <w:rsid w:val="00220291"/>
    <w:rsid w:val="00220B7B"/>
    <w:rsid w:val="00222C42"/>
    <w:rsid w:val="00223388"/>
    <w:rsid w:val="00223E15"/>
    <w:rsid w:val="00224E76"/>
    <w:rsid w:val="0022573C"/>
    <w:rsid w:val="0022579F"/>
    <w:rsid w:val="00225A4E"/>
    <w:rsid w:val="0022630A"/>
    <w:rsid w:val="0022672A"/>
    <w:rsid w:val="0022712C"/>
    <w:rsid w:val="00227CB2"/>
    <w:rsid w:val="0023004A"/>
    <w:rsid w:val="002301EC"/>
    <w:rsid w:val="00230F86"/>
    <w:rsid w:val="00231623"/>
    <w:rsid w:val="00231D59"/>
    <w:rsid w:val="0023268B"/>
    <w:rsid w:val="00232965"/>
    <w:rsid w:val="002355FE"/>
    <w:rsid w:val="00236619"/>
    <w:rsid w:val="0023793B"/>
    <w:rsid w:val="0024018B"/>
    <w:rsid w:val="002406BD"/>
    <w:rsid w:val="002408F9"/>
    <w:rsid w:val="00240E2E"/>
    <w:rsid w:val="00240E86"/>
    <w:rsid w:val="00242481"/>
    <w:rsid w:val="00242716"/>
    <w:rsid w:val="002427B0"/>
    <w:rsid w:val="00242C1B"/>
    <w:rsid w:val="0024408B"/>
    <w:rsid w:val="00244274"/>
    <w:rsid w:val="00245B06"/>
    <w:rsid w:val="0024608F"/>
    <w:rsid w:val="002478B5"/>
    <w:rsid w:val="00250469"/>
    <w:rsid w:val="002514DB"/>
    <w:rsid w:val="0025163B"/>
    <w:rsid w:val="00252092"/>
    <w:rsid w:val="002520BF"/>
    <w:rsid w:val="002520F2"/>
    <w:rsid w:val="00253BCE"/>
    <w:rsid w:val="00253CF6"/>
    <w:rsid w:val="00254447"/>
    <w:rsid w:val="002545C4"/>
    <w:rsid w:val="00254FF3"/>
    <w:rsid w:val="002556EE"/>
    <w:rsid w:val="00255D7F"/>
    <w:rsid w:val="002567C7"/>
    <w:rsid w:val="00256C5B"/>
    <w:rsid w:val="00260796"/>
    <w:rsid w:val="002607ED"/>
    <w:rsid w:val="002608D1"/>
    <w:rsid w:val="00260C97"/>
    <w:rsid w:val="00261423"/>
    <w:rsid w:val="0026168D"/>
    <w:rsid w:val="0026272F"/>
    <w:rsid w:val="002646A6"/>
    <w:rsid w:val="00264858"/>
    <w:rsid w:val="00265394"/>
    <w:rsid w:val="002654A4"/>
    <w:rsid w:val="002662E8"/>
    <w:rsid w:val="00266355"/>
    <w:rsid w:val="0026711B"/>
    <w:rsid w:val="00270566"/>
    <w:rsid w:val="00270862"/>
    <w:rsid w:val="00271D98"/>
    <w:rsid w:val="00273106"/>
    <w:rsid w:val="00273D76"/>
    <w:rsid w:val="00273E35"/>
    <w:rsid w:val="0027402D"/>
    <w:rsid w:val="002745EB"/>
    <w:rsid w:val="00274FD8"/>
    <w:rsid w:val="002754E6"/>
    <w:rsid w:val="00276744"/>
    <w:rsid w:val="002769E9"/>
    <w:rsid w:val="00276C75"/>
    <w:rsid w:val="00276FCA"/>
    <w:rsid w:val="00277E7D"/>
    <w:rsid w:val="00280B97"/>
    <w:rsid w:val="00281F47"/>
    <w:rsid w:val="002824CB"/>
    <w:rsid w:val="00282BAA"/>
    <w:rsid w:val="00285087"/>
    <w:rsid w:val="00285491"/>
    <w:rsid w:val="00285CFC"/>
    <w:rsid w:val="002864D9"/>
    <w:rsid w:val="00286602"/>
    <w:rsid w:val="00287721"/>
    <w:rsid w:val="0029002D"/>
    <w:rsid w:val="00291A64"/>
    <w:rsid w:val="00291CA6"/>
    <w:rsid w:val="00291ED0"/>
    <w:rsid w:val="00292465"/>
    <w:rsid w:val="00292A4F"/>
    <w:rsid w:val="002931F2"/>
    <w:rsid w:val="00293770"/>
    <w:rsid w:val="00293B19"/>
    <w:rsid w:val="002944BB"/>
    <w:rsid w:val="00297111"/>
    <w:rsid w:val="002976D7"/>
    <w:rsid w:val="002A0B31"/>
    <w:rsid w:val="002A0D22"/>
    <w:rsid w:val="002A11EE"/>
    <w:rsid w:val="002A2849"/>
    <w:rsid w:val="002A3CAC"/>
    <w:rsid w:val="002A3DF9"/>
    <w:rsid w:val="002A4AC6"/>
    <w:rsid w:val="002A5107"/>
    <w:rsid w:val="002A5D8B"/>
    <w:rsid w:val="002A65F6"/>
    <w:rsid w:val="002A74BD"/>
    <w:rsid w:val="002A7D0E"/>
    <w:rsid w:val="002A7EA9"/>
    <w:rsid w:val="002B0A81"/>
    <w:rsid w:val="002B0ADB"/>
    <w:rsid w:val="002B0D7A"/>
    <w:rsid w:val="002B161B"/>
    <w:rsid w:val="002B1A52"/>
    <w:rsid w:val="002B373F"/>
    <w:rsid w:val="002B40DC"/>
    <w:rsid w:val="002B46CB"/>
    <w:rsid w:val="002B60EF"/>
    <w:rsid w:val="002B644D"/>
    <w:rsid w:val="002B7144"/>
    <w:rsid w:val="002B762A"/>
    <w:rsid w:val="002C0021"/>
    <w:rsid w:val="002C13B8"/>
    <w:rsid w:val="002C1D90"/>
    <w:rsid w:val="002C1FBC"/>
    <w:rsid w:val="002C216B"/>
    <w:rsid w:val="002C3192"/>
    <w:rsid w:val="002C3568"/>
    <w:rsid w:val="002C4D04"/>
    <w:rsid w:val="002C5307"/>
    <w:rsid w:val="002C5CC6"/>
    <w:rsid w:val="002C675F"/>
    <w:rsid w:val="002D0316"/>
    <w:rsid w:val="002D0A04"/>
    <w:rsid w:val="002D0E7B"/>
    <w:rsid w:val="002D1432"/>
    <w:rsid w:val="002D14FC"/>
    <w:rsid w:val="002D29FF"/>
    <w:rsid w:val="002D2F5E"/>
    <w:rsid w:val="002D37F1"/>
    <w:rsid w:val="002D5C73"/>
    <w:rsid w:val="002D5E21"/>
    <w:rsid w:val="002D6257"/>
    <w:rsid w:val="002D6307"/>
    <w:rsid w:val="002D65A5"/>
    <w:rsid w:val="002D7900"/>
    <w:rsid w:val="002D7C40"/>
    <w:rsid w:val="002E1402"/>
    <w:rsid w:val="002E15A1"/>
    <w:rsid w:val="002E1612"/>
    <w:rsid w:val="002E197B"/>
    <w:rsid w:val="002E2376"/>
    <w:rsid w:val="002E320D"/>
    <w:rsid w:val="002E3A44"/>
    <w:rsid w:val="002E4487"/>
    <w:rsid w:val="002E4662"/>
    <w:rsid w:val="002E46A2"/>
    <w:rsid w:val="002E4759"/>
    <w:rsid w:val="002E47F1"/>
    <w:rsid w:val="002E4A8C"/>
    <w:rsid w:val="002E4BCE"/>
    <w:rsid w:val="002E51AD"/>
    <w:rsid w:val="002E527B"/>
    <w:rsid w:val="002E52CA"/>
    <w:rsid w:val="002E58F2"/>
    <w:rsid w:val="002E5BAB"/>
    <w:rsid w:val="002E61D1"/>
    <w:rsid w:val="002E6657"/>
    <w:rsid w:val="002E6AEF"/>
    <w:rsid w:val="002E6EF0"/>
    <w:rsid w:val="002E7633"/>
    <w:rsid w:val="002E7C10"/>
    <w:rsid w:val="002E7E1E"/>
    <w:rsid w:val="002F02EE"/>
    <w:rsid w:val="002F0472"/>
    <w:rsid w:val="002F175A"/>
    <w:rsid w:val="002F2261"/>
    <w:rsid w:val="002F2AEF"/>
    <w:rsid w:val="002F3901"/>
    <w:rsid w:val="002F3CE6"/>
    <w:rsid w:val="002F42FE"/>
    <w:rsid w:val="002F451B"/>
    <w:rsid w:val="002F558D"/>
    <w:rsid w:val="002F5833"/>
    <w:rsid w:val="002F5CFE"/>
    <w:rsid w:val="002F6B52"/>
    <w:rsid w:val="002F7235"/>
    <w:rsid w:val="002F7460"/>
    <w:rsid w:val="00300901"/>
    <w:rsid w:val="00302ADE"/>
    <w:rsid w:val="00302B46"/>
    <w:rsid w:val="00302E90"/>
    <w:rsid w:val="00303B31"/>
    <w:rsid w:val="00303B83"/>
    <w:rsid w:val="00303C2E"/>
    <w:rsid w:val="00303D95"/>
    <w:rsid w:val="0030419E"/>
    <w:rsid w:val="00304E27"/>
    <w:rsid w:val="00304ECA"/>
    <w:rsid w:val="003050C6"/>
    <w:rsid w:val="00305241"/>
    <w:rsid w:val="003058D5"/>
    <w:rsid w:val="00305E01"/>
    <w:rsid w:val="00306BE8"/>
    <w:rsid w:val="00307F73"/>
    <w:rsid w:val="00310B9F"/>
    <w:rsid w:val="00311ADB"/>
    <w:rsid w:val="00312646"/>
    <w:rsid w:val="003126F7"/>
    <w:rsid w:val="003128B5"/>
    <w:rsid w:val="00313A94"/>
    <w:rsid w:val="00314629"/>
    <w:rsid w:val="00314A83"/>
    <w:rsid w:val="0031567B"/>
    <w:rsid w:val="00315856"/>
    <w:rsid w:val="00315B0D"/>
    <w:rsid w:val="00315D1D"/>
    <w:rsid w:val="00316892"/>
    <w:rsid w:val="00316B7E"/>
    <w:rsid w:val="00316FEE"/>
    <w:rsid w:val="003170C0"/>
    <w:rsid w:val="003171D3"/>
    <w:rsid w:val="003207C4"/>
    <w:rsid w:val="00320855"/>
    <w:rsid w:val="00320C28"/>
    <w:rsid w:val="00320F36"/>
    <w:rsid w:val="00321050"/>
    <w:rsid w:val="003213AE"/>
    <w:rsid w:val="003214DF"/>
    <w:rsid w:val="00321BDF"/>
    <w:rsid w:val="00322248"/>
    <w:rsid w:val="00322EA1"/>
    <w:rsid w:val="00322EC0"/>
    <w:rsid w:val="00323A26"/>
    <w:rsid w:val="00324199"/>
    <w:rsid w:val="00324DF0"/>
    <w:rsid w:val="00324EBE"/>
    <w:rsid w:val="00326508"/>
    <w:rsid w:val="00326551"/>
    <w:rsid w:val="003272A7"/>
    <w:rsid w:val="00327FC8"/>
    <w:rsid w:val="00330B52"/>
    <w:rsid w:val="003313B5"/>
    <w:rsid w:val="00331854"/>
    <w:rsid w:val="0033215B"/>
    <w:rsid w:val="00332E3E"/>
    <w:rsid w:val="0033359D"/>
    <w:rsid w:val="00333942"/>
    <w:rsid w:val="00333B2E"/>
    <w:rsid w:val="00335B68"/>
    <w:rsid w:val="00335F0C"/>
    <w:rsid w:val="00336934"/>
    <w:rsid w:val="00337862"/>
    <w:rsid w:val="00340129"/>
    <w:rsid w:val="00340251"/>
    <w:rsid w:val="00341069"/>
    <w:rsid w:val="00341D14"/>
    <w:rsid w:val="00342910"/>
    <w:rsid w:val="00342D1C"/>
    <w:rsid w:val="003431A6"/>
    <w:rsid w:val="00343872"/>
    <w:rsid w:val="003438A0"/>
    <w:rsid w:val="00343A94"/>
    <w:rsid w:val="00344AF8"/>
    <w:rsid w:val="00345423"/>
    <w:rsid w:val="00345E9E"/>
    <w:rsid w:val="00346311"/>
    <w:rsid w:val="003472D1"/>
    <w:rsid w:val="00350002"/>
    <w:rsid w:val="00350B37"/>
    <w:rsid w:val="0035103D"/>
    <w:rsid w:val="00351B52"/>
    <w:rsid w:val="003524B2"/>
    <w:rsid w:val="0035264B"/>
    <w:rsid w:val="003528CF"/>
    <w:rsid w:val="00352961"/>
    <w:rsid w:val="00354453"/>
    <w:rsid w:val="00354DC3"/>
    <w:rsid w:val="0035521E"/>
    <w:rsid w:val="00356647"/>
    <w:rsid w:val="003567E9"/>
    <w:rsid w:val="00357300"/>
    <w:rsid w:val="003609A6"/>
    <w:rsid w:val="00361C29"/>
    <w:rsid w:val="00361F64"/>
    <w:rsid w:val="0036237E"/>
    <w:rsid w:val="003625AD"/>
    <w:rsid w:val="00362E17"/>
    <w:rsid w:val="00363ACB"/>
    <w:rsid w:val="00363B2D"/>
    <w:rsid w:val="00363FDA"/>
    <w:rsid w:val="00363FE4"/>
    <w:rsid w:val="00364F94"/>
    <w:rsid w:val="00365308"/>
    <w:rsid w:val="00365A06"/>
    <w:rsid w:val="00365A0C"/>
    <w:rsid w:val="00365AF2"/>
    <w:rsid w:val="00367B4C"/>
    <w:rsid w:val="003704C7"/>
    <w:rsid w:val="00370BD6"/>
    <w:rsid w:val="00370D2D"/>
    <w:rsid w:val="00370F51"/>
    <w:rsid w:val="00371E4D"/>
    <w:rsid w:val="00372639"/>
    <w:rsid w:val="0037429D"/>
    <w:rsid w:val="00374B60"/>
    <w:rsid w:val="003755DE"/>
    <w:rsid w:val="0037637C"/>
    <w:rsid w:val="003763EB"/>
    <w:rsid w:val="00376D86"/>
    <w:rsid w:val="00377801"/>
    <w:rsid w:val="003778C7"/>
    <w:rsid w:val="00377A6F"/>
    <w:rsid w:val="00377BFC"/>
    <w:rsid w:val="003811C4"/>
    <w:rsid w:val="00382036"/>
    <w:rsid w:val="003825BA"/>
    <w:rsid w:val="0038330F"/>
    <w:rsid w:val="003848B5"/>
    <w:rsid w:val="00384EC9"/>
    <w:rsid w:val="003851DF"/>
    <w:rsid w:val="00386678"/>
    <w:rsid w:val="0038706A"/>
    <w:rsid w:val="003875C2"/>
    <w:rsid w:val="003900BE"/>
    <w:rsid w:val="003901E7"/>
    <w:rsid w:val="00390292"/>
    <w:rsid w:val="0039057A"/>
    <w:rsid w:val="003906A5"/>
    <w:rsid w:val="0039113B"/>
    <w:rsid w:val="0039118D"/>
    <w:rsid w:val="003934C1"/>
    <w:rsid w:val="0039350E"/>
    <w:rsid w:val="00393534"/>
    <w:rsid w:val="00395E09"/>
    <w:rsid w:val="00395F56"/>
    <w:rsid w:val="0039693A"/>
    <w:rsid w:val="00397D63"/>
    <w:rsid w:val="003A0270"/>
    <w:rsid w:val="003A02CA"/>
    <w:rsid w:val="003A114A"/>
    <w:rsid w:val="003A1286"/>
    <w:rsid w:val="003A1553"/>
    <w:rsid w:val="003A1B75"/>
    <w:rsid w:val="003A1BB9"/>
    <w:rsid w:val="003A1EC2"/>
    <w:rsid w:val="003A3457"/>
    <w:rsid w:val="003A3F4B"/>
    <w:rsid w:val="003A3F7F"/>
    <w:rsid w:val="003A4087"/>
    <w:rsid w:val="003A4697"/>
    <w:rsid w:val="003A4F0F"/>
    <w:rsid w:val="003A4FB0"/>
    <w:rsid w:val="003A58F2"/>
    <w:rsid w:val="003A5A50"/>
    <w:rsid w:val="003A5BB2"/>
    <w:rsid w:val="003A75B2"/>
    <w:rsid w:val="003B0E3D"/>
    <w:rsid w:val="003B1963"/>
    <w:rsid w:val="003B2341"/>
    <w:rsid w:val="003B31C0"/>
    <w:rsid w:val="003B33D2"/>
    <w:rsid w:val="003B3426"/>
    <w:rsid w:val="003B345C"/>
    <w:rsid w:val="003B3784"/>
    <w:rsid w:val="003B3DC1"/>
    <w:rsid w:val="003B46C2"/>
    <w:rsid w:val="003B4A2C"/>
    <w:rsid w:val="003B4C3D"/>
    <w:rsid w:val="003B7A96"/>
    <w:rsid w:val="003B7D18"/>
    <w:rsid w:val="003C0CBA"/>
    <w:rsid w:val="003C1760"/>
    <w:rsid w:val="003C1E44"/>
    <w:rsid w:val="003C26A8"/>
    <w:rsid w:val="003C2754"/>
    <w:rsid w:val="003C2EED"/>
    <w:rsid w:val="003C325A"/>
    <w:rsid w:val="003C3685"/>
    <w:rsid w:val="003C48B9"/>
    <w:rsid w:val="003C4DF0"/>
    <w:rsid w:val="003C6192"/>
    <w:rsid w:val="003C66D7"/>
    <w:rsid w:val="003C6B14"/>
    <w:rsid w:val="003C7D26"/>
    <w:rsid w:val="003D058D"/>
    <w:rsid w:val="003D0615"/>
    <w:rsid w:val="003D0AB3"/>
    <w:rsid w:val="003D2059"/>
    <w:rsid w:val="003D21F5"/>
    <w:rsid w:val="003D2901"/>
    <w:rsid w:val="003D3667"/>
    <w:rsid w:val="003D3CE8"/>
    <w:rsid w:val="003D402A"/>
    <w:rsid w:val="003D4203"/>
    <w:rsid w:val="003D6EFD"/>
    <w:rsid w:val="003D6F03"/>
    <w:rsid w:val="003D7413"/>
    <w:rsid w:val="003E09E6"/>
    <w:rsid w:val="003E10D3"/>
    <w:rsid w:val="003E166B"/>
    <w:rsid w:val="003E2525"/>
    <w:rsid w:val="003E2EFC"/>
    <w:rsid w:val="003E7579"/>
    <w:rsid w:val="003E75A7"/>
    <w:rsid w:val="003E7703"/>
    <w:rsid w:val="003F04D6"/>
    <w:rsid w:val="003F06E3"/>
    <w:rsid w:val="003F128E"/>
    <w:rsid w:val="003F1425"/>
    <w:rsid w:val="003F1AC5"/>
    <w:rsid w:val="003F1BD3"/>
    <w:rsid w:val="003F1D6A"/>
    <w:rsid w:val="003F1F8C"/>
    <w:rsid w:val="003F3BF5"/>
    <w:rsid w:val="003F3C4D"/>
    <w:rsid w:val="003F3CA3"/>
    <w:rsid w:val="003F4751"/>
    <w:rsid w:val="003F4E09"/>
    <w:rsid w:val="003F5542"/>
    <w:rsid w:val="003F5D06"/>
    <w:rsid w:val="003F5F46"/>
    <w:rsid w:val="003F7441"/>
    <w:rsid w:val="003F7B20"/>
    <w:rsid w:val="003F7BDB"/>
    <w:rsid w:val="00400E19"/>
    <w:rsid w:val="00401885"/>
    <w:rsid w:val="00402E3B"/>
    <w:rsid w:val="00402E8F"/>
    <w:rsid w:val="004044DC"/>
    <w:rsid w:val="0040477D"/>
    <w:rsid w:val="0040489E"/>
    <w:rsid w:val="00404B0E"/>
    <w:rsid w:val="00405574"/>
    <w:rsid w:val="00405B9F"/>
    <w:rsid w:val="00405BFB"/>
    <w:rsid w:val="00406314"/>
    <w:rsid w:val="0040647C"/>
    <w:rsid w:val="004065FD"/>
    <w:rsid w:val="00407313"/>
    <w:rsid w:val="00410830"/>
    <w:rsid w:val="00410D7F"/>
    <w:rsid w:val="00411215"/>
    <w:rsid w:val="004121B6"/>
    <w:rsid w:val="004127CC"/>
    <w:rsid w:val="00412E79"/>
    <w:rsid w:val="004134F8"/>
    <w:rsid w:val="004138CA"/>
    <w:rsid w:val="00416160"/>
    <w:rsid w:val="00416B5D"/>
    <w:rsid w:val="004173FC"/>
    <w:rsid w:val="00417419"/>
    <w:rsid w:val="004200F6"/>
    <w:rsid w:val="004201B0"/>
    <w:rsid w:val="004209B8"/>
    <w:rsid w:val="00421DC4"/>
    <w:rsid w:val="00422B7E"/>
    <w:rsid w:val="00422D28"/>
    <w:rsid w:val="00423472"/>
    <w:rsid w:val="0042379E"/>
    <w:rsid w:val="004243B9"/>
    <w:rsid w:val="0042607B"/>
    <w:rsid w:val="00427276"/>
    <w:rsid w:val="004273B8"/>
    <w:rsid w:val="004275BE"/>
    <w:rsid w:val="00427829"/>
    <w:rsid w:val="0043099A"/>
    <w:rsid w:val="00430AB5"/>
    <w:rsid w:val="00433D97"/>
    <w:rsid w:val="00434194"/>
    <w:rsid w:val="00434A28"/>
    <w:rsid w:val="00434D42"/>
    <w:rsid w:val="00435184"/>
    <w:rsid w:val="0043564D"/>
    <w:rsid w:val="00436726"/>
    <w:rsid w:val="00436A9B"/>
    <w:rsid w:val="00437576"/>
    <w:rsid w:val="004376E1"/>
    <w:rsid w:val="00437E7E"/>
    <w:rsid w:val="00440D31"/>
    <w:rsid w:val="00440F0C"/>
    <w:rsid w:val="00441BAD"/>
    <w:rsid w:val="00441C39"/>
    <w:rsid w:val="004427A5"/>
    <w:rsid w:val="004437A3"/>
    <w:rsid w:val="00443C0C"/>
    <w:rsid w:val="00443E1E"/>
    <w:rsid w:val="00445557"/>
    <w:rsid w:val="00446503"/>
    <w:rsid w:val="00446736"/>
    <w:rsid w:val="00446FCF"/>
    <w:rsid w:val="00447320"/>
    <w:rsid w:val="004478A8"/>
    <w:rsid w:val="00447A83"/>
    <w:rsid w:val="00447C3A"/>
    <w:rsid w:val="0045088D"/>
    <w:rsid w:val="00451097"/>
    <w:rsid w:val="004518DA"/>
    <w:rsid w:val="00451AC9"/>
    <w:rsid w:val="00451DCA"/>
    <w:rsid w:val="004523FE"/>
    <w:rsid w:val="0045264B"/>
    <w:rsid w:val="00452B6F"/>
    <w:rsid w:val="00453DB6"/>
    <w:rsid w:val="004543DA"/>
    <w:rsid w:val="0045496D"/>
    <w:rsid w:val="00454B55"/>
    <w:rsid w:val="00455783"/>
    <w:rsid w:val="0045597B"/>
    <w:rsid w:val="00455EB5"/>
    <w:rsid w:val="004562C1"/>
    <w:rsid w:val="0045670B"/>
    <w:rsid w:val="00457864"/>
    <w:rsid w:val="0046074A"/>
    <w:rsid w:val="00460E02"/>
    <w:rsid w:val="00460E5A"/>
    <w:rsid w:val="004614F8"/>
    <w:rsid w:val="00462CF3"/>
    <w:rsid w:val="00463868"/>
    <w:rsid w:val="0046394A"/>
    <w:rsid w:val="00464617"/>
    <w:rsid w:val="00465014"/>
    <w:rsid w:val="004650FD"/>
    <w:rsid w:val="00465410"/>
    <w:rsid w:val="004657F5"/>
    <w:rsid w:val="00465E4D"/>
    <w:rsid w:val="00465F14"/>
    <w:rsid w:val="00465FE6"/>
    <w:rsid w:val="004662E0"/>
    <w:rsid w:val="00467107"/>
    <w:rsid w:val="004671E9"/>
    <w:rsid w:val="004710A1"/>
    <w:rsid w:val="0047251C"/>
    <w:rsid w:val="00472E77"/>
    <w:rsid w:val="00472FF1"/>
    <w:rsid w:val="0047345F"/>
    <w:rsid w:val="00473C3B"/>
    <w:rsid w:val="004743A7"/>
    <w:rsid w:val="00474B98"/>
    <w:rsid w:val="00474C78"/>
    <w:rsid w:val="00474C81"/>
    <w:rsid w:val="00476481"/>
    <w:rsid w:val="0047671B"/>
    <w:rsid w:val="00476DFD"/>
    <w:rsid w:val="004773C3"/>
    <w:rsid w:val="00480402"/>
    <w:rsid w:val="00481258"/>
    <w:rsid w:val="00481D90"/>
    <w:rsid w:val="0048215F"/>
    <w:rsid w:val="00482D55"/>
    <w:rsid w:val="00483CA8"/>
    <w:rsid w:val="0048453A"/>
    <w:rsid w:val="00485369"/>
    <w:rsid w:val="00485382"/>
    <w:rsid w:val="00485CEA"/>
    <w:rsid w:val="00486102"/>
    <w:rsid w:val="004865CA"/>
    <w:rsid w:val="00486812"/>
    <w:rsid w:val="00486A4A"/>
    <w:rsid w:val="00486C6D"/>
    <w:rsid w:val="00486DB9"/>
    <w:rsid w:val="00486F60"/>
    <w:rsid w:val="00487177"/>
    <w:rsid w:val="00487392"/>
    <w:rsid w:val="004877B6"/>
    <w:rsid w:val="00487A72"/>
    <w:rsid w:val="00487EB6"/>
    <w:rsid w:val="00487F67"/>
    <w:rsid w:val="00490293"/>
    <w:rsid w:val="00490411"/>
    <w:rsid w:val="004905BA"/>
    <w:rsid w:val="00490D10"/>
    <w:rsid w:val="00491949"/>
    <w:rsid w:val="004920E0"/>
    <w:rsid w:val="00492511"/>
    <w:rsid w:val="004931BE"/>
    <w:rsid w:val="00493500"/>
    <w:rsid w:val="0049459A"/>
    <w:rsid w:val="00494CBC"/>
    <w:rsid w:val="00494D28"/>
    <w:rsid w:val="00495319"/>
    <w:rsid w:val="00495C4D"/>
    <w:rsid w:val="004966D7"/>
    <w:rsid w:val="004967AC"/>
    <w:rsid w:val="00496856"/>
    <w:rsid w:val="00496975"/>
    <w:rsid w:val="00496AB9"/>
    <w:rsid w:val="00497252"/>
    <w:rsid w:val="00497F7C"/>
    <w:rsid w:val="004A0011"/>
    <w:rsid w:val="004A0713"/>
    <w:rsid w:val="004A0B95"/>
    <w:rsid w:val="004A0CB2"/>
    <w:rsid w:val="004A3CBD"/>
    <w:rsid w:val="004A3F6C"/>
    <w:rsid w:val="004A615F"/>
    <w:rsid w:val="004A66E3"/>
    <w:rsid w:val="004A6826"/>
    <w:rsid w:val="004A715B"/>
    <w:rsid w:val="004A74E7"/>
    <w:rsid w:val="004B073E"/>
    <w:rsid w:val="004B1180"/>
    <w:rsid w:val="004B175D"/>
    <w:rsid w:val="004B192B"/>
    <w:rsid w:val="004B197B"/>
    <w:rsid w:val="004B1AEE"/>
    <w:rsid w:val="004B28B5"/>
    <w:rsid w:val="004B2AEA"/>
    <w:rsid w:val="004B38B1"/>
    <w:rsid w:val="004B3BC2"/>
    <w:rsid w:val="004B3FB4"/>
    <w:rsid w:val="004B49D5"/>
    <w:rsid w:val="004B56B4"/>
    <w:rsid w:val="004B69DB"/>
    <w:rsid w:val="004B7C27"/>
    <w:rsid w:val="004B7EB2"/>
    <w:rsid w:val="004B7FB2"/>
    <w:rsid w:val="004C0ACF"/>
    <w:rsid w:val="004C206D"/>
    <w:rsid w:val="004C3E16"/>
    <w:rsid w:val="004C4667"/>
    <w:rsid w:val="004C4C0F"/>
    <w:rsid w:val="004C58CF"/>
    <w:rsid w:val="004C5BFA"/>
    <w:rsid w:val="004C5E9F"/>
    <w:rsid w:val="004C6845"/>
    <w:rsid w:val="004C77F5"/>
    <w:rsid w:val="004D0C9A"/>
    <w:rsid w:val="004D25B1"/>
    <w:rsid w:val="004D26BF"/>
    <w:rsid w:val="004D279B"/>
    <w:rsid w:val="004D3724"/>
    <w:rsid w:val="004D4714"/>
    <w:rsid w:val="004D4748"/>
    <w:rsid w:val="004D4B24"/>
    <w:rsid w:val="004D51A8"/>
    <w:rsid w:val="004D52F8"/>
    <w:rsid w:val="004D5CF1"/>
    <w:rsid w:val="004D694B"/>
    <w:rsid w:val="004D72FF"/>
    <w:rsid w:val="004D75A3"/>
    <w:rsid w:val="004E030B"/>
    <w:rsid w:val="004E0E6B"/>
    <w:rsid w:val="004E0F92"/>
    <w:rsid w:val="004E1EC6"/>
    <w:rsid w:val="004E3106"/>
    <w:rsid w:val="004E3225"/>
    <w:rsid w:val="004E3705"/>
    <w:rsid w:val="004E3C3C"/>
    <w:rsid w:val="004E4676"/>
    <w:rsid w:val="004E46D6"/>
    <w:rsid w:val="004E4814"/>
    <w:rsid w:val="004E4EE4"/>
    <w:rsid w:val="004E58FD"/>
    <w:rsid w:val="004E5EA4"/>
    <w:rsid w:val="004E661B"/>
    <w:rsid w:val="004E66CD"/>
    <w:rsid w:val="004E76C7"/>
    <w:rsid w:val="004E7959"/>
    <w:rsid w:val="004F073A"/>
    <w:rsid w:val="004F0E01"/>
    <w:rsid w:val="004F1FBA"/>
    <w:rsid w:val="004F2238"/>
    <w:rsid w:val="004F3761"/>
    <w:rsid w:val="004F3F63"/>
    <w:rsid w:val="004F41C7"/>
    <w:rsid w:val="004F4B48"/>
    <w:rsid w:val="004F4E32"/>
    <w:rsid w:val="004F4F5A"/>
    <w:rsid w:val="004F5279"/>
    <w:rsid w:val="004F7089"/>
    <w:rsid w:val="004F72C4"/>
    <w:rsid w:val="005005CA"/>
    <w:rsid w:val="0050096A"/>
    <w:rsid w:val="0050101D"/>
    <w:rsid w:val="00502DA2"/>
    <w:rsid w:val="00503015"/>
    <w:rsid w:val="00503173"/>
    <w:rsid w:val="00504364"/>
    <w:rsid w:val="00504B69"/>
    <w:rsid w:val="00504BBD"/>
    <w:rsid w:val="0050507E"/>
    <w:rsid w:val="00506397"/>
    <w:rsid w:val="00507709"/>
    <w:rsid w:val="0051015F"/>
    <w:rsid w:val="005106B7"/>
    <w:rsid w:val="00510D82"/>
    <w:rsid w:val="005111A6"/>
    <w:rsid w:val="00511A02"/>
    <w:rsid w:val="00511A74"/>
    <w:rsid w:val="00512331"/>
    <w:rsid w:val="0051301A"/>
    <w:rsid w:val="005158F5"/>
    <w:rsid w:val="00516024"/>
    <w:rsid w:val="0051621D"/>
    <w:rsid w:val="005162BA"/>
    <w:rsid w:val="00516843"/>
    <w:rsid w:val="00517561"/>
    <w:rsid w:val="00517891"/>
    <w:rsid w:val="0051790E"/>
    <w:rsid w:val="00517C76"/>
    <w:rsid w:val="00517C7D"/>
    <w:rsid w:val="0052061C"/>
    <w:rsid w:val="00520856"/>
    <w:rsid w:val="00521148"/>
    <w:rsid w:val="00521A99"/>
    <w:rsid w:val="00521DA4"/>
    <w:rsid w:val="00521EB9"/>
    <w:rsid w:val="0052228A"/>
    <w:rsid w:val="005226A8"/>
    <w:rsid w:val="0052313D"/>
    <w:rsid w:val="005234DC"/>
    <w:rsid w:val="00523867"/>
    <w:rsid w:val="005238EC"/>
    <w:rsid w:val="00523F2B"/>
    <w:rsid w:val="005242EC"/>
    <w:rsid w:val="00524641"/>
    <w:rsid w:val="00524F75"/>
    <w:rsid w:val="005255CB"/>
    <w:rsid w:val="00525761"/>
    <w:rsid w:val="00525A10"/>
    <w:rsid w:val="0053001A"/>
    <w:rsid w:val="005300AF"/>
    <w:rsid w:val="0053060F"/>
    <w:rsid w:val="00530698"/>
    <w:rsid w:val="00530706"/>
    <w:rsid w:val="00530A9A"/>
    <w:rsid w:val="00530ACA"/>
    <w:rsid w:val="005311D2"/>
    <w:rsid w:val="005312AB"/>
    <w:rsid w:val="00531681"/>
    <w:rsid w:val="00531828"/>
    <w:rsid w:val="005329B5"/>
    <w:rsid w:val="00533625"/>
    <w:rsid w:val="00533F12"/>
    <w:rsid w:val="005340DC"/>
    <w:rsid w:val="00534E19"/>
    <w:rsid w:val="00535017"/>
    <w:rsid w:val="00535489"/>
    <w:rsid w:val="005354D3"/>
    <w:rsid w:val="0053608E"/>
    <w:rsid w:val="005368CB"/>
    <w:rsid w:val="00540213"/>
    <w:rsid w:val="005403FC"/>
    <w:rsid w:val="005407DC"/>
    <w:rsid w:val="00542CA2"/>
    <w:rsid w:val="00542E6D"/>
    <w:rsid w:val="00543BEB"/>
    <w:rsid w:val="00544704"/>
    <w:rsid w:val="005459CF"/>
    <w:rsid w:val="005469A1"/>
    <w:rsid w:val="00550482"/>
    <w:rsid w:val="005516BC"/>
    <w:rsid w:val="005518F3"/>
    <w:rsid w:val="00551A53"/>
    <w:rsid w:val="00551BE3"/>
    <w:rsid w:val="00551C37"/>
    <w:rsid w:val="0055266C"/>
    <w:rsid w:val="0055482B"/>
    <w:rsid w:val="005556DC"/>
    <w:rsid w:val="0055736C"/>
    <w:rsid w:val="0055757E"/>
    <w:rsid w:val="0055787A"/>
    <w:rsid w:val="00560132"/>
    <w:rsid w:val="005606ED"/>
    <w:rsid w:val="00560817"/>
    <w:rsid w:val="00560E5F"/>
    <w:rsid w:val="00561164"/>
    <w:rsid w:val="00561B66"/>
    <w:rsid w:val="00561D71"/>
    <w:rsid w:val="00562159"/>
    <w:rsid w:val="005621B8"/>
    <w:rsid w:val="005623C1"/>
    <w:rsid w:val="0056244A"/>
    <w:rsid w:val="00562681"/>
    <w:rsid w:val="005627C7"/>
    <w:rsid w:val="00562F03"/>
    <w:rsid w:val="00565398"/>
    <w:rsid w:val="00565F27"/>
    <w:rsid w:val="0056605A"/>
    <w:rsid w:val="00566F55"/>
    <w:rsid w:val="00566FFA"/>
    <w:rsid w:val="005671BE"/>
    <w:rsid w:val="0056783C"/>
    <w:rsid w:val="00567A3C"/>
    <w:rsid w:val="00567BB6"/>
    <w:rsid w:val="005701A2"/>
    <w:rsid w:val="0057022A"/>
    <w:rsid w:val="00570560"/>
    <w:rsid w:val="00570694"/>
    <w:rsid w:val="00570B3E"/>
    <w:rsid w:val="00570BDD"/>
    <w:rsid w:val="00571A05"/>
    <w:rsid w:val="005726C0"/>
    <w:rsid w:val="00573995"/>
    <w:rsid w:val="00574642"/>
    <w:rsid w:val="00574B64"/>
    <w:rsid w:val="0057670C"/>
    <w:rsid w:val="00577A3B"/>
    <w:rsid w:val="00580DE1"/>
    <w:rsid w:val="00581D29"/>
    <w:rsid w:val="00582122"/>
    <w:rsid w:val="00582D52"/>
    <w:rsid w:val="0058317B"/>
    <w:rsid w:val="005833E6"/>
    <w:rsid w:val="005845FD"/>
    <w:rsid w:val="00584A8A"/>
    <w:rsid w:val="00584EBD"/>
    <w:rsid w:val="0058502B"/>
    <w:rsid w:val="0058512D"/>
    <w:rsid w:val="00585281"/>
    <w:rsid w:val="00585AB5"/>
    <w:rsid w:val="00586765"/>
    <w:rsid w:val="00587B1C"/>
    <w:rsid w:val="00591A00"/>
    <w:rsid w:val="00591CA5"/>
    <w:rsid w:val="00592092"/>
    <w:rsid w:val="00592106"/>
    <w:rsid w:val="005933F9"/>
    <w:rsid w:val="00593E7B"/>
    <w:rsid w:val="00594AC2"/>
    <w:rsid w:val="00594BCB"/>
    <w:rsid w:val="00595E68"/>
    <w:rsid w:val="00595FF9"/>
    <w:rsid w:val="005965A5"/>
    <w:rsid w:val="005A004F"/>
    <w:rsid w:val="005A0A68"/>
    <w:rsid w:val="005A0EB4"/>
    <w:rsid w:val="005A184B"/>
    <w:rsid w:val="005A20B3"/>
    <w:rsid w:val="005A24CD"/>
    <w:rsid w:val="005A3CA5"/>
    <w:rsid w:val="005A4987"/>
    <w:rsid w:val="005A4A41"/>
    <w:rsid w:val="005A4AFC"/>
    <w:rsid w:val="005A52A6"/>
    <w:rsid w:val="005A5D3D"/>
    <w:rsid w:val="005A64A7"/>
    <w:rsid w:val="005B00AD"/>
    <w:rsid w:val="005B01D9"/>
    <w:rsid w:val="005B04E0"/>
    <w:rsid w:val="005B1B23"/>
    <w:rsid w:val="005B3813"/>
    <w:rsid w:val="005B546A"/>
    <w:rsid w:val="005B5934"/>
    <w:rsid w:val="005B5B2A"/>
    <w:rsid w:val="005B6B35"/>
    <w:rsid w:val="005B6DB4"/>
    <w:rsid w:val="005B7570"/>
    <w:rsid w:val="005B7B61"/>
    <w:rsid w:val="005C0327"/>
    <w:rsid w:val="005C051A"/>
    <w:rsid w:val="005C0A05"/>
    <w:rsid w:val="005C10E6"/>
    <w:rsid w:val="005C17AD"/>
    <w:rsid w:val="005C1814"/>
    <w:rsid w:val="005C233B"/>
    <w:rsid w:val="005C298B"/>
    <w:rsid w:val="005C2D35"/>
    <w:rsid w:val="005C34A0"/>
    <w:rsid w:val="005C3A15"/>
    <w:rsid w:val="005C421C"/>
    <w:rsid w:val="005C475C"/>
    <w:rsid w:val="005C539B"/>
    <w:rsid w:val="005C67D4"/>
    <w:rsid w:val="005C6DCF"/>
    <w:rsid w:val="005C78D4"/>
    <w:rsid w:val="005C79D2"/>
    <w:rsid w:val="005D0D9E"/>
    <w:rsid w:val="005D135B"/>
    <w:rsid w:val="005D1410"/>
    <w:rsid w:val="005D18CE"/>
    <w:rsid w:val="005D1F22"/>
    <w:rsid w:val="005D3372"/>
    <w:rsid w:val="005D3E3F"/>
    <w:rsid w:val="005D40B3"/>
    <w:rsid w:val="005D4150"/>
    <w:rsid w:val="005D42AC"/>
    <w:rsid w:val="005D44FE"/>
    <w:rsid w:val="005D471C"/>
    <w:rsid w:val="005D635E"/>
    <w:rsid w:val="005D70C3"/>
    <w:rsid w:val="005D7980"/>
    <w:rsid w:val="005E01E3"/>
    <w:rsid w:val="005E0233"/>
    <w:rsid w:val="005E0E99"/>
    <w:rsid w:val="005E111A"/>
    <w:rsid w:val="005E1AB4"/>
    <w:rsid w:val="005E209A"/>
    <w:rsid w:val="005E3C9F"/>
    <w:rsid w:val="005E46AC"/>
    <w:rsid w:val="005E54B2"/>
    <w:rsid w:val="005E5FBA"/>
    <w:rsid w:val="005E663F"/>
    <w:rsid w:val="005F3096"/>
    <w:rsid w:val="005F3259"/>
    <w:rsid w:val="005F3E77"/>
    <w:rsid w:val="005F572E"/>
    <w:rsid w:val="005F5F71"/>
    <w:rsid w:val="005F5FB2"/>
    <w:rsid w:val="005F6FCC"/>
    <w:rsid w:val="005F74AF"/>
    <w:rsid w:val="0060082B"/>
    <w:rsid w:val="00601314"/>
    <w:rsid w:val="00601E97"/>
    <w:rsid w:val="00601FE6"/>
    <w:rsid w:val="00602707"/>
    <w:rsid w:val="006047AC"/>
    <w:rsid w:val="006052C4"/>
    <w:rsid w:val="00606F2B"/>
    <w:rsid w:val="00607233"/>
    <w:rsid w:val="00607829"/>
    <w:rsid w:val="006078F0"/>
    <w:rsid w:val="00610691"/>
    <w:rsid w:val="00611243"/>
    <w:rsid w:val="00611407"/>
    <w:rsid w:val="006115E3"/>
    <w:rsid w:val="00612122"/>
    <w:rsid w:val="0061294E"/>
    <w:rsid w:val="00612ABB"/>
    <w:rsid w:val="00614D23"/>
    <w:rsid w:val="006152A4"/>
    <w:rsid w:val="00615890"/>
    <w:rsid w:val="006159C6"/>
    <w:rsid w:val="006163D6"/>
    <w:rsid w:val="006204E0"/>
    <w:rsid w:val="006211AD"/>
    <w:rsid w:val="0062189A"/>
    <w:rsid w:val="00621B4A"/>
    <w:rsid w:val="006223AC"/>
    <w:rsid w:val="00622743"/>
    <w:rsid w:val="00622A1D"/>
    <w:rsid w:val="00622ED1"/>
    <w:rsid w:val="006236E0"/>
    <w:rsid w:val="006238CA"/>
    <w:rsid w:val="006239CC"/>
    <w:rsid w:val="006239F9"/>
    <w:rsid w:val="00623C9E"/>
    <w:rsid w:val="00623D63"/>
    <w:rsid w:val="00623E62"/>
    <w:rsid w:val="00624634"/>
    <w:rsid w:val="0062573C"/>
    <w:rsid w:val="0062653B"/>
    <w:rsid w:val="00626E7B"/>
    <w:rsid w:val="0062711C"/>
    <w:rsid w:val="006274AF"/>
    <w:rsid w:val="00627CC7"/>
    <w:rsid w:val="00630A81"/>
    <w:rsid w:val="006317DC"/>
    <w:rsid w:val="006323F3"/>
    <w:rsid w:val="00632DDC"/>
    <w:rsid w:val="00633B01"/>
    <w:rsid w:val="00633D2E"/>
    <w:rsid w:val="00633E27"/>
    <w:rsid w:val="00633E59"/>
    <w:rsid w:val="00635D55"/>
    <w:rsid w:val="00635FB8"/>
    <w:rsid w:val="006366A2"/>
    <w:rsid w:val="00637897"/>
    <w:rsid w:val="0064006B"/>
    <w:rsid w:val="00640813"/>
    <w:rsid w:val="00640C2E"/>
    <w:rsid w:val="00641D83"/>
    <w:rsid w:val="00642143"/>
    <w:rsid w:val="00642D38"/>
    <w:rsid w:val="00642DA6"/>
    <w:rsid w:val="00643204"/>
    <w:rsid w:val="00643705"/>
    <w:rsid w:val="0064418F"/>
    <w:rsid w:val="00644B03"/>
    <w:rsid w:val="006451A0"/>
    <w:rsid w:val="006459B9"/>
    <w:rsid w:val="006459CC"/>
    <w:rsid w:val="00645A77"/>
    <w:rsid w:val="00646358"/>
    <w:rsid w:val="00646BC4"/>
    <w:rsid w:val="00647469"/>
    <w:rsid w:val="0064750C"/>
    <w:rsid w:val="00647661"/>
    <w:rsid w:val="0065080C"/>
    <w:rsid w:val="006539A1"/>
    <w:rsid w:val="00653A8B"/>
    <w:rsid w:val="00653CBF"/>
    <w:rsid w:val="00653D81"/>
    <w:rsid w:val="00654C94"/>
    <w:rsid w:val="00654D69"/>
    <w:rsid w:val="00655402"/>
    <w:rsid w:val="0065552D"/>
    <w:rsid w:val="00655667"/>
    <w:rsid w:val="00656716"/>
    <w:rsid w:val="00657F55"/>
    <w:rsid w:val="006602B0"/>
    <w:rsid w:val="006607CF"/>
    <w:rsid w:val="00661CA0"/>
    <w:rsid w:val="00662A2F"/>
    <w:rsid w:val="00663DA8"/>
    <w:rsid w:val="00663DB0"/>
    <w:rsid w:val="0066425F"/>
    <w:rsid w:val="00664623"/>
    <w:rsid w:val="00664716"/>
    <w:rsid w:val="0066483F"/>
    <w:rsid w:val="00664EEB"/>
    <w:rsid w:val="0066526F"/>
    <w:rsid w:val="006652B3"/>
    <w:rsid w:val="006653CA"/>
    <w:rsid w:val="00665AE5"/>
    <w:rsid w:val="00665C9F"/>
    <w:rsid w:val="00666A4F"/>
    <w:rsid w:val="00667B97"/>
    <w:rsid w:val="00667DE7"/>
    <w:rsid w:val="00670AA4"/>
    <w:rsid w:val="00671A44"/>
    <w:rsid w:val="00671BBD"/>
    <w:rsid w:val="00671CEB"/>
    <w:rsid w:val="00671DF9"/>
    <w:rsid w:val="00671E8F"/>
    <w:rsid w:val="00671F5D"/>
    <w:rsid w:val="0067261A"/>
    <w:rsid w:val="006731F0"/>
    <w:rsid w:val="0067422F"/>
    <w:rsid w:val="00676EF0"/>
    <w:rsid w:val="00681648"/>
    <w:rsid w:val="006827A9"/>
    <w:rsid w:val="00683313"/>
    <w:rsid w:val="0068345D"/>
    <w:rsid w:val="00684083"/>
    <w:rsid w:val="00684329"/>
    <w:rsid w:val="006845F5"/>
    <w:rsid w:val="0068496E"/>
    <w:rsid w:val="006854A8"/>
    <w:rsid w:val="006858DE"/>
    <w:rsid w:val="00685A31"/>
    <w:rsid w:val="00687377"/>
    <w:rsid w:val="006873BE"/>
    <w:rsid w:val="00687917"/>
    <w:rsid w:val="0069037E"/>
    <w:rsid w:val="00690953"/>
    <w:rsid w:val="00691521"/>
    <w:rsid w:val="00692290"/>
    <w:rsid w:val="00692557"/>
    <w:rsid w:val="0069344A"/>
    <w:rsid w:val="00693B83"/>
    <w:rsid w:val="00693CD4"/>
    <w:rsid w:val="00694B47"/>
    <w:rsid w:val="006950DE"/>
    <w:rsid w:val="00695460"/>
    <w:rsid w:val="006959FA"/>
    <w:rsid w:val="00695D98"/>
    <w:rsid w:val="0069633F"/>
    <w:rsid w:val="00696B61"/>
    <w:rsid w:val="0069782B"/>
    <w:rsid w:val="00697BED"/>
    <w:rsid w:val="00697C00"/>
    <w:rsid w:val="006A090A"/>
    <w:rsid w:val="006A0D22"/>
    <w:rsid w:val="006A0FAB"/>
    <w:rsid w:val="006A126B"/>
    <w:rsid w:val="006A12BC"/>
    <w:rsid w:val="006A2834"/>
    <w:rsid w:val="006A3282"/>
    <w:rsid w:val="006A3DC2"/>
    <w:rsid w:val="006A3E66"/>
    <w:rsid w:val="006A4FE4"/>
    <w:rsid w:val="006A526E"/>
    <w:rsid w:val="006A5646"/>
    <w:rsid w:val="006A5680"/>
    <w:rsid w:val="006A57A1"/>
    <w:rsid w:val="006A5824"/>
    <w:rsid w:val="006A6230"/>
    <w:rsid w:val="006A6AE5"/>
    <w:rsid w:val="006A7574"/>
    <w:rsid w:val="006B0391"/>
    <w:rsid w:val="006B09DC"/>
    <w:rsid w:val="006B1CF8"/>
    <w:rsid w:val="006B230B"/>
    <w:rsid w:val="006B475C"/>
    <w:rsid w:val="006B4AB1"/>
    <w:rsid w:val="006B5AB7"/>
    <w:rsid w:val="006B5D72"/>
    <w:rsid w:val="006B6229"/>
    <w:rsid w:val="006B68DD"/>
    <w:rsid w:val="006B7258"/>
    <w:rsid w:val="006B753C"/>
    <w:rsid w:val="006C0018"/>
    <w:rsid w:val="006C057C"/>
    <w:rsid w:val="006C0D02"/>
    <w:rsid w:val="006C1036"/>
    <w:rsid w:val="006C1A3D"/>
    <w:rsid w:val="006C1A59"/>
    <w:rsid w:val="006C1E7B"/>
    <w:rsid w:val="006C2A92"/>
    <w:rsid w:val="006C335B"/>
    <w:rsid w:val="006C3A7E"/>
    <w:rsid w:val="006C45A5"/>
    <w:rsid w:val="006C47DD"/>
    <w:rsid w:val="006C48AD"/>
    <w:rsid w:val="006C57DB"/>
    <w:rsid w:val="006C6F5F"/>
    <w:rsid w:val="006D045B"/>
    <w:rsid w:val="006D2F2E"/>
    <w:rsid w:val="006D322D"/>
    <w:rsid w:val="006D361A"/>
    <w:rsid w:val="006D3788"/>
    <w:rsid w:val="006D3FE2"/>
    <w:rsid w:val="006D4A78"/>
    <w:rsid w:val="006D4B54"/>
    <w:rsid w:val="006D5C20"/>
    <w:rsid w:val="006D6CF3"/>
    <w:rsid w:val="006D7B5B"/>
    <w:rsid w:val="006D7F9D"/>
    <w:rsid w:val="006E0055"/>
    <w:rsid w:val="006E037B"/>
    <w:rsid w:val="006E22C0"/>
    <w:rsid w:val="006E2422"/>
    <w:rsid w:val="006E272E"/>
    <w:rsid w:val="006E3102"/>
    <w:rsid w:val="006E3720"/>
    <w:rsid w:val="006E3D4E"/>
    <w:rsid w:val="006E480E"/>
    <w:rsid w:val="006E4FB8"/>
    <w:rsid w:val="006E574C"/>
    <w:rsid w:val="006E5C68"/>
    <w:rsid w:val="006E5F7A"/>
    <w:rsid w:val="006F0448"/>
    <w:rsid w:val="006F0487"/>
    <w:rsid w:val="006F09FD"/>
    <w:rsid w:val="006F0A45"/>
    <w:rsid w:val="006F0C50"/>
    <w:rsid w:val="006F184A"/>
    <w:rsid w:val="006F18F8"/>
    <w:rsid w:val="006F3279"/>
    <w:rsid w:val="006F331C"/>
    <w:rsid w:val="006F363F"/>
    <w:rsid w:val="006F5BC3"/>
    <w:rsid w:val="006F704E"/>
    <w:rsid w:val="006F7C44"/>
    <w:rsid w:val="00701330"/>
    <w:rsid w:val="007017B2"/>
    <w:rsid w:val="00701A80"/>
    <w:rsid w:val="00702E9C"/>
    <w:rsid w:val="00702FDB"/>
    <w:rsid w:val="007034A0"/>
    <w:rsid w:val="00706142"/>
    <w:rsid w:val="00706309"/>
    <w:rsid w:val="007067AD"/>
    <w:rsid w:val="00706BDA"/>
    <w:rsid w:val="00706CBD"/>
    <w:rsid w:val="0070727F"/>
    <w:rsid w:val="007077DE"/>
    <w:rsid w:val="007103B3"/>
    <w:rsid w:val="00710858"/>
    <w:rsid w:val="00710ADC"/>
    <w:rsid w:val="00711E47"/>
    <w:rsid w:val="00712AAC"/>
    <w:rsid w:val="0071314A"/>
    <w:rsid w:val="007136A7"/>
    <w:rsid w:val="00713FFE"/>
    <w:rsid w:val="0071446C"/>
    <w:rsid w:val="007147CC"/>
    <w:rsid w:val="007154E3"/>
    <w:rsid w:val="00717295"/>
    <w:rsid w:val="00717FCD"/>
    <w:rsid w:val="0072011A"/>
    <w:rsid w:val="00720593"/>
    <w:rsid w:val="0072065C"/>
    <w:rsid w:val="00721BBE"/>
    <w:rsid w:val="007221D9"/>
    <w:rsid w:val="00723A98"/>
    <w:rsid w:val="00724228"/>
    <w:rsid w:val="00724929"/>
    <w:rsid w:val="00724A41"/>
    <w:rsid w:val="00724BF6"/>
    <w:rsid w:val="00724CE5"/>
    <w:rsid w:val="00724E70"/>
    <w:rsid w:val="00725470"/>
    <w:rsid w:val="00725FF8"/>
    <w:rsid w:val="007270EC"/>
    <w:rsid w:val="00727646"/>
    <w:rsid w:val="00730036"/>
    <w:rsid w:val="007301C2"/>
    <w:rsid w:val="00730FF2"/>
    <w:rsid w:val="00731670"/>
    <w:rsid w:val="00731BA1"/>
    <w:rsid w:val="00731D79"/>
    <w:rsid w:val="007327FF"/>
    <w:rsid w:val="00732E56"/>
    <w:rsid w:val="00732E8C"/>
    <w:rsid w:val="00733A91"/>
    <w:rsid w:val="00735A07"/>
    <w:rsid w:val="00736B73"/>
    <w:rsid w:val="00737168"/>
    <w:rsid w:val="00737E1F"/>
    <w:rsid w:val="00740460"/>
    <w:rsid w:val="0074062C"/>
    <w:rsid w:val="00740755"/>
    <w:rsid w:val="00740854"/>
    <w:rsid w:val="007410D5"/>
    <w:rsid w:val="00742999"/>
    <w:rsid w:val="00742B39"/>
    <w:rsid w:val="00743774"/>
    <w:rsid w:val="007437EA"/>
    <w:rsid w:val="00743EDC"/>
    <w:rsid w:val="00744077"/>
    <w:rsid w:val="00744638"/>
    <w:rsid w:val="007451D1"/>
    <w:rsid w:val="0074568F"/>
    <w:rsid w:val="00745BDA"/>
    <w:rsid w:val="00745F06"/>
    <w:rsid w:val="00746488"/>
    <w:rsid w:val="007465D2"/>
    <w:rsid w:val="00746699"/>
    <w:rsid w:val="0074677E"/>
    <w:rsid w:val="0074685C"/>
    <w:rsid w:val="00747061"/>
    <w:rsid w:val="007470C3"/>
    <w:rsid w:val="00747155"/>
    <w:rsid w:val="007474AD"/>
    <w:rsid w:val="007474FE"/>
    <w:rsid w:val="00751B9A"/>
    <w:rsid w:val="007521EA"/>
    <w:rsid w:val="007543BB"/>
    <w:rsid w:val="007568A5"/>
    <w:rsid w:val="00757680"/>
    <w:rsid w:val="007603D5"/>
    <w:rsid w:val="0076040A"/>
    <w:rsid w:val="007607C7"/>
    <w:rsid w:val="00760A36"/>
    <w:rsid w:val="007611EF"/>
    <w:rsid w:val="007619D0"/>
    <w:rsid w:val="0076214E"/>
    <w:rsid w:val="00762304"/>
    <w:rsid w:val="0076301D"/>
    <w:rsid w:val="007635E3"/>
    <w:rsid w:val="0076376F"/>
    <w:rsid w:val="00765266"/>
    <w:rsid w:val="00765F8D"/>
    <w:rsid w:val="00766439"/>
    <w:rsid w:val="007666F4"/>
    <w:rsid w:val="00766984"/>
    <w:rsid w:val="00766A90"/>
    <w:rsid w:val="00767483"/>
    <w:rsid w:val="00767491"/>
    <w:rsid w:val="00767598"/>
    <w:rsid w:val="00771335"/>
    <w:rsid w:val="00773406"/>
    <w:rsid w:val="00773C84"/>
    <w:rsid w:val="0077420A"/>
    <w:rsid w:val="007744FC"/>
    <w:rsid w:val="00774F69"/>
    <w:rsid w:val="00775D90"/>
    <w:rsid w:val="00776442"/>
    <w:rsid w:val="00776AA7"/>
    <w:rsid w:val="00776E13"/>
    <w:rsid w:val="00777619"/>
    <w:rsid w:val="00781D8F"/>
    <w:rsid w:val="00782662"/>
    <w:rsid w:val="007829BE"/>
    <w:rsid w:val="00783759"/>
    <w:rsid w:val="00783F09"/>
    <w:rsid w:val="0078423E"/>
    <w:rsid w:val="00784307"/>
    <w:rsid w:val="00784540"/>
    <w:rsid w:val="00784D33"/>
    <w:rsid w:val="0078544E"/>
    <w:rsid w:val="00785BB0"/>
    <w:rsid w:val="00785ED4"/>
    <w:rsid w:val="00786E90"/>
    <w:rsid w:val="0078739F"/>
    <w:rsid w:val="007873F7"/>
    <w:rsid w:val="00791B25"/>
    <w:rsid w:val="00791D58"/>
    <w:rsid w:val="00791E85"/>
    <w:rsid w:val="00792EA4"/>
    <w:rsid w:val="00792F54"/>
    <w:rsid w:val="00793531"/>
    <w:rsid w:val="00793EB9"/>
    <w:rsid w:val="00795506"/>
    <w:rsid w:val="007962CB"/>
    <w:rsid w:val="00797ED3"/>
    <w:rsid w:val="007A0432"/>
    <w:rsid w:val="007A09DE"/>
    <w:rsid w:val="007A1C93"/>
    <w:rsid w:val="007A1E20"/>
    <w:rsid w:val="007A273A"/>
    <w:rsid w:val="007A2CD8"/>
    <w:rsid w:val="007A323B"/>
    <w:rsid w:val="007A379E"/>
    <w:rsid w:val="007A3B29"/>
    <w:rsid w:val="007A3DAD"/>
    <w:rsid w:val="007A3DE8"/>
    <w:rsid w:val="007A46F8"/>
    <w:rsid w:val="007A4CE6"/>
    <w:rsid w:val="007A4CEB"/>
    <w:rsid w:val="007A529E"/>
    <w:rsid w:val="007A5583"/>
    <w:rsid w:val="007A583B"/>
    <w:rsid w:val="007A5B91"/>
    <w:rsid w:val="007A62CE"/>
    <w:rsid w:val="007A6302"/>
    <w:rsid w:val="007A67B0"/>
    <w:rsid w:val="007A68D3"/>
    <w:rsid w:val="007A6FFE"/>
    <w:rsid w:val="007A737C"/>
    <w:rsid w:val="007A770A"/>
    <w:rsid w:val="007A77AC"/>
    <w:rsid w:val="007A78CA"/>
    <w:rsid w:val="007A7960"/>
    <w:rsid w:val="007B1B37"/>
    <w:rsid w:val="007B1BB4"/>
    <w:rsid w:val="007B54B7"/>
    <w:rsid w:val="007B5F3B"/>
    <w:rsid w:val="007B60D6"/>
    <w:rsid w:val="007B6265"/>
    <w:rsid w:val="007B65C0"/>
    <w:rsid w:val="007B6DF7"/>
    <w:rsid w:val="007B6E26"/>
    <w:rsid w:val="007B6EAB"/>
    <w:rsid w:val="007B7D06"/>
    <w:rsid w:val="007C01E6"/>
    <w:rsid w:val="007C066B"/>
    <w:rsid w:val="007C1DF7"/>
    <w:rsid w:val="007C3499"/>
    <w:rsid w:val="007C7286"/>
    <w:rsid w:val="007C73FF"/>
    <w:rsid w:val="007D0989"/>
    <w:rsid w:val="007D1393"/>
    <w:rsid w:val="007D2189"/>
    <w:rsid w:val="007D2BE3"/>
    <w:rsid w:val="007D2CAE"/>
    <w:rsid w:val="007D3E9D"/>
    <w:rsid w:val="007D4AE5"/>
    <w:rsid w:val="007D4CA5"/>
    <w:rsid w:val="007D4D2F"/>
    <w:rsid w:val="007D5EE6"/>
    <w:rsid w:val="007D6891"/>
    <w:rsid w:val="007D6AA0"/>
    <w:rsid w:val="007D6C1B"/>
    <w:rsid w:val="007D6E53"/>
    <w:rsid w:val="007D6F8E"/>
    <w:rsid w:val="007D7182"/>
    <w:rsid w:val="007D723C"/>
    <w:rsid w:val="007E0255"/>
    <w:rsid w:val="007E0A53"/>
    <w:rsid w:val="007E131A"/>
    <w:rsid w:val="007E13E3"/>
    <w:rsid w:val="007E163D"/>
    <w:rsid w:val="007E1689"/>
    <w:rsid w:val="007E1AAF"/>
    <w:rsid w:val="007E1ACF"/>
    <w:rsid w:val="007E2755"/>
    <w:rsid w:val="007E34FF"/>
    <w:rsid w:val="007E384A"/>
    <w:rsid w:val="007E3854"/>
    <w:rsid w:val="007E3CCD"/>
    <w:rsid w:val="007E42E9"/>
    <w:rsid w:val="007E6465"/>
    <w:rsid w:val="007E66F5"/>
    <w:rsid w:val="007E6A5F"/>
    <w:rsid w:val="007E6EA3"/>
    <w:rsid w:val="007E701F"/>
    <w:rsid w:val="007E753D"/>
    <w:rsid w:val="007E770D"/>
    <w:rsid w:val="007E7DD5"/>
    <w:rsid w:val="007F031C"/>
    <w:rsid w:val="007F06ED"/>
    <w:rsid w:val="007F0E8A"/>
    <w:rsid w:val="007F1594"/>
    <w:rsid w:val="007F1E4F"/>
    <w:rsid w:val="007F2AE5"/>
    <w:rsid w:val="007F31F7"/>
    <w:rsid w:val="007F42E2"/>
    <w:rsid w:val="007F5E7A"/>
    <w:rsid w:val="007F6DAC"/>
    <w:rsid w:val="007F785E"/>
    <w:rsid w:val="007F7B66"/>
    <w:rsid w:val="008003FB"/>
    <w:rsid w:val="008023DB"/>
    <w:rsid w:val="0080289C"/>
    <w:rsid w:val="00802C14"/>
    <w:rsid w:val="008033CF"/>
    <w:rsid w:val="00803B46"/>
    <w:rsid w:val="008041DE"/>
    <w:rsid w:val="00804269"/>
    <w:rsid w:val="00805949"/>
    <w:rsid w:val="008066BE"/>
    <w:rsid w:val="008069CF"/>
    <w:rsid w:val="00807B2F"/>
    <w:rsid w:val="00807FC3"/>
    <w:rsid w:val="008110F6"/>
    <w:rsid w:val="008114C4"/>
    <w:rsid w:val="00811807"/>
    <w:rsid w:val="00811BDE"/>
    <w:rsid w:val="00812637"/>
    <w:rsid w:val="00812BAA"/>
    <w:rsid w:val="00812EE2"/>
    <w:rsid w:val="00813312"/>
    <w:rsid w:val="008133E9"/>
    <w:rsid w:val="008139CB"/>
    <w:rsid w:val="00813A2C"/>
    <w:rsid w:val="00815831"/>
    <w:rsid w:val="00815C8F"/>
    <w:rsid w:val="00815CC2"/>
    <w:rsid w:val="0081653B"/>
    <w:rsid w:val="00816B72"/>
    <w:rsid w:val="008174B3"/>
    <w:rsid w:val="00817832"/>
    <w:rsid w:val="00821663"/>
    <w:rsid w:val="00821724"/>
    <w:rsid w:val="008217BC"/>
    <w:rsid w:val="008218E5"/>
    <w:rsid w:val="008221D2"/>
    <w:rsid w:val="00822BB3"/>
    <w:rsid w:val="00822F4C"/>
    <w:rsid w:val="008237F3"/>
    <w:rsid w:val="0082579B"/>
    <w:rsid w:val="0082585E"/>
    <w:rsid w:val="008260FE"/>
    <w:rsid w:val="00826638"/>
    <w:rsid w:val="00826B52"/>
    <w:rsid w:val="00826EBF"/>
    <w:rsid w:val="00827961"/>
    <w:rsid w:val="0083046B"/>
    <w:rsid w:val="00830EFF"/>
    <w:rsid w:val="00831927"/>
    <w:rsid w:val="00832A91"/>
    <w:rsid w:val="008333A1"/>
    <w:rsid w:val="00833E90"/>
    <w:rsid w:val="008347B0"/>
    <w:rsid w:val="00834D22"/>
    <w:rsid w:val="008351E2"/>
    <w:rsid w:val="008354FF"/>
    <w:rsid w:val="00835C79"/>
    <w:rsid w:val="008360F3"/>
    <w:rsid w:val="00836657"/>
    <w:rsid w:val="008366FA"/>
    <w:rsid w:val="00836DC9"/>
    <w:rsid w:val="00837020"/>
    <w:rsid w:val="008370F9"/>
    <w:rsid w:val="00837A14"/>
    <w:rsid w:val="00837AAA"/>
    <w:rsid w:val="00837C44"/>
    <w:rsid w:val="0084022E"/>
    <w:rsid w:val="00840D0E"/>
    <w:rsid w:val="00840D9B"/>
    <w:rsid w:val="0084203C"/>
    <w:rsid w:val="008420D4"/>
    <w:rsid w:val="00842EE5"/>
    <w:rsid w:val="00842F07"/>
    <w:rsid w:val="008443FC"/>
    <w:rsid w:val="008444A1"/>
    <w:rsid w:val="0084671D"/>
    <w:rsid w:val="0084792D"/>
    <w:rsid w:val="00847EDA"/>
    <w:rsid w:val="00847F35"/>
    <w:rsid w:val="008519F8"/>
    <w:rsid w:val="00851C8B"/>
    <w:rsid w:val="00852421"/>
    <w:rsid w:val="00852767"/>
    <w:rsid w:val="008527D6"/>
    <w:rsid w:val="00852B88"/>
    <w:rsid w:val="00852FA3"/>
    <w:rsid w:val="00853EDC"/>
    <w:rsid w:val="008542E1"/>
    <w:rsid w:val="0085433B"/>
    <w:rsid w:val="008545BF"/>
    <w:rsid w:val="00854A37"/>
    <w:rsid w:val="00854F1F"/>
    <w:rsid w:val="00855141"/>
    <w:rsid w:val="008556C5"/>
    <w:rsid w:val="008558CE"/>
    <w:rsid w:val="00855D6C"/>
    <w:rsid w:val="00855EC9"/>
    <w:rsid w:val="0085631E"/>
    <w:rsid w:val="00856998"/>
    <w:rsid w:val="00856EF6"/>
    <w:rsid w:val="00860124"/>
    <w:rsid w:val="00860144"/>
    <w:rsid w:val="00860FBE"/>
    <w:rsid w:val="00862088"/>
    <w:rsid w:val="008626AA"/>
    <w:rsid w:val="00862B04"/>
    <w:rsid w:val="00863E55"/>
    <w:rsid w:val="00864726"/>
    <w:rsid w:val="00865B00"/>
    <w:rsid w:val="00867B49"/>
    <w:rsid w:val="00867C77"/>
    <w:rsid w:val="00871445"/>
    <w:rsid w:val="00871703"/>
    <w:rsid w:val="00872EFD"/>
    <w:rsid w:val="00873228"/>
    <w:rsid w:val="00873C41"/>
    <w:rsid w:val="00874A3E"/>
    <w:rsid w:val="00875AD1"/>
    <w:rsid w:val="00876CF0"/>
    <w:rsid w:val="00876E75"/>
    <w:rsid w:val="0087767C"/>
    <w:rsid w:val="00877BA4"/>
    <w:rsid w:val="008816A0"/>
    <w:rsid w:val="008819B4"/>
    <w:rsid w:val="00882040"/>
    <w:rsid w:val="0088396E"/>
    <w:rsid w:val="00884012"/>
    <w:rsid w:val="0088477E"/>
    <w:rsid w:val="008848FE"/>
    <w:rsid w:val="00884956"/>
    <w:rsid w:val="00884D36"/>
    <w:rsid w:val="0088756B"/>
    <w:rsid w:val="008875A3"/>
    <w:rsid w:val="00887C06"/>
    <w:rsid w:val="00887F8A"/>
    <w:rsid w:val="008903A8"/>
    <w:rsid w:val="00890E9C"/>
    <w:rsid w:val="008914B1"/>
    <w:rsid w:val="00891B6C"/>
    <w:rsid w:val="008946CE"/>
    <w:rsid w:val="008947B2"/>
    <w:rsid w:val="00895137"/>
    <w:rsid w:val="008953A3"/>
    <w:rsid w:val="00895C1B"/>
    <w:rsid w:val="00895CD6"/>
    <w:rsid w:val="00895F64"/>
    <w:rsid w:val="008964F4"/>
    <w:rsid w:val="008966FE"/>
    <w:rsid w:val="00896B97"/>
    <w:rsid w:val="0089779B"/>
    <w:rsid w:val="008979D4"/>
    <w:rsid w:val="008A12AB"/>
    <w:rsid w:val="008A14BF"/>
    <w:rsid w:val="008A1568"/>
    <w:rsid w:val="008A1CCA"/>
    <w:rsid w:val="008A1DE5"/>
    <w:rsid w:val="008A20AD"/>
    <w:rsid w:val="008A2849"/>
    <w:rsid w:val="008A48AA"/>
    <w:rsid w:val="008A58C5"/>
    <w:rsid w:val="008A5A56"/>
    <w:rsid w:val="008A5B9A"/>
    <w:rsid w:val="008A6F70"/>
    <w:rsid w:val="008B0271"/>
    <w:rsid w:val="008B0A33"/>
    <w:rsid w:val="008B1221"/>
    <w:rsid w:val="008B1F84"/>
    <w:rsid w:val="008B24A9"/>
    <w:rsid w:val="008B2E6D"/>
    <w:rsid w:val="008B3904"/>
    <w:rsid w:val="008B3B5E"/>
    <w:rsid w:val="008B3C3F"/>
    <w:rsid w:val="008B4CB5"/>
    <w:rsid w:val="008B605A"/>
    <w:rsid w:val="008B6487"/>
    <w:rsid w:val="008B7387"/>
    <w:rsid w:val="008B7BCC"/>
    <w:rsid w:val="008B7C88"/>
    <w:rsid w:val="008C094D"/>
    <w:rsid w:val="008C2B7F"/>
    <w:rsid w:val="008C2C80"/>
    <w:rsid w:val="008C36EA"/>
    <w:rsid w:val="008C484F"/>
    <w:rsid w:val="008C5626"/>
    <w:rsid w:val="008C57F6"/>
    <w:rsid w:val="008C5A72"/>
    <w:rsid w:val="008C5CF2"/>
    <w:rsid w:val="008C6D92"/>
    <w:rsid w:val="008C74AD"/>
    <w:rsid w:val="008C7A01"/>
    <w:rsid w:val="008C7C0C"/>
    <w:rsid w:val="008D0230"/>
    <w:rsid w:val="008D05F1"/>
    <w:rsid w:val="008D1425"/>
    <w:rsid w:val="008D1D33"/>
    <w:rsid w:val="008D2DC7"/>
    <w:rsid w:val="008D3291"/>
    <w:rsid w:val="008D38D5"/>
    <w:rsid w:val="008D3DBC"/>
    <w:rsid w:val="008D436F"/>
    <w:rsid w:val="008D55A9"/>
    <w:rsid w:val="008D6ABE"/>
    <w:rsid w:val="008D6C4D"/>
    <w:rsid w:val="008D6E71"/>
    <w:rsid w:val="008D7495"/>
    <w:rsid w:val="008D7A2E"/>
    <w:rsid w:val="008E0382"/>
    <w:rsid w:val="008E0CD7"/>
    <w:rsid w:val="008E0E4A"/>
    <w:rsid w:val="008E1883"/>
    <w:rsid w:val="008E2003"/>
    <w:rsid w:val="008E219D"/>
    <w:rsid w:val="008E22B5"/>
    <w:rsid w:val="008E2FD8"/>
    <w:rsid w:val="008E347C"/>
    <w:rsid w:val="008E3631"/>
    <w:rsid w:val="008E368C"/>
    <w:rsid w:val="008E4992"/>
    <w:rsid w:val="008E4C48"/>
    <w:rsid w:val="008E563E"/>
    <w:rsid w:val="008E6192"/>
    <w:rsid w:val="008E61D1"/>
    <w:rsid w:val="008E65D2"/>
    <w:rsid w:val="008E6687"/>
    <w:rsid w:val="008E6892"/>
    <w:rsid w:val="008E7638"/>
    <w:rsid w:val="008E79FE"/>
    <w:rsid w:val="008E7C20"/>
    <w:rsid w:val="008F0290"/>
    <w:rsid w:val="008F072D"/>
    <w:rsid w:val="008F1546"/>
    <w:rsid w:val="008F16B8"/>
    <w:rsid w:val="008F3399"/>
    <w:rsid w:val="008F33BB"/>
    <w:rsid w:val="008F34BD"/>
    <w:rsid w:val="008F3628"/>
    <w:rsid w:val="008F3DD7"/>
    <w:rsid w:val="008F57E9"/>
    <w:rsid w:val="008F713F"/>
    <w:rsid w:val="008F72D8"/>
    <w:rsid w:val="008F73A2"/>
    <w:rsid w:val="008F78CD"/>
    <w:rsid w:val="008F7E2A"/>
    <w:rsid w:val="009001BF"/>
    <w:rsid w:val="00900799"/>
    <w:rsid w:val="00900D05"/>
    <w:rsid w:val="00900ECF"/>
    <w:rsid w:val="00902091"/>
    <w:rsid w:val="00902213"/>
    <w:rsid w:val="009038BF"/>
    <w:rsid w:val="00904AAE"/>
    <w:rsid w:val="00904B17"/>
    <w:rsid w:val="009053FC"/>
    <w:rsid w:val="009054D5"/>
    <w:rsid w:val="00906895"/>
    <w:rsid w:val="00907E3F"/>
    <w:rsid w:val="00910058"/>
    <w:rsid w:val="00910279"/>
    <w:rsid w:val="00910371"/>
    <w:rsid w:val="00910525"/>
    <w:rsid w:val="009114FB"/>
    <w:rsid w:val="0091179A"/>
    <w:rsid w:val="00912695"/>
    <w:rsid w:val="00912C08"/>
    <w:rsid w:val="00912C72"/>
    <w:rsid w:val="00912D11"/>
    <w:rsid w:val="009131FD"/>
    <w:rsid w:val="00913AAF"/>
    <w:rsid w:val="00913D4E"/>
    <w:rsid w:val="0091487A"/>
    <w:rsid w:val="009162E2"/>
    <w:rsid w:val="00916A0F"/>
    <w:rsid w:val="00917359"/>
    <w:rsid w:val="009201A2"/>
    <w:rsid w:val="009202D8"/>
    <w:rsid w:val="00920496"/>
    <w:rsid w:val="00920524"/>
    <w:rsid w:val="00920720"/>
    <w:rsid w:val="00921939"/>
    <w:rsid w:val="00921E8D"/>
    <w:rsid w:val="00921F11"/>
    <w:rsid w:val="00922B97"/>
    <w:rsid w:val="00923503"/>
    <w:rsid w:val="009238F5"/>
    <w:rsid w:val="00924166"/>
    <w:rsid w:val="009241A2"/>
    <w:rsid w:val="00924878"/>
    <w:rsid w:val="00925821"/>
    <w:rsid w:val="00926217"/>
    <w:rsid w:val="0092764D"/>
    <w:rsid w:val="00927AEC"/>
    <w:rsid w:val="00927CB1"/>
    <w:rsid w:val="00927D23"/>
    <w:rsid w:val="0093003A"/>
    <w:rsid w:val="0093149E"/>
    <w:rsid w:val="0093197D"/>
    <w:rsid w:val="00931E50"/>
    <w:rsid w:val="00932185"/>
    <w:rsid w:val="00932269"/>
    <w:rsid w:val="00932E21"/>
    <w:rsid w:val="00933B8E"/>
    <w:rsid w:val="00935559"/>
    <w:rsid w:val="00935B46"/>
    <w:rsid w:val="009360D0"/>
    <w:rsid w:val="00936480"/>
    <w:rsid w:val="009365E3"/>
    <w:rsid w:val="009367BB"/>
    <w:rsid w:val="009377F8"/>
    <w:rsid w:val="00940807"/>
    <w:rsid w:val="00941230"/>
    <w:rsid w:val="0094136A"/>
    <w:rsid w:val="0094376E"/>
    <w:rsid w:val="00943C8F"/>
    <w:rsid w:val="00943E8F"/>
    <w:rsid w:val="00944DC6"/>
    <w:rsid w:val="009453BD"/>
    <w:rsid w:val="00945653"/>
    <w:rsid w:val="00945CF8"/>
    <w:rsid w:val="009469E5"/>
    <w:rsid w:val="0094755B"/>
    <w:rsid w:val="00947AD8"/>
    <w:rsid w:val="0095025F"/>
    <w:rsid w:val="009504B3"/>
    <w:rsid w:val="009505B3"/>
    <w:rsid w:val="00952193"/>
    <w:rsid w:val="00952A15"/>
    <w:rsid w:val="00952B58"/>
    <w:rsid w:val="0095323F"/>
    <w:rsid w:val="00953528"/>
    <w:rsid w:val="009540E2"/>
    <w:rsid w:val="00954105"/>
    <w:rsid w:val="00954D55"/>
    <w:rsid w:val="00954EB9"/>
    <w:rsid w:val="00955209"/>
    <w:rsid w:val="0095673A"/>
    <w:rsid w:val="00956BB3"/>
    <w:rsid w:val="00956C60"/>
    <w:rsid w:val="00956D43"/>
    <w:rsid w:val="009602A3"/>
    <w:rsid w:val="00960ADC"/>
    <w:rsid w:val="009617DC"/>
    <w:rsid w:val="00963021"/>
    <w:rsid w:val="0096352B"/>
    <w:rsid w:val="00964F8A"/>
    <w:rsid w:val="00966051"/>
    <w:rsid w:val="00966211"/>
    <w:rsid w:val="00967907"/>
    <w:rsid w:val="00967BDF"/>
    <w:rsid w:val="0097008D"/>
    <w:rsid w:val="009706A1"/>
    <w:rsid w:val="00970CA4"/>
    <w:rsid w:val="00970CE7"/>
    <w:rsid w:val="0097171C"/>
    <w:rsid w:val="0097203A"/>
    <w:rsid w:val="00972157"/>
    <w:rsid w:val="00972218"/>
    <w:rsid w:val="00972B18"/>
    <w:rsid w:val="00972D75"/>
    <w:rsid w:val="00972DF4"/>
    <w:rsid w:val="00972F4E"/>
    <w:rsid w:val="009732FC"/>
    <w:rsid w:val="00973929"/>
    <w:rsid w:val="00973CA1"/>
    <w:rsid w:val="00973E12"/>
    <w:rsid w:val="00974090"/>
    <w:rsid w:val="009740C5"/>
    <w:rsid w:val="00976057"/>
    <w:rsid w:val="00976097"/>
    <w:rsid w:val="009803F8"/>
    <w:rsid w:val="00981195"/>
    <w:rsid w:val="009812BD"/>
    <w:rsid w:val="00982156"/>
    <w:rsid w:val="009821B9"/>
    <w:rsid w:val="0098343E"/>
    <w:rsid w:val="0098403A"/>
    <w:rsid w:val="0098426E"/>
    <w:rsid w:val="00984686"/>
    <w:rsid w:val="00984A71"/>
    <w:rsid w:val="00985E62"/>
    <w:rsid w:val="00986E5E"/>
    <w:rsid w:val="0098737C"/>
    <w:rsid w:val="009877EB"/>
    <w:rsid w:val="00987AEE"/>
    <w:rsid w:val="00987DE9"/>
    <w:rsid w:val="00990EF6"/>
    <w:rsid w:val="009910DA"/>
    <w:rsid w:val="00992B5F"/>
    <w:rsid w:val="0099348C"/>
    <w:rsid w:val="00993B30"/>
    <w:rsid w:val="009946BC"/>
    <w:rsid w:val="00994909"/>
    <w:rsid w:val="00994ADD"/>
    <w:rsid w:val="009953EF"/>
    <w:rsid w:val="00995B7D"/>
    <w:rsid w:val="00995EBF"/>
    <w:rsid w:val="009962BC"/>
    <w:rsid w:val="00996939"/>
    <w:rsid w:val="00997720"/>
    <w:rsid w:val="00997D8D"/>
    <w:rsid w:val="009A0267"/>
    <w:rsid w:val="009A090E"/>
    <w:rsid w:val="009A0A99"/>
    <w:rsid w:val="009A192D"/>
    <w:rsid w:val="009A1B2D"/>
    <w:rsid w:val="009A1FF2"/>
    <w:rsid w:val="009A206D"/>
    <w:rsid w:val="009A23CE"/>
    <w:rsid w:val="009A388A"/>
    <w:rsid w:val="009A3B60"/>
    <w:rsid w:val="009A3F7A"/>
    <w:rsid w:val="009A40C3"/>
    <w:rsid w:val="009A43BF"/>
    <w:rsid w:val="009A4AA4"/>
    <w:rsid w:val="009A65C8"/>
    <w:rsid w:val="009A6C9A"/>
    <w:rsid w:val="009A6F5E"/>
    <w:rsid w:val="009A770D"/>
    <w:rsid w:val="009B051B"/>
    <w:rsid w:val="009B1086"/>
    <w:rsid w:val="009B1BE0"/>
    <w:rsid w:val="009B1EA0"/>
    <w:rsid w:val="009B204E"/>
    <w:rsid w:val="009B22D2"/>
    <w:rsid w:val="009B39AA"/>
    <w:rsid w:val="009B3A7E"/>
    <w:rsid w:val="009B45EF"/>
    <w:rsid w:val="009B483C"/>
    <w:rsid w:val="009B49C0"/>
    <w:rsid w:val="009B5386"/>
    <w:rsid w:val="009B647D"/>
    <w:rsid w:val="009B72CF"/>
    <w:rsid w:val="009C15BF"/>
    <w:rsid w:val="009C1683"/>
    <w:rsid w:val="009C1F5E"/>
    <w:rsid w:val="009C2D22"/>
    <w:rsid w:val="009C40DA"/>
    <w:rsid w:val="009C486B"/>
    <w:rsid w:val="009C716B"/>
    <w:rsid w:val="009C742C"/>
    <w:rsid w:val="009C773C"/>
    <w:rsid w:val="009C77E9"/>
    <w:rsid w:val="009C7C9B"/>
    <w:rsid w:val="009D147F"/>
    <w:rsid w:val="009D21EA"/>
    <w:rsid w:val="009D3478"/>
    <w:rsid w:val="009D3A37"/>
    <w:rsid w:val="009D3C98"/>
    <w:rsid w:val="009D3F76"/>
    <w:rsid w:val="009D41B7"/>
    <w:rsid w:val="009D465B"/>
    <w:rsid w:val="009D4D6D"/>
    <w:rsid w:val="009D52B2"/>
    <w:rsid w:val="009D547D"/>
    <w:rsid w:val="009D5693"/>
    <w:rsid w:val="009D5857"/>
    <w:rsid w:val="009D593B"/>
    <w:rsid w:val="009D77B6"/>
    <w:rsid w:val="009D7E64"/>
    <w:rsid w:val="009E22A8"/>
    <w:rsid w:val="009E3207"/>
    <w:rsid w:val="009E35F4"/>
    <w:rsid w:val="009E37ED"/>
    <w:rsid w:val="009E3D35"/>
    <w:rsid w:val="009E44FD"/>
    <w:rsid w:val="009E4B86"/>
    <w:rsid w:val="009E51A6"/>
    <w:rsid w:val="009E5850"/>
    <w:rsid w:val="009E5CB4"/>
    <w:rsid w:val="009E600C"/>
    <w:rsid w:val="009E7041"/>
    <w:rsid w:val="009E7246"/>
    <w:rsid w:val="009E7254"/>
    <w:rsid w:val="009E765D"/>
    <w:rsid w:val="009E7BC1"/>
    <w:rsid w:val="009E7D75"/>
    <w:rsid w:val="009E7F1D"/>
    <w:rsid w:val="009E7F52"/>
    <w:rsid w:val="009F13C7"/>
    <w:rsid w:val="009F1610"/>
    <w:rsid w:val="009F1BA1"/>
    <w:rsid w:val="009F206A"/>
    <w:rsid w:val="009F3697"/>
    <w:rsid w:val="009F3B0F"/>
    <w:rsid w:val="009F4652"/>
    <w:rsid w:val="009F4789"/>
    <w:rsid w:val="009F48B0"/>
    <w:rsid w:val="009F4E44"/>
    <w:rsid w:val="009F5EDD"/>
    <w:rsid w:val="009F6514"/>
    <w:rsid w:val="009F6AFE"/>
    <w:rsid w:val="009F6C93"/>
    <w:rsid w:val="009F70B0"/>
    <w:rsid w:val="009F7B36"/>
    <w:rsid w:val="00A008E1"/>
    <w:rsid w:val="00A015AB"/>
    <w:rsid w:val="00A01BD8"/>
    <w:rsid w:val="00A02687"/>
    <w:rsid w:val="00A02EFC"/>
    <w:rsid w:val="00A03BD3"/>
    <w:rsid w:val="00A050D4"/>
    <w:rsid w:val="00A05353"/>
    <w:rsid w:val="00A05517"/>
    <w:rsid w:val="00A05730"/>
    <w:rsid w:val="00A05E93"/>
    <w:rsid w:val="00A06FA2"/>
    <w:rsid w:val="00A0742F"/>
    <w:rsid w:val="00A07B49"/>
    <w:rsid w:val="00A12416"/>
    <w:rsid w:val="00A12984"/>
    <w:rsid w:val="00A12D3E"/>
    <w:rsid w:val="00A13517"/>
    <w:rsid w:val="00A14C5A"/>
    <w:rsid w:val="00A14E12"/>
    <w:rsid w:val="00A153B6"/>
    <w:rsid w:val="00A155E1"/>
    <w:rsid w:val="00A1564C"/>
    <w:rsid w:val="00A15D80"/>
    <w:rsid w:val="00A16649"/>
    <w:rsid w:val="00A17140"/>
    <w:rsid w:val="00A17907"/>
    <w:rsid w:val="00A20456"/>
    <w:rsid w:val="00A206F5"/>
    <w:rsid w:val="00A20D97"/>
    <w:rsid w:val="00A21E4E"/>
    <w:rsid w:val="00A224F8"/>
    <w:rsid w:val="00A236FE"/>
    <w:rsid w:val="00A241C0"/>
    <w:rsid w:val="00A24DCE"/>
    <w:rsid w:val="00A24F4C"/>
    <w:rsid w:val="00A251B9"/>
    <w:rsid w:val="00A25F3C"/>
    <w:rsid w:val="00A263AF"/>
    <w:rsid w:val="00A26403"/>
    <w:rsid w:val="00A26E4D"/>
    <w:rsid w:val="00A270A5"/>
    <w:rsid w:val="00A2781D"/>
    <w:rsid w:val="00A31540"/>
    <w:rsid w:val="00A320E3"/>
    <w:rsid w:val="00A33525"/>
    <w:rsid w:val="00A33573"/>
    <w:rsid w:val="00A33807"/>
    <w:rsid w:val="00A34710"/>
    <w:rsid w:val="00A34AB0"/>
    <w:rsid w:val="00A3611E"/>
    <w:rsid w:val="00A378A8"/>
    <w:rsid w:val="00A37BCE"/>
    <w:rsid w:val="00A37C16"/>
    <w:rsid w:val="00A40744"/>
    <w:rsid w:val="00A40811"/>
    <w:rsid w:val="00A4135B"/>
    <w:rsid w:val="00A41B0F"/>
    <w:rsid w:val="00A42249"/>
    <w:rsid w:val="00A42782"/>
    <w:rsid w:val="00A42944"/>
    <w:rsid w:val="00A45365"/>
    <w:rsid w:val="00A45FCF"/>
    <w:rsid w:val="00A47218"/>
    <w:rsid w:val="00A473B0"/>
    <w:rsid w:val="00A50A5E"/>
    <w:rsid w:val="00A51122"/>
    <w:rsid w:val="00A5233F"/>
    <w:rsid w:val="00A52661"/>
    <w:rsid w:val="00A526EE"/>
    <w:rsid w:val="00A52BF9"/>
    <w:rsid w:val="00A52C17"/>
    <w:rsid w:val="00A53E5E"/>
    <w:rsid w:val="00A5591C"/>
    <w:rsid w:val="00A57372"/>
    <w:rsid w:val="00A60628"/>
    <w:rsid w:val="00A60DEC"/>
    <w:rsid w:val="00A61004"/>
    <w:rsid w:val="00A61232"/>
    <w:rsid w:val="00A619D1"/>
    <w:rsid w:val="00A635CC"/>
    <w:rsid w:val="00A63FD1"/>
    <w:rsid w:val="00A6479F"/>
    <w:rsid w:val="00A64BCA"/>
    <w:rsid w:val="00A64EDF"/>
    <w:rsid w:val="00A65461"/>
    <w:rsid w:val="00A659F4"/>
    <w:rsid w:val="00A65D7B"/>
    <w:rsid w:val="00A66F46"/>
    <w:rsid w:val="00A66FEC"/>
    <w:rsid w:val="00A676A2"/>
    <w:rsid w:val="00A676FA"/>
    <w:rsid w:val="00A67938"/>
    <w:rsid w:val="00A67B04"/>
    <w:rsid w:val="00A67EA7"/>
    <w:rsid w:val="00A70B7A"/>
    <w:rsid w:val="00A70E96"/>
    <w:rsid w:val="00A70EA3"/>
    <w:rsid w:val="00A70F3C"/>
    <w:rsid w:val="00A72FBB"/>
    <w:rsid w:val="00A75915"/>
    <w:rsid w:val="00A77B61"/>
    <w:rsid w:val="00A77EA2"/>
    <w:rsid w:val="00A81BE5"/>
    <w:rsid w:val="00A8223D"/>
    <w:rsid w:val="00A82616"/>
    <w:rsid w:val="00A83299"/>
    <w:rsid w:val="00A85589"/>
    <w:rsid w:val="00A8574E"/>
    <w:rsid w:val="00A86002"/>
    <w:rsid w:val="00A87248"/>
    <w:rsid w:val="00A87A10"/>
    <w:rsid w:val="00A87FC1"/>
    <w:rsid w:val="00A928E6"/>
    <w:rsid w:val="00A930E5"/>
    <w:rsid w:val="00A940CE"/>
    <w:rsid w:val="00A963A9"/>
    <w:rsid w:val="00A96B13"/>
    <w:rsid w:val="00A9779E"/>
    <w:rsid w:val="00AA01E6"/>
    <w:rsid w:val="00AA09DD"/>
    <w:rsid w:val="00AA0D20"/>
    <w:rsid w:val="00AA1305"/>
    <w:rsid w:val="00AA16B3"/>
    <w:rsid w:val="00AA20D5"/>
    <w:rsid w:val="00AA2483"/>
    <w:rsid w:val="00AA2A85"/>
    <w:rsid w:val="00AA31B1"/>
    <w:rsid w:val="00AA3BC6"/>
    <w:rsid w:val="00AA41EA"/>
    <w:rsid w:val="00AA46B0"/>
    <w:rsid w:val="00AA497B"/>
    <w:rsid w:val="00AA49D0"/>
    <w:rsid w:val="00AA4A6E"/>
    <w:rsid w:val="00AA5C7D"/>
    <w:rsid w:val="00AA6AA2"/>
    <w:rsid w:val="00AA6CD0"/>
    <w:rsid w:val="00AA78BD"/>
    <w:rsid w:val="00AB0E2B"/>
    <w:rsid w:val="00AB121A"/>
    <w:rsid w:val="00AB17F3"/>
    <w:rsid w:val="00AB1EFC"/>
    <w:rsid w:val="00AB22E0"/>
    <w:rsid w:val="00AB398B"/>
    <w:rsid w:val="00AB3F92"/>
    <w:rsid w:val="00AB40B6"/>
    <w:rsid w:val="00AB437C"/>
    <w:rsid w:val="00AB56C1"/>
    <w:rsid w:val="00AB5D49"/>
    <w:rsid w:val="00AB5F4C"/>
    <w:rsid w:val="00AB67D0"/>
    <w:rsid w:val="00AB6DB4"/>
    <w:rsid w:val="00AC0C4C"/>
    <w:rsid w:val="00AC0CDE"/>
    <w:rsid w:val="00AC0D52"/>
    <w:rsid w:val="00AC132D"/>
    <w:rsid w:val="00AC146A"/>
    <w:rsid w:val="00AC1733"/>
    <w:rsid w:val="00AC2E73"/>
    <w:rsid w:val="00AC368C"/>
    <w:rsid w:val="00AC55D2"/>
    <w:rsid w:val="00AC64B3"/>
    <w:rsid w:val="00AC64E3"/>
    <w:rsid w:val="00AC7510"/>
    <w:rsid w:val="00AC7BB7"/>
    <w:rsid w:val="00AD039C"/>
    <w:rsid w:val="00AD1F20"/>
    <w:rsid w:val="00AD3773"/>
    <w:rsid w:val="00AD3F52"/>
    <w:rsid w:val="00AD4C8C"/>
    <w:rsid w:val="00AD4CDC"/>
    <w:rsid w:val="00AD66EF"/>
    <w:rsid w:val="00AD67C7"/>
    <w:rsid w:val="00AD6DF6"/>
    <w:rsid w:val="00AD7DC6"/>
    <w:rsid w:val="00AD7E5B"/>
    <w:rsid w:val="00AE074F"/>
    <w:rsid w:val="00AE096F"/>
    <w:rsid w:val="00AE1420"/>
    <w:rsid w:val="00AE15F8"/>
    <w:rsid w:val="00AE21CB"/>
    <w:rsid w:val="00AE36BD"/>
    <w:rsid w:val="00AE40EB"/>
    <w:rsid w:val="00AE54A9"/>
    <w:rsid w:val="00AE5DED"/>
    <w:rsid w:val="00AE606D"/>
    <w:rsid w:val="00AE7163"/>
    <w:rsid w:val="00AE73D8"/>
    <w:rsid w:val="00AE74B3"/>
    <w:rsid w:val="00AE7A6B"/>
    <w:rsid w:val="00AE7CB3"/>
    <w:rsid w:val="00AF04C2"/>
    <w:rsid w:val="00AF0C6F"/>
    <w:rsid w:val="00AF1122"/>
    <w:rsid w:val="00AF1BC1"/>
    <w:rsid w:val="00AF1F0E"/>
    <w:rsid w:val="00AF1FC9"/>
    <w:rsid w:val="00AF2359"/>
    <w:rsid w:val="00AF2675"/>
    <w:rsid w:val="00AF308D"/>
    <w:rsid w:val="00AF4F3C"/>
    <w:rsid w:val="00AF5081"/>
    <w:rsid w:val="00AF678F"/>
    <w:rsid w:val="00AF78EE"/>
    <w:rsid w:val="00B0023C"/>
    <w:rsid w:val="00B0046D"/>
    <w:rsid w:val="00B005A2"/>
    <w:rsid w:val="00B0099C"/>
    <w:rsid w:val="00B00EDC"/>
    <w:rsid w:val="00B01111"/>
    <w:rsid w:val="00B011E6"/>
    <w:rsid w:val="00B02B0F"/>
    <w:rsid w:val="00B02B54"/>
    <w:rsid w:val="00B02C5F"/>
    <w:rsid w:val="00B03E27"/>
    <w:rsid w:val="00B0570D"/>
    <w:rsid w:val="00B0714F"/>
    <w:rsid w:val="00B0755E"/>
    <w:rsid w:val="00B077CC"/>
    <w:rsid w:val="00B10C05"/>
    <w:rsid w:val="00B11BCB"/>
    <w:rsid w:val="00B11D45"/>
    <w:rsid w:val="00B124AB"/>
    <w:rsid w:val="00B13181"/>
    <w:rsid w:val="00B1439F"/>
    <w:rsid w:val="00B1479C"/>
    <w:rsid w:val="00B14FC0"/>
    <w:rsid w:val="00B1524D"/>
    <w:rsid w:val="00B152F3"/>
    <w:rsid w:val="00B15566"/>
    <w:rsid w:val="00B15E1F"/>
    <w:rsid w:val="00B1706D"/>
    <w:rsid w:val="00B170A3"/>
    <w:rsid w:val="00B21399"/>
    <w:rsid w:val="00B21475"/>
    <w:rsid w:val="00B22A08"/>
    <w:rsid w:val="00B23906"/>
    <w:rsid w:val="00B240A4"/>
    <w:rsid w:val="00B2422D"/>
    <w:rsid w:val="00B24E69"/>
    <w:rsid w:val="00B25928"/>
    <w:rsid w:val="00B25D7F"/>
    <w:rsid w:val="00B265DD"/>
    <w:rsid w:val="00B27036"/>
    <w:rsid w:val="00B2718A"/>
    <w:rsid w:val="00B2727E"/>
    <w:rsid w:val="00B275AD"/>
    <w:rsid w:val="00B278FE"/>
    <w:rsid w:val="00B2799F"/>
    <w:rsid w:val="00B279C9"/>
    <w:rsid w:val="00B27DA6"/>
    <w:rsid w:val="00B27DF3"/>
    <w:rsid w:val="00B27E30"/>
    <w:rsid w:val="00B300AD"/>
    <w:rsid w:val="00B30199"/>
    <w:rsid w:val="00B30851"/>
    <w:rsid w:val="00B32115"/>
    <w:rsid w:val="00B33189"/>
    <w:rsid w:val="00B331AE"/>
    <w:rsid w:val="00B33A92"/>
    <w:rsid w:val="00B349BB"/>
    <w:rsid w:val="00B3546C"/>
    <w:rsid w:val="00B35610"/>
    <w:rsid w:val="00B36201"/>
    <w:rsid w:val="00B36623"/>
    <w:rsid w:val="00B366EF"/>
    <w:rsid w:val="00B37C46"/>
    <w:rsid w:val="00B37FDB"/>
    <w:rsid w:val="00B4009D"/>
    <w:rsid w:val="00B4026E"/>
    <w:rsid w:val="00B40628"/>
    <w:rsid w:val="00B4097F"/>
    <w:rsid w:val="00B40EFB"/>
    <w:rsid w:val="00B41B6C"/>
    <w:rsid w:val="00B4201B"/>
    <w:rsid w:val="00B42AD2"/>
    <w:rsid w:val="00B43004"/>
    <w:rsid w:val="00B435B3"/>
    <w:rsid w:val="00B43A2E"/>
    <w:rsid w:val="00B442C0"/>
    <w:rsid w:val="00B44908"/>
    <w:rsid w:val="00B454EA"/>
    <w:rsid w:val="00B45B3E"/>
    <w:rsid w:val="00B45E32"/>
    <w:rsid w:val="00B46CA9"/>
    <w:rsid w:val="00B470F9"/>
    <w:rsid w:val="00B51BEB"/>
    <w:rsid w:val="00B51E6D"/>
    <w:rsid w:val="00B51F2D"/>
    <w:rsid w:val="00B529E6"/>
    <w:rsid w:val="00B52A68"/>
    <w:rsid w:val="00B52C64"/>
    <w:rsid w:val="00B535CB"/>
    <w:rsid w:val="00B53CDE"/>
    <w:rsid w:val="00B5476F"/>
    <w:rsid w:val="00B5481C"/>
    <w:rsid w:val="00B54C6C"/>
    <w:rsid w:val="00B5618C"/>
    <w:rsid w:val="00B5668C"/>
    <w:rsid w:val="00B56EFE"/>
    <w:rsid w:val="00B56F57"/>
    <w:rsid w:val="00B5763A"/>
    <w:rsid w:val="00B57A13"/>
    <w:rsid w:val="00B6053B"/>
    <w:rsid w:val="00B60CC1"/>
    <w:rsid w:val="00B632B1"/>
    <w:rsid w:val="00B635BF"/>
    <w:rsid w:val="00B64F63"/>
    <w:rsid w:val="00B6529E"/>
    <w:rsid w:val="00B653E2"/>
    <w:rsid w:val="00B65904"/>
    <w:rsid w:val="00B65998"/>
    <w:rsid w:val="00B65F4B"/>
    <w:rsid w:val="00B66238"/>
    <w:rsid w:val="00B66343"/>
    <w:rsid w:val="00B66C4B"/>
    <w:rsid w:val="00B67081"/>
    <w:rsid w:val="00B67B22"/>
    <w:rsid w:val="00B71C13"/>
    <w:rsid w:val="00B72AEE"/>
    <w:rsid w:val="00B7310E"/>
    <w:rsid w:val="00B73348"/>
    <w:rsid w:val="00B73646"/>
    <w:rsid w:val="00B73D17"/>
    <w:rsid w:val="00B7401C"/>
    <w:rsid w:val="00B74952"/>
    <w:rsid w:val="00B756F5"/>
    <w:rsid w:val="00B763A0"/>
    <w:rsid w:val="00B77299"/>
    <w:rsid w:val="00B77CBA"/>
    <w:rsid w:val="00B80A5E"/>
    <w:rsid w:val="00B80E26"/>
    <w:rsid w:val="00B80F13"/>
    <w:rsid w:val="00B81587"/>
    <w:rsid w:val="00B81A62"/>
    <w:rsid w:val="00B81DC6"/>
    <w:rsid w:val="00B82DD3"/>
    <w:rsid w:val="00B83321"/>
    <w:rsid w:val="00B8419B"/>
    <w:rsid w:val="00B84377"/>
    <w:rsid w:val="00B846C6"/>
    <w:rsid w:val="00B8484B"/>
    <w:rsid w:val="00B8517C"/>
    <w:rsid w:val="00B85C6C"/>
    <w:rsid w:val="00B85F20"/>
    <w:rsid w:val="00B875C0"/>
    <w:rsid w:val="00B9124A"/>
    <w:rsid w:val="00B92C83"/>
    <w:rsid w:val="00B93132"/>
    <w:rsid w:val="00B939D5"/>
    <w:rsid w:val="00B93D6A"/>
    <w:rsid w:val="00B9480A"/>
    <w:rsid w:val="00B94BFF"/>
    <w:rsid w:val="00B94D14"/>
    <w:rsid w:val="00B956C4"/>
    <w:rsid w:val="00B95B0A"/>
    <w:rsid w:val="00B96271"/>
    <w:rsid w:val="00B97167"/>
    <w:rsid w:val="00B97B81"/>
    <w:rsid w:val="00BA0A39"/>
    <w:rsid w:val="00BA17A6"/>
    <w:rsid w:val="00BA2D2B"/>
    <w:rsid w:val="00BA36F0"/>
    <w:rsid w:val="00BA3D6D"/>
    <w:rsid w:val="00BA42C3"/>
    <w:rsid w:val="00BA4876"/>
    <w:rsid w:val="00BA51E3"/>
    <w:rsid w:val="00BA5C3A"/>
    <w:rsid w:val="00BA5C82"/>
    <w:rsid w:val="00BA5FB6"/>
    <w:rsid w:val="00BA64E6"/>
    <w:rsid w:val="00BA6EB3"/>
    <w:rsid w:val="00BA7E4B"/>
    <w:rsid w:val="00BA7EC0"/>
    <w:rsid w:val="00BB1508"/>
    <w:rsid w:val="00BB1858"/>
    <w:rsid w:val="00BB1E30"/>
    <w:rsid w:val="00BB1E84"/>
    <w:rsid w:val="00BB224C"/>
    <w:rsid w:val="00BB2349"/>
    <w:rsid w:val="00BB2735"/>
    <w:rsid w:val="00BB2F03"/>
    <w:rsid w:val="00BB4494"/>
    <w:rsid w:val="00BB4715"/>
    <w:rsid w:val="00BB55EE"/>
    <w:rsid w:val="00BB58A2"/>
    <w:rsid w:val="00BB590E"/>
    <w:rsid w:val="00BB6304"/>
    <w:rsid w:val="00BB64CB"/>
    <w:rsid w:val="00BB65B2"/>
    <w:rsid w:val="00BB6B70"/>
    <w:rsid w:val="00BB6CCF"/>
    <w:rsid w:val="00BB777A"/>
    <w:rsid w:val="00BB7A04"/>
    <w:rsid w:val="00BC09A4"/>
    <w:rsid w:val="00BC1466"/>
    <w:rsid w:val="00BC1484"/>
    <w:rsid w:val="00BC1CFA"/>
    <w:rsid w:val="00BC1F3C"/>
    <w:rsid w:val="00BC240C"/>
    <w:rsid w:val="00BC2B30"/>
    <w:rsid w:val="00BC3094"/>
    <w:rsid w:val="00BC321E"/>
    <w:rsid w:val="00BC37E6"/>
    <w:rsid w:val="00BC3903"/>
    <w:rsid w:val="00BC4B2A"/>
    <w:rsid w:val="00BC5031"/>
    <w:rsid w:val="00BC55A8"/>
    <w:rsid w:val="00BC5E2E"/>
    <w:rsid w:val="00BC62C2"/>
    <w:rsid w:val="00BC64D1"/>
    <w:rsid w:val="00BC6743"/>
    <w:rsid w:val="00BC799A"/>
    <w:rsid w:val="00BD049D"/>
    <w:rsid w:val="00BD0754"/>
    <w:rsid w:val="00BD1581"/>
    <w:rsid w:val="00BD2004"/>
    <w:rsid w:val="00BD265C"/>
    <w:rsid w:val="00BD3524"/>
    <w:rsid w:val="00BD39DE"/>
    <w:rsid w:val="00BD40A4"/>
    <w:rsid w:val="00BD45D8"/>
    <w:rsid w:val="00BD46B9"/>
    <w:rsid w:val="00BD47AD"/>
    <w:rsid w:val="00BD4D7E"/>
    <w:rsid w:val="00BD539A"/>
    <w:rsid w:val="00BD5BBC"/>
    <w:rsid w:val="00BD5E18"/>
    <w:rsid w:val="00BD5E95"/>
    <w:rsid w:val="00BD7244"/>
    <w:rsid w:val="00BD7452"/>
    <w:rsid w:val="00BD7EB6"/>
    <w:rsid w:val="00BE055C"/>
    <w:rsid w:val="00BE0D5F"/>
    <w:rsid w:val="00BE1556"/>
    <w:rsid w:val="00BE2995"/>
    <w:rsid w:val="00BE35B4"/>
    <w:rsid w:val="00BE35CA"/>
    <w:rsid w:val="00BE3C8A"/>
    <w:rsid w:val="00BE451C"/>
    <w:rsid w:val="00BE49BE"/>
    <w:rsid w:val="00BE5311"/>
    <w:rsid w:val="00BE67BE"/>
    <w:rsid w:val="00BE75BF"/>
    <w:rsid w:val="00BF0517"/>
    <w:rsid w:val="00BF1118"/>
    <w:rsid w:val="00BF1392"/>
    <w:rsid w:val="00BF1806"/>
    <w:rsid w:val="00BF2027"/>
    <w:rsid w:val="00BF2053"/>
    <w:rsid w:val="00BF218E"/>
    <w:rsid w:val="00BF2562"/>
    <w:rsid w:val="00BF2E2E"/>
    <w:rsid w:val="00BF3B45"/>
    <w:rsid w:val="00BF42E7"/>
    <w:rsid w:val="00BF51D5"/>
    <w:rsid w:val="00BF6F8B"/>
    <w:rsid w:val="00BF6FDD"/>
    <w:rsid w:val="00BF7F6A"/>
    <w:rsid w:val="00C0023B"/>
    <w:rsid w:val="00C00783"/>
    <w:rsid w:val="00C008C1"/>
    <w:rsid w:val="00C00B28"/>
    <w:rsid w:val="00C00B92"/>
    <w:rsid w:val="00C01844"/>
    <w:rsid w:val="00C01E82"/>
    <w:rsid w:val="00C0288F"/>
    <w:rsid w:val="00C029A2"/>
    <w:rsid w:val="00C02BA3"/>
    <w:rsid w:val="00C02FAA"/>
    <w:rsid w:val="00C030A9"/>
    <w:rsid w:val="00C03134"/>
    <w:rsid w:val="00C031A0"/>
    <w:rsid w:val="00C03481"/>
    <w:rsid w:val="00C034AB"/>
    <w:rsid w:val="00C047C1"/>
    <w:rsid w:val="00C04A4A"/>
    <w:rsid w:val="00C04B30"/>
    <w:rsid w:val="00C0540C"/>
    <w:rsid w:val="00C0619C"/>
    <w:rsid w:val="00C0668A"/>
    <w:rsid w:val="00C066A9"/>
    <w:rsid w:val="00C07D7A"/>
    <w:rsid w:val="00C10FA7"/>
    <w:rsid w:val="00C11337"/>
    <w:rsid w:val="00C11DD0"/>
    <w:rsid w:val="00C12401"/>
    <w:rsid w:val="00C13014"/>
    <w:rsid w:val="00C130D2"/>
    <w:rsid w:val="00C13533"/>
    <w:rsid w:val="00C137CE"/>
    <w:rsid w:val="00C13936"/>
    <w:rsid w:val="00C14421"/>
    <w:rsid w:val="00C15103"/>
    <w:rsid w:val="00C17198"/>
    <w:rsid w:val="00C17567"/>
    <w:rsid w:val="00C17601"/>
    <w:rsid w:val="00C201E0"/>
    <w:rsid w:val="00C2087D"/>
    <w:rsid w:val="00C20C6B"/>
    <w:rsid w:val="00C210C2"/>
    <w:rsid w:val="00C237FC"/>
    <w:rsid w:val="00C23DE3"/>
    <w:rsid w:val="00C23F5B"/>
    <w:rsid w:val="00C247C3"/>
    <w:rsid w:val="00C24A3E"/>
    <w:rsid w:val="00C24FA4"/>
    <w:rsid w:val="00C25505"/>
    <w:rsid w:val="00C26107"/>
    <w:rsid w:val="00C2662C"/>
    <w:rsid w:val="00C26685"/>
    <w:rsid w:val="00C26AD1"/>
    <w:rsid w:val="00C26B14"/>
    <w:rsid w:val="00C26DE3"/>
    <w:rsid w:val="00C2704A"/>
    <w:rsid w:val="00C30334"/>
    <w:rsid w:val="00C31201"/>
    <w:rsid w:val="00C31377"/>
    <w:rsid w:val="00C32098"/>
    <w:rsid w:val="00C32435"/>
    <w:rsid w:val="00C32463"/>
    <w:rsid w:val="00C32486"/>
    <w:rsid w:val="00C32816"/>
    <w:rsid w:val="00C32AA6"/>
    <w:rsid w:val="00C32CA0"/>
    <w:rsid w:val="00C336AD"/>
    <w:rsid w:val="00C33A91"/>
    <w:rsid w:val="00C33F97"/>
    <w:rsid w:val="00C3502D"/>
    <w:rsid w:val="00C35223"/>
    <w:rsid w:val="00C42357"/>
    <w:rsid w:val="00C429A1"/>
    <w:rsid w:val="00C42D47"/>
    <w:rsid w:val="00C42FBD"/>
    <w:rsid w:val="00C43860"/>
    <w:rsid w:val="00C43D75"/>
    <w:rsid w:val="00C43FA1"/>
    <w:rsid w:val="00C444BE"/>
    <w:rsid w:val="00C44C7D"/>
    <w:rsid w:val="00C45BBF"/>
    <w:rsid w:val="00C46A53"/>
    <w:rsid w:val="00C47897"/>
    <w:rsid w:val="00C5008A"/>
    <w:rsid w:val="00C50FB0"/>
    <w:rsid w:val="00C52A43"/>
    <w:rsid w:val="00C52C45"/>
    <w:rsid w:val="00C54307"/>
    <w:rsid w:val="00C55095"/>
    <w:rsid w:val="00C55154"/>
    <w:rsid w:val="00C55CE3"/>
    <w:rsid w:val="00C55D27"/>
    <w:rsid w:val="00C566CF"/>
    <w:rsid w:val="00C5692F"/>
    <w:rsid w:val="00C56AD0"/>
    <w:rsid w:val="00C57AFE"/>
    <w:rsid w:val="00C57D99"/>
    <w:rsid w:val="00C601A3"/>
    <w:rsid w:val="00C6059C"/>
    <w:rsid w:val="00C60BFB"/>
    <w:rsid w:val="00C60D74"/>
    <w:rsid w:val="00C60E5A"/>
    <w:rsid w:val="00C6115D"/>
    <w:rsid w:val="00C6140D"/>
    <w:rsid w:val="00C6157A"/>
    <w:rsid w:val="00C61A65"/>
    <w:rsid w:val="00C61EEE"/>
    <w:rsid w:val="00C622FA"/>
    <w:rsid w:val="00C62BAB"/>
    <w:rsid w:val="00C640A5"/>
    <w:rsid w:val="00C64A61"/>
    <w:rsid w:val="00C64ED7"/>
    <w:rsid w:val="00C6501C"/>
    <w:rsid w:val="00C65A52"/>
    <w:rsid w:val="00C66BA8"/>
    <w:rsid w:val="00C66F1F"/>
    <w:rsid w:val="00C674F2"/>
    <w:rsid w:val="00C708F5"/>
    <w:rsid w:val="00C712E3"/>
    <w:rsid w:val="00C72230"/>
    <w:rsid w:val="00C73719"/>
    <w:rsid w:val="00C738D2"/>
    <w:rsid w:val="00C73C98"/>
    <w:rsid w:val="00C73DDF"/>
    <w:rsid w:val="00C73DEE"/>
    <w:rsid w:val="00C749E7"/>
    <w:rsid w:val="00C74C70"/>
    <w:rsid w:val="00C74EFE"/>
    <w:rsid w:val="00C759CE"/>
    <w:rsid w:val="00C75B41"/>
    <w:rsid w:val="00C75D50"/>
    <w:rsid w:val="00C75F7E"/>
    <w:rsid w:val="00C76469"/>
    <w:rsid w:val="00C76578"/>
    <w:rsid w:val="00C76829"/>
    <w:rsid w:val="00C7694A"/>
    <w:rsid w:val="00C769A1"/>
    <w:rsid w:val="00C76EA5"/>
    <w:rsid w:val="00C76EEB"/>
    <w:rsid w:val="00C7758C"/>
    <w:rsid w:val="00C77659"/>
    <w:rsid w:val="00C7797A"/>
    <w:rsid w:val="00C77F6D"/>
    <w:rsid w:val="00C80B97"/>
    <w:rsid w:val="00C812ED"/>
    <w:rsid w:val="00C8212E"/>
    <w:rsid w:val="00C82842"/>
    <w:rsid w:val="00C82CD2"/>
    <w:rsid w:val="00C82D9F"/>
    <w:rsid w:val="00C833E6"/>
    <w:rsid w:val="00C85FD2"/>
    <w:rsid w:val="00C86F14"/>
    <w:rsid w:val="00C900E6"/>
    <w:rsid w:val="00C90E61"/>
    <w:rsid w:val="00C911A1"/>
    <w:rsid w:val="00C91F83"/>
    <w:rsid w:val="00C92056"/>
    <w:rsid w:val="00C93518"/>
    <w:rsid w:val="00C94383"/>
    <w:rsid w:val="00C9443A"/>
    <w:rsid w:val="00C946F8"/>
    <w:rsid w:val="00C949DD"/>
    <w:rsid w:val="00C95098"/>
    <w:rsid w:val="00C952A7"/>
    <w:rsid w:val="00C95509"/>
    <w:rsid w:val="00C96137"/>
    <w:rsid w:val="00C96220"/>
    <w:rsid w:val="00C96935"/>
    <w:rsid w:val="00C96F24"/>
    <w:rsid w:val="00C9706C"/>
    <w:rsid w:val="00C97381"/>
    <w:rsid w:val="00C97445"/>
    <w:rsid w:val="00CA022E"/>
    <w:rsid w:val="00CA2C93"/>
    <w:rsid w:val="00CA4461"/>
    <w:rsid w:val="00CA50BB"/>
    <w:rsid w:val="00CA56FB"/>
    <w:rsid w:val="00CA57D4"/>
    <w:rsid w:val="00CA5E4B"/>
    <w:rsid w:val="00CA7442"/>
    <w:rsid w:val="00CB0452"/>
    <w:rsid w:val="00CB04CB"/>
    <w:rsid w:val="00CB04E0"/>
    <w:rsid w:val="00CB0C2F"/>
    <w:rsid w:val="00CB0D3F"/>
    <w:rsid w:val="00CB1977"/>
    <w:rsid w:val="00CB513F"/>
    <w:rsid w:val="00CB61B6"/>
    <w:rsid w:val="00CB7201"/>
    <w:rsid w:val="00CB75DF"/>
    <w:rsid w:val="00CB7D08"/>
    <w:rsid w:val="00CC08C9"/>
    <w:rsid w:val="00CC09B6"/>
    <w:rsid w:val="00CC108C"/>
    <w:rsid w:val="00CC11FD"/>
    <w:rsid w:val="00CC1323"/>
    <w:rsid w:val="00CC28F2"/>
    <w:rsid w:val="00CC2B43"/>
    <w:rsid w:val="00CC2DCA"/>
    <w:rsid w:val="00CC2E94"/>
    <w:rsid w:val="00CC3655"/>
    <w:rsid w:val="00CC3B2C"/>
    <w:rsid w:val="00CC3B31"/>
    <w:rsid w:val="00CC4725"/>
    <w:rsid w:val="00CC4796"/>
    <w:rsid w:val="00CC55E7"/>
    <w:rsid w:val="00CC70D6"/>
    <w:rsid w:val="00CC7325"/>
    <w:rsid w:val="00CD0020"/>
    <w:rsid w:val="00CD0079"/>
    <w:rsid w:val="00CD03DF"/>
    <w:rsid w:val="00CD148A"/>
    <w:rsid w:val="00CD1CD8"/>
    <w:rsid w:val="00CD1E0A"/>
    <w:rsid w:val="00CD2A79"/>
    <w:rsid w:val="00CD2C67"/>
    <w:rsid w:val="00CD2DB6"/>
    <w:rsid w:val="00CD2E2C"/>
    <w:rsid w:val="00CD2E31"/>
    <w:rsid w:val="00CD2FBD"/>
    <w:rsid w:val="00CD3257"/>
    <w:rsid w:val="00CD3D07"/>
    <w:rsid w:val="00CD42B7"/>
    <w:rsid w:val="00CD4F5E"/>
    <w:rsid w:val="00CD6077"/>
    <w:rsid w:val="00CD625C"/>
    <w:rsid w:val="00CD6AD4"/>
    <w:rsid w:val="00CD6E68"/>
    <w:rsid w:val="00CD7341"/>
    <w:rsid w:val="00CE02A2"/>
    <w:rsid w:val="00CE0486"/>
    <w:rsid w:val="00CE1168"/>
    <w:rsid w:val="00CE1358"/>
    <w:rsid w:val="00CE2DC7"/>
    <w:rsid w:val="00CE3449"/>
    <w:rsid w:val="00CE3564"/>
    <w:rsid w:val="00CE3659"/>
    <w:rsid w:val="00CE368A"/>
    <w:rsid w:val="00CE52F1"/>
    <w:rsid w:val="00CE5657"/>
    <w:rsid w:val="00CE5B62"/>
    <w:rsid w:val="00CE5D70"/>
    <w:rsid w:val="00CE5E55"/>
    <w:rsid w:val="00CE63BA"/>
    <w:rsid w:val="00CE6767"/>
    <w:rsid w:val="00CE6D83"/>
    <w:rsid w:val="00CE729E"/>
    <w:rsid w:val="00CE7943"/>
    <w:rsid w:val="00CE7C14"/>
    <w:rsid w:val="00CF1194"/>
    <w:rsid w:val="00CF1542"/>
    <w:rsid w:val="00CF1AF1"/>
    <w:rsid w:val="00CF1B28"/>
    <w:rsid w:val="00CF2D04"/>
    <w:rsid w:val="00CF2EFE"/>
    <w:rsid w:val="00CF32B2"/>
    <w:rsid w:val="00CF3A3A"/>
    <w:rsid w:val="00CF3FE4"/>
    <w:rsid w:val="00CF41BD"/>
    <w:rsid w:val="00CF4693"/>
    <w:rsid w:val="00CF4839"/>
    <w:rsid w:val="00CF5F95"/>
    <w:rsid w:val="00CF694D"/>
    <w:rsid w:val="00CF7226"/>
    <w:rsid w:val="00CF7919"/>
    <w:rsid w:val="00D0150C"/>
    <w:rsid w:val="00D01AB2"/>
    <w:rsid w:val="00D01F64"/>
    <w:rsid w:val="00D021EF"/>
    <w:rsid w:val="00D0369C"/>
    <w:rsid w:val="00D0416A"/>
    <w:rsid w:val="00D04799"/>
    <w:rsid w:val="00D05062"/>
    <w:rsid w:val="00D0587E"/>
    <w:rsid w:val="00D05C6A"/>
    <w:rsid w:val="00D060F0"/>
    <w:rsid w:val="00D06333"/>
    <w:rsid w:val="00D06B85"/>
    <w:rsid w:val="00D06D24"/>
    <w:rsid w:val="00D10863"/>
    <w:rsid w:val="00D10FE2"/>
    <w:rsid w:val="00D11DC6"/>
    <w:rsid w:val="00D121C1"/>
    <w:rsid w:val="00D12A43"/>
    <w:rsid w:val="00D12A64"/>
    <w:rsid w:val="00D17055"/>
    <w:rsid w:val="00D2027F"/>
    <w:rsid w:val="00D202B1"/>
    <w:rsid w:val="00D209DE"/>
    <w:rsid w:val="00D20C27"/>
    <w:rsid w:val="00D22123"/>
    <w:rsid w:val="00D228E5"/>
    <w:rsid w:val="00D22C87"/>
    <w:rsid w:val="00D23514"/>
    <w:rsid w:val="00D239FA"/>
    <w:rsid w:val="00D23AD9"/>
    <w:rsid w:val="00D23BBE"/>
    <w:rsid w:val="00D24882"/>
    <w:rsid w:val="00D24C9F"/>
    <w:rsid w:val="00D24F09"/>
    <w:rsid w:val="00D256C0"/>
    <w:rsid w:val="00D263DF"/>
    <w:rsid w:val="00D267ED"/>
    <w:rsid w:val="00D268D0"/>
    <w:rsid w:val="00D26ACF"/>
    <w:rsid w:val="00D3250D"/>
    <w:rsid w:val="00D334DC"/>
    <w:rsid w:val="00D33E5B"/>
    <w:rsid w:val="00D344A4"/>
    <w:rsid w:val="00D3554D"/>
    <w:rsid w:val="00D35692"/>
    <w:rsid w:val="00D35B4E"/>
    <w:rsid w:val="00D35EB1"/>
    <w:rsid w:val="00D36187"/>
    <w:rsid w:val="00D37C77"/>
    <w:rsid w:val="00D41142"/>
    <w:rsid w:val="00D41542"/>
    <w:rsid w:val="00D41FCA"/>
    <w:rsid w:val="00D42008"/>
    <w:rsid w:val="00D42131"/>
    <w:rsid w:val="00D43AB5"/>
    <w:rsid w:val="00D43E25"/>
    <w:rsid w:val="00D441CD"/>
    <w:rsid w:val="00D452CA"/>
    <w:rsid w:val="00D46353"/>
    <w:rsid w:val="00D467D5"/>
    <w:rsid w:val="00D46B2B"/>
    <w:rsid w:val="00D500A7"/>
    <w:rsid w:val="00D50147"/>
    <w:rsid w:val="00D505DF"/>
    <w:rsid w:val="00D50E63"/>
    <w:rsid w:val="00D514CF"/>
    <w:rsid w:val="00D51D3D"/>
    <w:rsid w:val="00D520B2"/>
    <w:rsid w:val="00D520C6"/>
    <w:rsid w:val="00D525D5"/>
    <w:rsid w:val="00D527AC"/>
    <w:rsid w:val="00D5356D"/>
    <w:rsid w:val="00D53ACB"/>
    <w:rsid w:val="00D53E08"/>
    <w:rsid w:val="00D547CA"/>
    <w:rsid w:val="00D54EE4"/>
    <w:rsid w:val="00D55391"/>
    <w:rsid w:val="00D558B2"/>
    <w:rsid w:val="00D55D44"/>
    <w:rsid w:val="00D56871"/>
    <w:rsid w:val="00D577F2"/>
    <w:rsid w:val="00D57C14"/>
    <w:rsid w:val="00D60787"/>
    <w:rsid w:val="00D6165B"/>
    <w:rsid w:val="00D61867"/>
    <w:rsid w:val="00D61C0C"/>
    <w:rsid w:val="00D624E9"/>
    <w:rsid w:val="00D642C4"/>
    <w:rsid w:val="00D64586"/>
    <w:rsid w:val="00D6462F"/>
    <w:rsid w:val="00D65162"/>
    <w:rsid w:val="00D651FB"/>
    <w:rsid w:val="00D66344"/>
    <w:rsid w:val="00D66705"/>
    <w:rsid w:val="00D66E1B"/>
    <w:rsid w:val="00D67037"/>
    <w:rsid w:val="00D670D2"/>
    <w:rsid w:val="00D67102"/>
    <w:rsid w:val="00D67794"/>
    <w:rsid w:val="00D67A02"/>
    <w:rsid w:val="00D7014F"/>
    <w:rsid w:val="00D71653"/>
    <w:rsid w:val="00D727F5"/>
    <w:rsid w:val="00D72D84"/>
    <w:rsid w:val="00D72FFB"/>
    <w:rsid w:val="00D73282"/>
    <w:rsid w:val="00D734E6"/>
    <w:rsid w:val="00D73795"/>
    <w:rsid w:val="00D73D3A"/>
    <w:rsid w:val="00D750A8"/>
    <w:rsid w:val="00D751D5"/>
    <w:rsid w:val="00D757F1"/>
    <w:rsid w:val="00D7592C"/>
    <w:rsid w:val="00D762FE"/>
    <w:rsid w:val="00D76357"/>
    <w:rsid w:val="00D80596"/>
    <w:rsid w:val="00D80BE9"/>
    <w:rsid w:val="00D81397"/>
    <w:rsid w:val="00D81866"/>
    <w:rsid w:val="00D81B9B"/>
    <w:rsid w:val="00D820AD"/>
    <w:rsid w:val="00D82375"/>
    <w:rsid w:val="00D82D2A"/>
    <w:rsid w:val="00D837E2"/>
    <w:rsid w:val="00D83AD5"/>
    <w:rsid w:val="00D843C2"/>
    <w:rsid w:val="00D852EC"/>
    <w:rsid w:val="00D854AD"/>
    <w:rsid w:val="00D862DE"/>
    <w:rsid w:val="00D86352"/>
    <w:rsid w:val="00D8706A"/>
    <w:rsid w:val="00D87123"/>
    <w:rsid w:val="00D8744E"/>
    <w:rsid w:val="00D8799A"/>
    <w:rsid w:val="00D905D2"/>
    <w:rsid w:val="00D906C8"/>
    <w:rsid w:val="00D91A27"/>
    <w:rsid w:val="00D91BE7"/>
    <w:rsid w:val="00D9391F"/>
    <w:rsid w:val="00D93B01"/>
    <w:rsid w:val="00D93BF4"/>
    <w:rsid w:val="00D93F19"/>
    <w:rsid w:val="00D9550A"/>
    <w:rsid w:val="00D95700"/>
    <w:rsid w:val="00D95DFD"/>
    <w:rsid w:val="00D96A25"/>
    <w:rsid w:val="00D9743C"/>
    <w:rsid w:val="00DA02AB"/>
    <w:rsid w:val="00DA2E40"/>
    <w:rsid w:val="00DA31B7"/>
    <w:rsid w:val="00DA383F"/>
    <w:rsid w:val="00DA3CD4"/>
    <w:rsid w:val="00DA51C2"/>
    <w:rsid w:val="00DA6459"/>
    <w:rsid w:val="00DA6AEB"/>
    <w:rsid w:val="00DB0157"/>
    <w:rsid w:val="00DB0B29"/>
    <w:rsid w:val="00DB0B70"/>
    <w:rsid w:val="00DB116D"/>
    <w:rsid w:val="00DB1200"/>
    <w:rsid w:val="00DB17B8"/>
    <w:rsid w:val="00DB1952"/>
    <w:rsid w:val="00DB229D"/>
    <w:rsid w:val="00DB24EF"/>
    <w:rsid w:val="00DB2CF1"/>
    <w:rsid w:val="00DB2E00"/>
    <w:rsid w:val="00DB33E6"/>
    <w:rsid w:val="00DB3D79"/>
    <w:rsid w:val="00DB4B7A"/>
    <w:rsid w:val="00DB5AF3"/>
    <w:rsid w:val="00DB60FD"/>
    <w:rsid w:val="00DB77D7"/>
    <w:rsid w:val="00DC1D8F"/>
    <w:rsid w:val="00DC365B"/>
    <w:rsid w:val="00DC3DD6"/>
    <w:rsid w:val="00DC4253"/>
    <w:rsid w:val="00DC4BA2"/>
    <w:rsid w:val="00DC4FF0"/>
    <w:rsid w:val="00DC5118"/>
    <w:rsid w:val="00DC566C"/>
    <w:rsid w:val="00DC597F"/>
    <w:rsid w:val="00DC6C35"/>
    <w:rsid w:val="00DC7950"/>
    <w:rsid w:val="00DD09A9"/>
    <w:rsid w:val="00DD1199"/>
    <w:rsid w:val="00DD1DA0"/>
    <w:rsid w:val="00DD235F"/>
    <w:rsid w:val="00DD37C8"/>
    <w:rsid w:val="00DD3AAB"/>
    <w:rsid w:val="00DD3DF0"/>
    <w:rsid w:val="00DD507F"/>
    <w:rsid w:val="00DD5C06"/>
    <w:rsid w:val="00DD6317"/>
    <w:rsid w:val="00DD74EA"/>
    <w:rsid w:val="00DE0202"/>
    <w:rsid w:val="00DE058F"/>
    <w:rsid w:val="00DE1CB6"/>
    <w:rsid w:val="00DE1D1F"/>
    <w:rsid w:val="00DE2856"/>
    <w:rsid w:val="00DE35DC"/>
    <w:rsid w:val="00DE3BF8"/>
    <w:rsid w:val="00DE4C93"/>
    <w:rsid w:val="00DE5999"/>
    <w:rsid w:val="00DE5A4C"/>
    <w:rsid w:val="00DE66D6"/>
    <w:rsid w:val="00DE698E"/>
    <w:rsid w:val="00DE6AA2"/>
    <w:rsid w:val="00DE6D95"/>
    <w:rsid w:val="00DE7487"/>
    <w:rsid w:val="00DE7A6C"/>
    <w:rsid w:val="00DE7B75"/>
    <w:rsid w:val="00DF032F"/>
    <w:rsid w:val="00DF0C87"/>
    <w:rsid w:val="00DF1264"/>
    <w:rsid w:val="00DF15A3"/>
    <w:rsid w:val="00DF1806"/>
    <w:rsid w:val="00DF1FDA"/>
    <w:rsid w:val="00DF232B"/>
    <w:rsid w:val="00DF3579"/>
    <w:rsid w:val="00DF3AEC"/>
    <w:rsid w:val="00DF484C"/>
    <w:rsid w:val="00DF5416"/>
    <w:rsid w:val="00DF60D3"/>
    <w:rsid w:val="00DF792A"/>
    <w:rsid w:val="00E000CF"/>
    <w:rsid w:val="00E002F4"/>
    <w:rsid w:val="00E00D36"/>
    <w:rsid w:val="00E014C9"/>
    <w:rsid w:val="00E01654"/>
    <w:rsid w:val="00E028C9"/>
    <w:rsid w:val="00E02BB9"/>
    <w:rsid w:val="00E04D61"/>
    <w:rsid w:val="00E04E29"/>
    <w:rsid w:val="00E051E5"/>
    <w:rsid w:val="00E07895"/>
    <w:rsid w:val="00E07FF8"/>
    <w:rsid w:val="00E108BA"/>
    <w:rsid w:val="00E10ABB"/>
    <w:rsid w:val="00E11391"/>
    <w:rsid w:val="00E11B34"/>
    <w:rsid w:val="00E124CF"/>
    <w:rsid w:val="00E12690"/>
    <w:rsid w:val="00E12942"/>
    <w:rsid w:val="00E13781"/>
    <w:rsid w:val="00E13C52"/>
    <w:rsid w:val="00E148D3"/>
    <w:rsid w:val="00E14C43"/>
    <w:rsid w:val="00E1507C"/>
    <w:rsid w:val="00E1509E"/>
    <w:rsid w:val="00E16D9F"/>
    <w:rsid w:val="00E17809"/>
    <w:rsid w:val="00E2041B"/>
    <w:rsid w:val="00E21672"/>
    <w:rsid w:val="00E21806"/>
    <w:rsid w:val="00E21F4D"/>
    <w:rsid w:val="00E22479"/>
    <w:rsid w:val="00E22C5F"/>
    <w:rsid w:val="00E23BD1"/>
    <w:rsid w:val="00E23D3E"/>
    <w:rsid w:val="00E249DE"/>
    <w:rsid w:val="00E24A82"/>
    <w:rsid w:val="00E25157"/>
    <w:rsid w:val="00E251DE"/>
    <w:rsid w:val="00E255B2"/>
    <w:rsid w:val="00E26389"/>
    <w:rsid w:val="00E2768F"/>
    <w:rsid w:val="00E276B2"/>
    <w:rsid w:val="00E2787D"/>
    <w:rsid w:val="00E27E30"/>
    <w:rsid w:val="00E30000"/>
    <w:rsid w:val="00E30197"/>
    <w:rsid w:val="00E3073F"/>
    <w:rsid w:val="00E30C61"/>
    <w:rsid w:val="00E30F96"/>
    <w:rsid w:val="00E3151F"/>
    <w:rsid w:val="00E319BF"/>
    <w:rsid w:val="00E31C39"/>
    <w:rsid w:val="00E32134"/>
    <w:rsid w:val="00E32159"/>
    <w:rsid w:val="00E32B74"/>
    <w:rsid w:val="00E32DDD"/>
    <w:rsid w:val="00E33066"/>
    <w:rsid w:val="00E3353B"/>
    <w:rsid w:val="00E33648"/>
    <w:rsid w:val="00E336BD"/>
    <w:rsid w:val="00E33ACA"/>
    <w:rsid w:val="00E348E6"/>
    <w:rsid w:val="00E34EEC"/>
    <w:rsid w:val="00E35775"/>
    <w:rsid w:val="00E362BF"/>
    <w:rsid w:val="00E41734"/>
    <w:rsid w:val="00E41D6A"/>
    <w:rsid w:val="00E428AA"/>
    <w:rsid w:val="00E4350D"/>
    <w:rsid w:val="00E4396B"/>
    <w:rsid w:val="00E44599"/>
    <w:rsid w:val="00E452E8"/>
    <w:rsid w:val="00E457DE"/>
    <w:rsid w:val="00E4595A"/>
    <w:rsid w:val="00E462A4"/>
    <w:rsid w:val="00E4657F"/>
    <w:rsid w:val="00E47398"/>
    <w:rsid w:val="00E47606"/>
    <w:rsid w:val="00E516CD"/>
    <w:rsid w:val="00E519D4"/>
    <w:rsid w:val="00E51C06"/>
    <w:rsid w:val="00E51C12"/>
    <w:rsid w:val="00E51E4C"/>
    <w:rsid w:val="00E52AF2"/>
    <w:rsid w:val="00E52F21"/>
    <w:rsid w:val="00E5330A"/>
    <w:rsid w:val="00E53AD7"/>
    <w:rsid w:val="00E53B6C"/>
    <w:rsid w:val="00E54821"/>
    <w:rsid w:val="00E54BF3"/>
    <w:rsid w:val="00E55A7C"/>
    <w:rsid w:val="00E56B4F"/>
    <w:rsid w:val="00E60016"/>
    <w:rsid w:val="00E60CC1"/>
    <w:rsid w:val="00E61DBA"/>
    <w:rsid w:val="00E62766"/>
    <w:rsid w:val="00E62D8D"/>
    <w:rsid w:val="00E631AF"/>
    <w:rsid w:val="00E643E2"/>
    <w:rsid w:val="00E64CB0"/>
    <w:rsid w:val="00E64DA8"/>
    <w:rsid w:val="00E654B9"/>
    <w:rsid w:val="00E65E70"/>
    <w:rsid w:val="00E6728A"/>
    <w:rsid w:val="00E707D1"/>
    <w:rsid w:val="00E71FBC"/>
    <w:rsid w:val="00E726C6"/>
    <w:rsid w:val="00E72919"/>
    <w:rsid w:val="00E72936"/>
    <w:rsid w:val="00E72CA7"/>
    <w:rsid w:val="00E72D5F"/>
    <w:rsid w:val="00E73114"/>
    <w:rsid w:val="00E73771"/>
    <w:rsid w:val="00E73805"/>
    <w:rsid w:val="00E73C9C"/>
    <w:rsid w:val="00E74834"/>
    <w:rsid w:val="00E7543E"/>
    <w:rsid w:val="00E75F0B"/>
    <w:rsid w:val="00E7608A"/>
    <w:rsid w:val="00E76426"/>
    <w:rsid w:val="00E76D57"/>
    <w:rsid w:val="00E803CD"/>
    <w:rsid w:val="00E80636"/>
    <w:rsid w:val="00E8093F"/>
    <w:rsid w:val="00E814E4"/>
    <w:rsid w:val="00E81F81"/>
    <w:rsid w:val="00E831EA"/>
    <w:rsid w:val="00E83664"/>
    <w:rsid w:val="00E8387D"/>
    <w:rsid w:val="00E84443"/>
    <w:rsid w:val="00E84B40"/>
    <w:rsid w:val="00E85631"/>
    <w:rsid w:val="00E8602E"/>
    <w:rsid w:val="00E86608"/>
    <w:rsid w:val="00E86D14"/>
    <w:rsid w:val="00E87329"/>
    <w:rsid w:val="00E87389"/>
    <w:rsid w:val="00E87C10"/>
    <w:rsid w:val="00E90149"/>
    <w:rsid w:val="00E909ED"/>
    <w:rsid w:val="00E91C21"/>
    <w:rsid w:val="00E91EB1"/>
    <w:rsid w:val="00E92CC8"/>
    <w:rsid w:val="00E933E7"/>
    <w:rsid w:val="00E94CBF"/>
    <w:rsid w:val="00E94D44"/>
    <w:rsid w:val="00E96528"/>
    <w:rsid w:val="00E979D3"/>
    <w:rsid w:val="00EA01D7"/>
    <w:rsid w:val="00EA0D40"/>
    <w:rsid w:val="00EA15CA"/>
    <w:rsid w:val="00EA23CA"/>
    <w:rsid w:val="00EA25AE"/>
    <w:rsid w:val="00EA318E"/>
    <w:rsid w:val="00EA3D8C"/>
    <w:rsid w:val="00EA4D3C"/>
    <w:rsid w:val="00EA4DDC"/>
    <w:rsid w:val="00EA5643"/>
    <w:rsid w:val="00EB0283"/>
    <w:rsid w:val="00EB0EE8"/>
    <w:rsid w:val="00EB2095"/>
    <w:rsid w:val="00EB248B"/>
    <w:rsid w:val="00EB2874"/>
    <w:rsid w:val="00EB2EDF"/>
    <w:rsid w:val="00EB38C7"/>
    <w:rsid w:val="00EB41E3"/>
    <w:rsid w:val="00EB4D48"/>
    <w:rsid w:val="00EB570A"/>
    <w:rsid w:val="00EB687C"/>
    <w:rsid w:val="00EB69FF"/>
    <w:rsid w:val="00EB7248"/>
    <w:rsid w:val="00EB7922"/>
    <w:rsid w:val="00EC1EF7"/>
    <w:rsid w:val="00EC2645"/>
    <w:rsid w:val="00EC2C1F"/>
    <w:rsid w:val="00EC31D7"/>
    <w:rsid w:val="00EC3E95"/>
    <w:rsid w:val="00EC4017"/>
    <w:rsid w:val="00EC40D7"/>
    <w:rsid w:val="00EC5AEA"/>
    <w:rsid w:val="00EC6D62"/>
    <w:rsid w:val="00EC773A"/>
    <w:rsid w:val="00EC79AA"/>
    <w:rsid w:val="00ED0237"/>
    <w:rsid w:val="00ED2021"/>
    <w:rsid w:val="00ED2E55"/>
    <w:rsid w:val="00ED2F0A"/>
    <w:rsid w:val="00ED375E"/>
    <w:rsid w:val="00ED375F"/>
    <w:rsid w:val="00ED3B05"/>
    <w:rsid w:val="00ED41DC"/>
    <w:rsid w:val="00ED4CD0"/>
    <w:rsid w:val="00ED4F56"/>
    <w:rsid w:val="00ED5804"/>
    <w:rsid w:val="00ED5BB4"/>
    <w:rsid w:val="00ED5EDD"/>
    <w:rsid w:val="00ED622D"/>
    <w:rsid w:val="00ED6702"/>
    <w:rsid w:val="00ED727F"/>
    <w:rsid w:val="00ED77D1"/>
    <w:rsid w:val="00ED7D2D"/>
    <w:rsid w:val="00EE04EB"/>
    <w:rsid w:val="00EE0E40"/>
    <w:rsid w:val="00EE0F03"/>
    <w:rsid w:val="00EE1C2C"/>
    <w:rsid w:val="00EE1D12"/>
    <w:rsid w:val="00EE2866"/>
    <w:rsid w:val="00EE3634"/>
    <w:rsid w:val="00EE3744"/>
    <w:rsid w:val="00EE38ED"/>
    <w:rsid w:val="00EE3DDF"/>
    <w:rsid w:val="00EE469B"/>
    <w:rsid w:val="00EE4782"/>
    <w:rsid w:val="00EE495C"/>
    <w:rsid w:val="00EE4F1B"/>
    <w:rsid w:val="00EE501A"/>
    <w:rsid w:val="00EE56DE"/>
    <w:rsid w:val="00EE5857"/>
    <w:rsid w:val="00EE6744"/>
    <w:rsid w:val="00EE6905"/>
    <w:rsid w:val="00EE6C26"/>
    <w:rsid w:val="00EE71E1"/>
    <w:rsid w:val="00EE73BD"/>
    <w:rsid w:val="00EE7FB0"/>
    <w:rsid w:val="00EF01AE"/>
    <w:rsid w:val="00EF0AAB"/>
    <w:rsid w:val="00EF0ECC"/>
    <w:rsid w:val="00EF1C87"/>
    <w:rsid w:val="00EF1E95"/>
    <w:rsid w:val="00EF221B"/>
    <w:rsid w:val="00EF4564"/>
    <w:rsid w:val="00EF4A13"/>
    <w:rsid w:val="00EF4AB0"/>
    <w:rsid w:val="00EF4D52"/>
    <w:rsid w:val="00EF5E2D"/>
    <w:rsid w:val="00EF60A0"/>
    <w:rsid w:val="00EF61DC"/>
    <w:rsid w:val="00EF71A6"/>
    <w:rsid w:val="00F00D3B"/>
    <w:rsid w:val="00F010DE"/>
    <w:rsid w:val="00F018EC"/>
    <w:rsid w:val="00F01D65"/>
    <w:rsid w:val="00F01D73"/>
    <w:rsid w:val="00F0394A"/>
    <w:rsid w:val="00F03C70"/>
    <w:rsid w:val="00F041B4"/>
    <w:rsid w:val="00F04347"/>
    <w:rsid w:val="00F04469"/>
    <w:rsid w:val="00F0453E"/>
    <w:rsid w:val="00F066E1"/>
    <w:rsid w:val="00F0714C"/>
    <w:rsid w:val="00F07309"/>
    <w:rsid w:val="00F07EA2"/>
    <w:rsid w:val="00F10ECD"/>
    <w:rsid w:val="00F10F3B"/>
    <w:rsid w:val="00F11336"/>
    <w:rsid w:val="00F11524"/>
    <w:rsid w:val="00F11600"/>
    <w:rsid w:val="00F1181B"/>
    <w:rsid w:val="00F12252"/>
    <w:rsid w:val="00F128EE"/>
    <w:rsid w:val="00F12C0D"/>
    <w:rsid w:val="00F12E24"/>
    <w:rsid w:val="00F14084"/>
    <w:rsid w:val="00F169CC"/>
    <w:rsid w:val="00F204BD"/>
    <w:rsid w:val="00F20588"/>
    <w:rsid w:val="00F208F0"/>
    <w:rsid w:val="00F20AFD"/>
    <w:rsid w:val="00F229D0"/>
    <w:rsid w:val="00F23200"/>
    <w:rsid w:val="00F234FA"/>
    <w:rsid w:val="00F25290"/>
    <w:rsid w:val="00F25390"/>
    <w:rsid w:val="00F2558D"/>
    <w:rsid w:val="00F25CBE"/>
    <w:rsid w:val="00F25EDE"/>
    <w:rsid w:val="00F2633C"/>
    <w:rsid w:val="00F26567"/>
    <w:rsid w:val="00F265D4"/>
    <w:rsid w:val="00F26CA8"/>
    <w:rsid w:val="00F26D56"/>
    <w:rsid w:val="00F272DD"/>
    <w:rsid w:val="00F2755C"/>
    <w:rsid w:val="00F30775"/>
    <w:rsid w:val="00F308B3"/>
    <w:rsid w:val="00F315B9"/>
    <w:rsid w:val="00F31747"/>
    <w:rsid w:val="00F31F94"/>
    <w:rsid w:val="00F321C4"/>
    <w:rsid w:val="00F3355D"/>
    <w:rsid w:val="00F3364A"/>
    <w:rsid w:val="00F337C4"/>
    <w:rsid w:val="00F34A4E"/>
    <w:rsid w:val="00F355AE"/>
    <w:rsid w:val="00F35602"/>
    <w:rsid w:val="00F35B57"/>
    <w:rsid w:val="00F37874"/>
    <w:rsid w:val="00F41E5C"/>
    <w:rsid w:val="00F42091"/>
    <w:rsid w:val="00F42DE0"/>
    <w:rsid w:val="00F43AE9"/>
    <w:rsid w:val="00F43C62"/>
    <w:rsid w:val="00F43E07"/>
    <w:rsid w:val="00F44A95"/>
    <w:rsid w:val="00F44DE0"/>
    <w:rsid w:val="00F44EDB"/>
    <w:rsid w:val="00F45707"/>
    <w:rsid w:val="00F45B3B"/>
    <w:rsid w:val="00F45C01"/>
    <w:rsid w:val="00F478AB"/>
    <w:rsid w:val="00F50927"/>
    <w:rsid w:val="00F52069"/>
    <w:rsid w:val="00F53B85"/>
    <w:rsid w:val="00F54B92"/>
    <w:rsid w:val="00F54EC3"/>
    <w:rsid w:val="00F55D35"/>
    <w:rsid w:val="00F564A2"/>
    <w:rsid w:val="00F56C18"/>
    <w:rsid w:val="00F56DD2"/>
    <w:rsid w:val="00F57649"/>
    <w:rsid w:val="00F57BF1"/>
    <w:rsid w:val="00F57FC3"/>
    <w:rsid w:val="00F61E02"/>
    <w:rsid w:val="00F623D9"/>
    <w:rsid w:val="00F625CB"/>
    <w:rsid w:val="00F63000"/>
    <w:rsid w:val="00F643AF"/>
    <w:rsid w:val="00F64532"/>
    <w:rsid w:val="00F6479E"/>
    <w:rsid w:val="00F6575E"/>
    <w:rsid w:val="00F66419"/>
    <w:rsid w:val="00F725A2"/>
    <w:rsid w:val="00F72984"/>
    <w:rsid w:val="00F729B4"/>
    <w:rsid w:val="00F73643"/>
    <w:rsid w:val="00F7377B"/>
    <w:rsid w:val="00F73789"/>
    <w:rsid w:val="00F73B9F"/>
    <w:rsid w:val="00F73FA6"/>
    <w:rsid w:val="00F74091"/>
    <w:rsid w:val="00F7568D"/>
    <w:rsid w:val="00F7568E"/>
    <w:rsid w:val="00F757A5"/>
    <w:rsid w:val="00F762CA"/>
    <w:rsid w:val="00F76426"/>
    <w:rsid w:val="00F76559"/>
    <w:rsid w:val="00F76A09"/>
    <w:rsid w:val="00F81495"/>
    <w:rsid w:val="00F819E0"/>
    <w:rsid w:val="00F81C6A"/>
    <w:rsid w:val="00F826DA"/>
    <w:rsid w:val="00F82BA9"/>
    <w:rsid w:val="00F84C7D"/>
    <w:rsid w:val="00F859CB"/>
    <w:rsid w:val="00F86A8B"/>
    <w:rsid w:val="00F86B87"/>
    <w:rsid w:val="00F87025"/>
    <w:rsid w:val="00F9039D"/>
    <w:rsid w:val="00F9183F"/>
    <w:rsid w:val="00F92649"/>
    <w:rsid w:val="00F92A0F"/>
    <w:rsid w:val="00F94A30"/>
    <w:rsid w:val="00F94C4A"/>
    <w:rsid w:val="00F95A7A"/>
    <w:rsid w:val="00F962DA"/>
    <w:rsid w:val="00F967BE"/>
    <w:rsid w:val="00F9683A"/>
    <w:rsid w:val="00F96DF2"/>
    <w:rsid w:val="00F96E64"/>
    <w:rsid w:val="00F9711F"/>
    <w:rsid w:val="00F97319"/>
    <w:rsid w:val="00F97457"/>
    <w:rsid w:val="00FA0995"/>
    <w:rsid w:val="00FA1F2E"/>
    <w:rsid w:val="00FA2005"/>
    <w:rsid w:val="00FA3D48"/>
    <w:rsid w:val="00FA4504"/>
    <w:rsid w:val="00FA47F2"/>
    <w:rsid w:val="00FA4C23"/>
    <w:rsid w:val="00FA616C"/>
    <w:rsid w:val="00FA6506"/>
    <w:rsid w:val="00FA6649"/>
    <w:rsid w:val="00FA6BD0"/>
    <w:rsid w:val="00FA6C2A"/>
    <w:rsid w:val="00FA74AA"/>
    <w:rsid w:val="00FB0103"/>
    <w:rsid w:val="00FB0595"/>
    <w:rsid w:val="00FB0E61"/>
    <w:rsid w:val="00FB1119"/>
    <w:rsid w:val="00FB1ACD"/>
    <w:rsid w:val="00FB2B42"/>
    <w:rsid w:val="00FB314A"/>
    <w:rsid w:val="00FB348B"/>
    <w:rsid w:val="00FB3615"/>
    <w:rsid w:val="00FB384A"/>
    <w:rsid w:val="00FB4232"/>
    <w:rsid w:val="00FB42E1"/>
    <w:rsid w:val="00FB47C0"/>
    <w:rsid w:val="00FB5FEF"/>
    <w:rsid w:val="00FB61AD"/>
    <w:rsid w:val="00FB6489"/>
    <w:rsid w:val="00FB6B61"/>
    <w:rsid w:val="00FB6D1D"/>
    <w:rsid w:val="00FB713A"/>
    <w:rsid w:val="00FB7907"/>
    <w:rsid w:val="00FB7FB1"/>
    <w:rsid w:val="00FC0BE0"/>
    <w:rsid w:val="00FC1057"/>
    <w:rsid w:val="00FC1C01"/>
    <w:rsid w:val="00FC2202"/>
    <w:rsid w:val="00FC240E"/>
    <w:rsid w:val="00FC2B71"/>
    <w:rsid w:val="00FC2EB6"/>
    <w:rsid w:val="00FC35A0"/>
    <w:rsid w:val="00FC418C"/>
    <w:rsid w:val="00FC421E"/>
    <w:rsid w:val="00FC4C29"/>
    <w:rsid w:val="00FC54A1"/>
    <w:rsid w:val="00FC57F2"/>
    <w:rsid w:val="00FC5CD7"/>
    <w:rsid w:val="00FC60FA"/>
    <w:rsid w:val="00FC65BE"/>
    <w:rsid w:val="00FC692C"/>
    <w:rsid w:val="00FD0A8B"/>
    <w:rsid w:val="00FD0B2E"/>
    <w:rsid w:val="00FD102F"/>
    <w:rsid w:val="00FD171C"/>
    <w:rsid w:val="00FD1750"/>
    <w:rsid w:val="00FD1F33"/>
    <w:rsid w:val="00FD22BC"/>
    <w:rsid w:val="00FD2C82"/>
    <w:rsid w:val="00FD3206"/>
    <w:rsid w:val="00FD32D2"/>
    <w:rsid w:val="00FD372B"/>
    <w:rsid w:val="00FD39E7"/>
    <w:rsid w:val="00FD3AB9"/>
    <w:rsid w:val="00FD4376"/>
    <w:rsid w:val="00FD448E"/>
    <w:rsid w:val="00FD53BE"/>
    <w:rsid w:val="00FD5678"/>
    <w:rsid w:val="00FD5735"/>
    <w:rsid w:val="00FD64D6"/>
    <w:rsid w:val="00FD6750"/>
    <w:rsid w:val="00FD6986"/>
    <w:rsid w:val="00FD782E"/>
    <w:rsid w:val="00FE01AE"/>
    <w:rsid w:val="00FE04CB"/>
    <w:rsid w:val="00FE07A7"/>
    <w:rsid w:val="00FE09EB"/>
    <w:rsid w:val="00FE15B0"/>
    <w:rsid w:val="00FE1A26"/>
    <w:rsid w:val="00FE1B77"/>
    <w:rsid w:val="00FE28C0"/>
    <w:rsid w:val="00FE2D04"/>
    <w:rsid w:val="00FE32E5"/>
    <w:rsid w:val="00FE4613"/>
    <w:rsid w:val="00FE47B2"/>
    <w:rsid w:val="00FE4CBC"/>
    <w:rsid w:val="00FE4DDC"/>
    <w:rsid w:val="00FE551E"/>
    <w:rsid w:val="00FE5A39"/>
    <w:rsid w:val="00FE6ADE"/>
    <w:rsid w:val="00FE6CC1"/>
    <w:rsid w:val="00FE723B"/>
    <w:rsid w:val="00FE774A"/>
    <w:rsid w:val="00FF040B"/>
    <w:rsid w:val="00FF0B4F"/>
    <w:rsid w:val="00FF12FC"/>
    <w:rsid w:val="00FF2460"/>
    <w:rsid w:val="00FF289A"/>
    <w:rsid w:val="00FF34A4"/>
    <w:rsid w:val="00FF3B7E"/>
    <w:rsid w:val="00FF4ACF"/>
    <w:rsid w:val="00FF5668"/>
    <w:rsid w:val="00FF598A"/>
    <w:rsid w:val="00FF634E"/>
    <w:rsid w:val="00FF6648"/>
    <w:rsid w:val="00FF68AE"/>
    <w:rsid w:val="00FF7082"/>
    <w:rsid w:val="00FF7657"/>
    <w:rsid w:val="00FF7E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B0CF1"/>
  <w15:docId w15:val="{1816C4AC-141A-440B-9215-866A81459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046D"/>
    <w:pPr>
      <w:jc w:val="both"/>
    </w:pPr>
    <w:rPr>
      <w:color w:val="44546A" w:themeColor="text2"/>
      <w:sz w:val="20"/>
      <w:lang w:val="sr-Cyrl-CS"/>
    </w:rPr>
  </w:style>
  <w:style w:type="paragraph" w:styleId="Heading1">
    <w:name w:val="heading 1"/>
    <w:basedOn w:val="Normal"/>
    <w:next w:val="Normal"/>
    <w:link w:val="Heading1Char"/>
    <w:uiPriority w:val="9"/>
    <w:qFormat/>
    <w:rsid w:val="00AF23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Podnaslov 2"/>
    <w:basedOn w:val="Normal"/>
    <w:next w:val="Normal"/>
    <w:link w:val="Heading2Char"/>
    <w:uiPriority w:val="9"/>
    <w:unhideWhenUsed/>
    <w:qFormat/>
    <w:rsid w:val="00AF2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70694"/>
    <w:pPr>
      <w:autoSpaceDE w:val="0"/>
      <w:autoSpaceDN w:val="0"/>
      <w:adjustRightInd w:val="0"/>
      <w:spacing w:after="0" w:line="240" w:lineRule="auto"/>
    </w:pPr>
    <w:rPr>
      <w:rFonts w:ascii="Cambria" w:hAnsi="Cambria" w:cs="Cambria"/>
      <w:color w:val="000000"/>
      <w:sz w:val="24"/>
      <w:szCs w:val="24"/>
    </w:rPr>
  </w:style>
  <w:style w:type="paragraph" w:styleId="Header">
    <w:name w:val="header"/>
    <w:basedOn w:val="Normal"/>
    <w:link w:val="HeaderChar"/>
    <w:uiPriority w:val="99"/>
    <w:unhideWhenUsed/>
    <w:rsid w:val="00BF7F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F6A"/>
  </w:style>
  <w:style w:type="paragraph" w:styleId="Footer">
    <w:name w:val="footer"/>
    <w:basedOn w:val="Normal"/>
    <w:link w:val="FooterChar"/>
    <w:uiPriority w:val="99"/>
    <w:unhideWhenUsed/>
    <w:rsid w:val="00BF7F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F6A"/>
  </w:style>
  <w:style w:type="character" w:customStyle="1" w:styleId="Heading1Char">
    <w:name w:val="Heading 1 Char"/>
    <w:basedOn w:val="DefaultParagraphFont"/>
    <w:link w:val="Heading1"/>
    <w:uiPriority w:val="9"/>
    <w:rsid w:val="00AF235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F2359"/>
    <w:pPr>
      <w:outlineLvl w:val="9"/>
    </w:pPr>
  </w:style>
  <w:style w:type="paragraph" w:styleId="TOC1">
    <w:name w:val="toc 1"/>
    <w:basedOn w:val="Normal"/>
    <w:next w:val="Normal"/>
    <w:autoRedefine/>
    <w:uiPriority w:val="39"/>
    <w:unhideWhenUsed/>
    <w:rsid w:val="005311D2"/>
    <w:pPr>
      <w:tabs>
        <w:tab w:val="left" w:pos="270"/>
        <w:tab w:val="right" w:leader="dot" w:pos="9350"/>
      </w:tabs>
      <w:spacing w:after="100"/>
      <w:ind w:firstLine="180"/>
    </w:pPr>
    <w:rPr>
      <w:rFonts w:cstheme="minorHAnsi"/>
      <w:b/>
      <w:bCs/>
      <w:noProof/>
      <w:szCs w:val="20"/>
      <w:lang w:val="sr-Cyrl-RS"/>
    </w:rPr>
  </w:style>
  <w:style w:type="character" w:styleId="Hyperlink">
    <w:name w:val="Hyperlink"/>
    <w:basedOn w:val="DefaultParagraphFont"/>
    <w:uiPriority w:val="99"/>
    <w:unhideWhenUsed/>
    <w:rsid w:val="00AF2359"/>
    <w:rPr>
      <w:color w:val="0563C1" w:themeColor="hyperlink"/>
      <w:u w:val="single"/>
    </w:rPr>
  </w:style>
  <w:style w:type="character" w:customStyle="1" w:styleId="Heading2Char">
    <w:name w:val="Heading 2 Char"/>
    <w:aliases w:val="Podnaslov 2 Char"/>
    <w:basedOn w:val="DefaultParagraphFont"/>
    <w:link w:val="Heading2"/>
    <w:uiPriority w:val="9"/>
    <w:rsid w:val="00AF2359"/>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AF7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72065C"/>
    <w:pPr>
      <w:tabs>
        <w:tab w:val="right" w:leader="dot" w:pos="9350"/>
      </w:tabs>
      <w:spacing w:after="100"/>
      <w:ind w:left="220"/>
    </w:pPr>
    <w:rPr>
      <w:rFonts w:eastAsia="MS PGothic" w:cstheme="minorHAnsi"/>
      <w:b/>
      <w:noProof/>
      <w:lang w:val="sr-Cyrl-RS" w:eastAsia="ja-JP"/>
    </w:rPr>
  </w:style>
  <w:style w:type="paragraph" w:styleId="FootnoteText">
    <w:name w:val="footnote text"/>
    <w:aliases w:val="Footnote Text Char Char Char,Footnote Text Char Char,single space,footnote text,fn,FOOTNOTES,ADB,Footnote Text Char Char Char Char Char,Footnote Text Char Char1,ft,Texto nota pie Car,ft Car,ft Car Car,Texto nota pie2,ft1,f,A,fn1"/>
    <w:basedOn w:val="Normal"/>
    <w:link w:val="FootnoteTextChar"/>
    <w:uiPriority w:val="99"/>
    <w:unhideWhenUsed/>
    <w:qFormat/>
    <w:rsid w:val="005556DC"/>
    <w:pPr>
      <w:spacing w:after="0" w:line="240" w:lineRule="auto"/>
    </w:pPr>
    <w:rPr>
      <w:szCs w:val="20"/>
    </w:rPr>
  </w:style>
  <w:style w:type="character" w:customStyle="1" w:styleId="FootnoteTextChar">
    <w:name w:val="Footnote Text Char"/>
    <w:aliases w:val="Footnote Text Char Char Char Char,Footnote Text Char Char Char1,single space Char,footnote text Char,fn Char,FOOTNOTES Char,ADB Char,Footnote Text Char Char Char Char Char Char,Footnote Text Char Char1 Char,ft Char,ft Car Char,f Char"/>
    <w:basedOn w:val="DefaultParagraphFont"/>
    <w:link w:val="FootnoteText"/>
    <w:uiPriority w:val="99"/>
    <w:qFormat/>
    <w:rsid w:val="005556DC"/>
    <w:rPr>
      <w:sz w:val="20"/>
      <w:szCs w:val="20"/>
    </w:rPr>
  </w:style>
  <w:style w:type="character" w:styleId="FootnoteReference">
    <w:name w:val="footnote reference"/>
    <w:aliases w:val="ftref,Normal + Font:9 Point,Superscript 3 Point Times,SUPERS,EN Footnote Reference,number,Char Char,BVI fnr,Footnote symbol,Footnote reference number,note TESI,ftref Char,BVI fnr Char,BVI fnr Car Char,Char Char Car Char,16 Point Char"/>
    <w:basedOn w:val="DefaultParagraphFont"/>
    <w:link w:val="NumPar1"/>
    <w:uiPriority w:val="99"/>
    <w:unhideWhenUsed/>
    <w:qFormat/>
    <w:rsid w:val="005556DC"/>
    <w:rPr>
      <w:vertAlign w:val="superscript"/>
    </w:rPr>
  </w:style>
  <w:style w:type="character" w:customStyle="1" w:styleId="Hyperlink1">
    <w:name w:val="Hyperlink1"/>
    <w:basedOn w:val="DefaultParagraphFont"/>
    <w:uiPriority w:val="99"/>
    <w:unhideWhenUsed/>
    <w:rsid w:val="005556DC"/>
    <w:rPr>
      <w:color w:val="0563C1"/>
      <w:u w:val="single"/>
    </w:rPr>
  </w:style>
  <w:style w:type="paragraph" w:styleId="Caption">
    <w:name w:val="caption"/>
    <w:basedOn w:val="Normal"/>
    <w:next w:val="Normal"/>
    <w:uiPriority w:val="35"/>
    <w:unhideWhenUsed/>
    <w:qFormat/>
    <w:rsid w:val="004B197B"/>
    <w:pPr>
      <w:jc w:val="center"/>
    </w:pPr>
    <w:rPr>
      <w:b/>
      <w:iCs/>
      <w:color w:val="002060"/>
      <w:szCs w:val="18"/>
    </w:rPr>
  </w:style>
  <w:style w:type="table" w:customStyle="1" w:styleId="GridTable5Dark-Accent51">
    <w:name w:val="Grid Table 5 Dark - Accent 51"/>
    <w:basedOn w:val="TableNormal"/>
    <w:uiPriority w:val="50"/>
    <w:rsid w:val="004351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
    <w:name w:val="Light Shading - Accent 333"/>
    <w:basedOn w:val="TableNormal"/>
    <w:next w:val="LightShading-Accent3"/>
    <w:uiPriority w:val="60"/>
    <w:rsid w:val="00CB0452"/>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3">
    <w:name w:val="Light Shading Accent 3"/>
    <w:basedOn w:val="TableNormal"/>
    <w:uiPriority w:val="60"/>
    <w:semiHidden/>
    <w:unhideWhenUsed/>
    <w:rsid w:val="00CB0452"/>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CommentReference">
    <w:name w:val="annotation reference"/>
    <w:basedOn w:val="DefaultParagraphFont"/>
    <w:uiPriority w:val="99"/>
    <w:semiHidden/>
    <w:unhideWhenUsed/>
    <w:rsid w:val="00CB0452"/>
    <w:rPr>
      <w:sz w:val="16"/>
      <w:szCs w:val="16"/>
    </w:rPr>
  </w:style>
  <w:style w:type="paragraph" w:styleId="CommentText">
    <w:name w:val="annotation text"/>
    <w:basedOn w:val="Normal"/>
    <w:link w:val="CommentTextChar"/>
    <w:uiPriority w:val="99"/>
    <w:unhideWhenUsed/>
    <w:rsid w:val="00CB0452"/>
    <w:pPr>
      <w:spacing w:line="240" w:lineRule="auto"/>
    </w:pPr>
    <w:rPr>
      <w:szCs w:val="20"/>
    </w:rPr>
  </w:style>
  <w:style w:type="character" w:customStyle="1" w:styleId="CommentTextChar">
    <w:name w:val="Comment Text Char"/>
    <w:basedOn w:val="DefaultParagraphFont"/>
    <w:link w:val="CommentText"/>
    <w:uiPriority w:val="99"/>
    <w:rsid w:val="00CB0452"/>
    <w:rPr>
      <w:sz w:val="20"/>
      <w:szCs w:val="20"/>
    </w:rPr>
  </w:style>
  <w:style w:type="paragraph" w:styleId="CommentSubject">
    <w:name w:val="annotation subject"/>
    <w:basedOn w:val="CommentText"/>
    <w:next w:val="CommentText"/>
    <w:link w:val="CommentSubjectChar"/>
    <w:uiPriority w:val="99"/>
    <w:semiHidden/>
    <w:unhideWhenUsed/>
    <w:rsid w:val="00CB0452"/>
    <w:rPr>
      <w:b/>
      <w:bCs/>
    </w:rPr>
  </w:style>
  <w:style w:type="character" w:customStyle="1" w:styleId="CommentSubjectChar">
    <w:name w:val="Comment Subject Char"/>
    <w:basedOn w:val="CommentTextChar"/>
    <w:link w:val="CommentSubject"/>
    <w:uiPriority w:val="99"/>
    <w:semiHidden/>
    <w:rsid w:val="00CB0452"/>
    <w:rPr>
      <w:b/>
      <w:bCs/>
      <w:sz w:val="20"/>
      <w:szCs w:val="20"/>
    </w:rPr>
  </w:style>
  <w:style w:type="paragraph" w:styleId="BalloonText">
    <w:name w:val="Balloon Text"/>
    <w:basedOn w:val="Normal"/>
    <w:link w:val="BalloonTextChar"/>
    <w:uiPriority w:val="99"/>
    <w:semiHidden/>
    <w:unhideWhenUsed/>
    <w:rsid w:val="00CB04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0452"/>
    <w:rPr>
      <w:rFonts w:ascii="Segoe UI" w:hAnsi="Segoe UI" w:cs="Segoe UI"/>
      <w:sz w:val="18"/>
      <w:szCs w:val="18"/>
    </w:rPr>
  </w:style>
  <w:style w:type="table" w:customStyle="1" w:styleId="TableGrid2">
    <w:name w:val="Table Grid2"/>
    <w:basedOn w:val="TableNormal"/>
    <w:next w:val="TableGrid"/>
    <w:uiPriority w:val="39"/>
    <w:rsid w:val="008E6892"/>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ListParagraph">
    <w:name w:val="List Paragraph"/>
    <w:basedOn w:val="Normal"/>
    <w:link w:val="ListParagraphChar"/>
    <w:uiPriority w:val="34"/>
    <w:qFormat/>
    <w:rsid w:val="0001456F"/>
    <w:pPr>
      <w:ind w:left="720"/>
      <w:contextualSpacing/>
    </w:pPr>
  </w:style>
  <w:style w:type="character" w:customStyle="1" w:styleId="UnresolvedMention1">
    <w:name w:val="Unresolved Mention1"/>
    <w:basedOn w:val="DefaultParagraphFont"/>
    <w:uiPriority w:val="99"/>
    <w:semiHidden/>
    <w:unhideWhenUsed/>
    <w:rsid w:val="002C1D90"/>
    <w:rPr>
      <w:color w:val="605E5C"/>
      <w:shd w:val="clear" w:color="auto" w:fill="E1DFDD"/>
    </w:rPr>
  </w:style>
  <w:style w:type="table" w:customStyle="1" w:styleId="LightShading-Accent335">
    <w:name w:val="Light Shading - Accent 335"/>
    <w:basedOn w:val="TableNormal"/>
    <w:next w:val="LightShading-Accent3"/>
    <w:uiPriority w:val="60"/>
    <w:rsid w:val="009877E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
    <w:name w:val="No List1"/>
    <w:next w:val="NoList"/>
    <w:uiPriority w:val="99"/>
    <w:semiHidden/>
    <w:unhideWhenUsed/>
    <w:rsid w:val="00BA4876"/>
  </w:style>
  <w:style w:type="table" w:customStyle="1" w:styleId="TableGrid1">
    <w:name w:val="Table Grid1"/>
    <w:basedOn w:val="TableNormal"/>
    <w:next w:val="TableGrid"/>
    <w:uiPriority w:val="59"/>
    <w:rsid w:val="00BA4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0">
    <w:name w:val="Grid Table 5 Dark - Accent 51"/>
    <w:basedOn w:val="TableNormal"/>
    <w:next w:val="GridTable5Dark-Accent51"/>
    <w:uiPriority w:val="50"/>
    <w:rsid w:val="00BA487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
    <w:name w:val="Light Shading - Accent 3331"/>
    <w:basedOn w:val="TableNormal"/>
    <w:next w:val="LightShading-Accent3"/>
    <w:uiPriority w:val="60"/>
    <w:rsid w:val="00BA4876"/>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
    <w:name w:val="Light Shading - Accent 31"/>
    <w:basedOn w:val="TableNormal"/>
    <w:next w:val="LightShading-Accent3"/>
    <w:uiPriority w:val="60"/>
    <w:semiHidden/>
    <w:unhideWhenUsed/>
    <w:rsid w:val="00BA4876"/>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
    <w:name w:val="Table Grid21"/>
    <w:basedOn w:val="TableNormal"/>
    <w:next w:val="TableGrid"/>
    <w:uiPriority w:val="39"/>
    <w:rsid w:val="00BA4876"/>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
    <w:name w:val="Light Shading - Accent 12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
    <w:name w:val="Light Shading - Accent 12"/>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Spacing">
    <w:name w:val="No Spacing"/>
    <w:aliases w:val="Uvodna rečenica"/>
    <w:uiPriority w:val="1"/>
    <w:qFormat/>
    <w:rsid w:val="00BA4876"/>
    <w:pPr>
      <w:spacing w:after="0" w:line="240" w:lineRule="auto"/>
      <w:jc w:val="both"/>
    </w:pPr>
    <w:rPr>
      <w:b/>
      <w:color w:val="2F5496" w:themeColor="accent1" w:themeShade="BF"/>
      <w:sz w:val="20"/>
    </w:rPr>
  </w:style>
  <w:style w:type="table" w:customStyle="1" w:styleId="LightShading-Accent3351">
    <w:name w:val="Light Shading - Accent 3351"/>
    <w:basedOn w:val="TableNormal"/>
    <w:next w:val="LightShading-Accent3"/>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
    <w:name w:val="Light Shading - Accent 1221"/>
    <w:basedOn w:val="TableNormal"/>
    <w:uiPriority w:val="60"/>
    <w:rsid w:val="00BA4876"/>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rmalWeb">
    <w:name w:val="Normal (Web)"/>
    <w:basedOn w:val="Normal"/>
    <w:uiPriority w:val="99"/>
    <w:semiHidden/>
    <w:unhideWhenUsed/>
    <w:rsid w:val="00BA48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locked/>
    <w:rsid w:val="00BA4876"/>
  </w:style>
  <w:style w:type="table" w:customStyle="1" w:styleId="LightShading-Accent1211">
    <w:name w:val="Light Shading - Accent 121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
    <w:name w:val="List Table 6 Colorful - Accent 61"/>
    <w:basedOn w:val="TableNormal"/>
    <w:uiPriority w:val="51"/>
    <w:rsid w:val="00BA487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BA4876"/>
    <w:rPr>
      <w:color w:val="0563C1"/>
      <w:u w:val="single"/>
    </w:rPr>
  </w:style>
  <w:style w:type="table" w:customStyle="1" w:styleId="ListTable1Light-Accent61">
    <w:name w:val="List Table 1 Light - Accent 61"/>
    <w:basedOn w:val="TableNormal"/>
    <w:uiPriority w:val="46"/>
    <w:rsid w:val="00BA4876"/>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
    <w:name w:val="Light Shading - Accent 336"/>
    <w:basedOn w:val="TableNormal"/>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2">
    <w:name w:val="Unresolved Mention2"/>
    <w:basedOn w:val="DefaultParagraphFont"/>
    <w:uiPriority w:val="99"/>
    <w:semiHidden/>
    <w:unhideWhenUsed/>
    <w:rsid w:val="00BA4876"/>
    <w:rPr>
      <w:color w:val="605E5C"/>
      <w:shd w:val="clear" w:color="auto" w:fill="E1DFDD"/>
    </w:rPr>
  </w:style>
  <w:style w:type="table" w:customStyle="1" w:styleId="LightShading-Accent337">
    <w:name w:val="Light Shading - Accent 337"/>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3">
    <w:name w:val="Unresolved Mention3"/>
    <w:basedOn w:val="DefaultParagraphFont"/>
    <w:uiPriority w:val="99"/>
    <w:semiHidden/>
    <w:unhideWhenUsed/>
    <w:rsid w:val="001E3C08"/>
    <w:rPr>
      <w:color w:val="605E5C"/>
      <w:shd w:val="clear" w:color="auto" w:fill="E1DFDD"/>
    </w:rPr>
  </w:style>
  <w:style w:type="table" w:customStyle="1" w:styleId="LightShading-Accent3371">
    <w:name w:val="Light Shading - Accent 337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
    <w:name w:val="No List2"/>
    <w:next w:val="NoList"/>
    <w:uiPriority w:val="99"/>
    <w:semiHidden/>
    <w:unhideWhenUsed/>
    <w:rsid w:val="005C34A0"/>
  </w:style>
  <w:style w:type="table" w:customStyle="1" w:styleId="TableGrid3">
    <w:name w:val="Table Grid3"/>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
    <w:name w:val="Grid Table 5 Dark - Accent 52"/>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
    <w:name w:val="Light Shading - Accent 3332"/>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
    <w:name w:val="Light Shading - Accent 32"/>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
    <w:name w:val="Table Grid22"/>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
    <w:name w:val="Light Shading - Accent 3352"/>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
    <w:name w:val="No List11"/>
    <w:next w:val="NoList"/>
    <w:uiPriority w:val="99"/>
    <w:semiHidden/>
    <w:unhideWhenUsed/>
    <w:rsid w:val="005C34A0"/>
  </w:style>
  <w:style w:type="table" w:customStyle="1" w:styleId="TableGrid11">
    <w:name w:val="Table Grid11"/>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
    <w:name w:val="Grid Table 5 Dark - Accent 511"/>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
    <w:name w:val="Light Shading - Accent 33311"/>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
    <w:name w:val="Light Shading - Accent 311"/>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
    <w:name w:val="Table Grid211"/>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
    <w:name w:val="Light Shading - Accent 121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
    <w:name w:val="Light Shading - Accent 12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
    <w:name w:val="Light Shading - Accent 33511"/>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
    <w:name w:val="Light Shading - Accent 12211"/>
    <w:basedOn w:val="TableNormal"/>
    <w:uiPriority w:val="60"/>
    <w:rsid w:val="005C34A0"/>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
    <w:name w:val="Light Shading - Accent 12111"/>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0">
    <w:name w:val="List Table 6 Colorful - Accent 61"/>
    <w:basedOn w:val="TableNormal"/>
    <w:next w:val="ListTable6Colorful-Accent61"/>
    <w:uiPriority w:val="51"/>
    <w:rsid w:val="005C34A0"/>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
    <w:name w:val="List Table 1 Light - Accent 611"/>
    <w:basedOn w:val="TableNormal"/>
    <w:uiPriority w:val="46"/>
    <w:rsid w:val="005C34A0"/>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
    <w:name w:val="Light Shading - Accent 336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
    <w:name w:val="Light Shading - Accent 3372"/>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
    <w:name w:val="Light Shading - Accent 338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
    <w:name w:val="Table Grid4"/>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51301A"/>
    <w:rPr>
      <w:b/>
      <w:bCs/>
    </w:rPr>
  </w:style>
  <w:style w:type="table" w:customStyle="1" w:styleId="PlainTable41">
    <w:name w:val="Plain Table 41"/>
    <w:basedOn w:val="TableNormal"/>
    <w:uiPriority w:val="44"/>
    <w:rsid w:val="001901F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5">
    <w:name w:val="Grid Table 5 Dark Accent 5"/>
    <w:basedOn w:val="TableNormal"/>
    <w:uiPriority w:val="50"/>
    <w:rsid w:val="00C2610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ListTable6Colorful-Accent6">
    <w:name w:val="List Table 6 Colorful Accent 6"/>
    <w:basedOn w:val="TableNormal"/>
    <w:uiPriority w:val="51"/>
    <w:rsid w:val="00C2610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jlqj4b">
    <w:name w:val="jlqj4b"/>
    <w:basedOn w:val="DefaultParagraphFont"/>
    <w:rsid w:val="007A529E"/>
  </w:style>
  <w:style w:type="table" w:styleId="ListTable1Light-Accent3">
    <w:name w:val="List Table 1 Light Accent 3"/>
    <w:basedOn w:val="TableNormal"/>
    <w:uiPriority w:val="46"/>
    <w:rsid w:val="006E4FB8"/>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
    <w:name w:val="Plain Table 411"/>
    <w:basedOn w:val="TableNormal"/>
    <w:uiPriority w:val="44"/>
    <w:rsid w:val="00BB2F0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6Colorful-Accent1">
    <w:name w:val="Grid Table 6 Colorful Accent 1"/>
    <w:basedOn w:val="TableNormal"/>
    <w:uiPriority w:val="51"/>
    <w:rsid w:val="00BB2F03"/>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
    <w:name w:val="Light Shading - Accent 3382"/>
    <w:basedOn w:val="TableNormal"/>
    <w:uiPriority w:val="60"/>
    <w:rsid w:val="00BB2F03"/>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
    <w:name w:val="Light Shading - Accent 12121"/>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
    <w:name w:val="Light Shading - Accent 1222"/>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
    <w:name w:val="Table Grid61"/>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
    <w:name w:val="Grid Table 5 Dark - Accent 512"/>
    <w:basedOn w:val="TableNormal"/>
    <w:next w:val="GridTable5Dark-Accent510"/>
    <w:uiPriority w:val="50"/>
    <w:rsid w:val="00E124C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
    <w:name w:val="List Table 6 Colorful - Accent 611"/>
    <w:basedOn w:val="TableNormal"/>
    <w:next w:val="ListTable6Colorful-Accent610"/>
    <w:uiPriority w:val="51"/>
    <w:rsid w:val="00E124CF"/>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593E7B"/>
    <w:rPr>
      <w:color w:val="954F72" w:themeColor="followedHyperlink"/>
      <w:u w:val="single"/>
    </w:rPr>
  </w:style>
  <w:style w:type="paragraph" w:customStyle="1" w:styleId="NumPar1">
    <w:name w:val="NumPar 1"/>
    <w:basedOn w:val="Normal"/>
    <w:next w:val="Normal"/>
    <w:link w:val="FootnoteReference"/>
    <w:uiPriority w:val="99"/>
    <w:rsid w:val="00593E7B"/>
    <w:pPr>
      <w:numPr>
        <w:numId w:val="18"/>
      </w:numPr>
      <w:spacing w:before="120" w:after="120" w:line="240" w:lineRule="auto"/>
    </w:pPr>
    <w:rPr>
      <w:color w:val="auto"/>
      <w:sz w:val="22"/>
      <w:vertAlign w:val="superscript"/>
    </w:rPr>
  </w:style>
  <w:style w:type="paragraph" w:customStyle="1" w:styleId="NumPar2">
    <w:name w:val="NumPar 2"/>
    <w:basedOn w:val="Normal"/>
    <w:next w:val="Normal"/>
    <w:rsid w:val="00593E7B"/>
    <w:pPr>
      <w:numPr>
        <w:ilvl w:val="1"/>
        <w:numId w:val="18"/>
      </w:numPr>
      <w:spacing w:before="120" w:after="120" w:line="240" w:lineRule="auto"/>
    </w:pPr>
    <w:rPr>
      <w:rFonts w:ascii="Tunga" w:eastAsia="Arial Unicode MS" w:hAnsi="Tunga" w:cs="Tunga"/>
      <w:snapToGrid w:val="0"/>
      <w:color w:val="auto"/>
      <w:szCs w:val="20"/>
    </w:rPr>
  </w:style>
  <w:style w:type="paragraph" w:customStyle="1" w:styleId="NumPar3">
    <w:name w:val="NumPar 3"/>
    <w:basedOn w:val="Normal"/>
    <w:next w:val="Normal"/>
    <w:rsid w:val="00593E7B"/>
    <w:pPr>
      <w:numPr>
        <w:ilvl w:val="2"/>
        <w:numId w:val="18"/>
      </w:numPr>
      <w:spacing w:before="120" w:after="120" w:line="240" w:lineRule="auto"/>
    </w:pPr>
    <w:rPr>
      <w:rFonts w:ascii="Tunga" w:eastAsia="Arial Unicode MS" w:hAnsi="Tunga" w:cs="Tunga"/>
      <w:snapToGrid w:val="0"/>
      <w:color w:val="auto"/>
      <w:szCs w:val="20"/>
    </w:rPr>
  </w:style>
  <w:style w:type="paragraph" w:customStyle="1" w:styleId="NumPar4">
    <w:name w:val="NumPar 4"/>
    <w:basedOn w:val="Normal"/>
    <w:next w:val="Normal"/>
    <w:rsid w:val="00593E7B"/>
    <w:pPr>
      <w:numPr>
        <w:ilvl w:val="3"/>
        <w:numId w:val="18"/>
      </w:numPr>
      <w:spacing w:before="120" w:after="120" w:line="240" w:lineRule="auto"/>
    </w:pPr>
    <w:rPr>
      <w:rFonts w:ascii="Tunga" w:eastAsia="Arial Unicode MS" w:hAnsi="Tunga" w:cs="Tunga"/>
      <w:snapToGrid w:val="0"/>
      <w:color w:val="auto"/>
      <w:szCs w:val="20"/>
    </w:rPr>
  </w:style>
  <w:style w:type="paragraph" w:styleId="Revision">
    <w:name w:val="Revision"/>
    <w:hidden/>
    <w:uiPriority w:val="99"/>
    <w:semiHidden/>
    <w:rsid w:val="009377F8"/>
    <w:pPr>
      <w:spacing w:after="0" w:line="240" w:lineRule="auto"/>
    </w:pPr>
    <w:rPr>
      <w:color w:val="44546A" w:themeColor="text2"/>
      <w:sz w:val="20"/>
    </w:rPr>
  </w:style>
  <w:style w:type="character" w:customStyle="1" w:styleId="rynqvb">
    <w:name w:val="rynqvb"/>
    <w:basedOn w:val="DefaultParagraphFont"/>
    <w:rsid w:val="00D8744E"/>
  </w:style>
  <w:style w:type="character" w:customStyle="1" w:styleId="hwtze">
    <w:name w:val="hwtze"/>
    <w:basedOn w:val="DefaultParagraphFont"/>
    <w:rsid w:val="00D8744E"/>
  </w:style>
  <w:style w:type="table" w:customStyle="1" w:styleId="TableGrid621">
    <w:name w:val="Table Grid621"/>
    <w:basedOn w:val="TableNormal"/>
    <w:next w:val="TableGrid"/>
    <w:uiPriority w:val="39"/>
    <w:rsid w:val="00D96A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DF0C87"/>
  </w:style>
  <w:style w:type="table" w:customStyle="1" w:styleId="TableGrid7">
    <w:name w:val="Table Grid7"/>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3">
    <w:name w:val="Grid Table 5 Dark - Accent 513"/>
    <w:basedOn w:val="TableNormal"/>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3">
    <w:name w:val="Light Shading - Accent 3333"/>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
    <w:name w:val="Light Shading - Accent 33"/>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3">
    <w:name w:val="Table Grid23"/>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3">
    <w:name w:val="Light Shading - Accent 3353"/>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2">
    <w:name w:val="No List12"/>
    <w:next w:val="NoList"/>
    <w:uiPriority w:val="99"/>
    <w:semiHidden/>
    <w:unhideWhenUsed/>
    <w:rsid w:val="00DF0C87"/>
  </w:style>
  <w:style w:type="table" w:customStyle="1" w:styleId="TableGrid13">
    <w:name w:val="Table Grid13"/>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4">
    <w:name w:val="Grid Table 5 Dark - Accent 514"/>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2">
    <w:name w:val="Light Shading - Accent 33312"/>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2">
    <w:name w:val="Light Shading - Accent 312"/>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2">
    <w:name w:val="Table Grid212"/>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3">
    <w:name w:val="Light Shading - Accent 121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3">
    <w:name w:val="Light Shading - Accent 12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2">
    <w:name w:val="Light Shading - Accent 33512"/>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2">
    <w:name w:val="Light Shading - Accent 12212"/>
    <w:basedOn w:val="TableNormal"/>
    <w:uiPriority w:val="60"/>
    <w:rsid w:val="00DF0C87"/>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2">
    <w:name w:val="Light Shading - Accent 12112"/>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2">
    <w:name w:val="List Table 6 Colorful - Accent 612"/>
    <w:basedOn w:val="TableNormal"/>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2">
    <w:name w:val="List Table 1 Light - Accent 612"/>
    <w:basedOn w:val="TableNormal"/>
    <w:uiPriority w:val="46"/>
    <w:rsid w:val="00DF0C87"/>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2">
    <w:name w:val="Light Shading - Accent 3362"/>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3">
    <w:name w:val="Light Shading - Accent 3373"/>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3">
    <w:name w:val="Light Shading - Accent 3383"/>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1">
    <w:name w:val="Light Shading - Accent 337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1">
    <w:name w:val="No List21"/>
    <w:next w:val="NoList"/>
    <w:uiPriority w:val="99"/>
    <w:semiHidden/>
    <w:unhideWhenUsed/>
    <w:rsid w:val="00DF0C87"/>
  </w:style>
  <w:style w:type="table" w:customStyle="1" w:styleId="TableGrid31">
    <w:name w:val="Table Grid3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1">
    <w:name w:val="Grid Table 5 Dark - Accent 52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1">
    <w:name w:val="Light Shading - Accent 33321"/>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1">
    <w:name w:val="Light Shading - Accent 321"/>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1">
    <w:name w:val="Table Grid221"/>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1">
    <w:name w:val="Light Shading - Accent 33521"/>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1">
    <w:name w:val="No List111"/>
    <w:next w:val="NoList"/>
    <w:uiPriority w:val="99"/>
    <w:semiHidden/>
    <w:unhideWhenUsed/>
    <w:rsid w:val="00DF0C87"/>
  </w:style>
  <w:style w:type="table" w:customStyle="1" w:styleId="TableGrid111">
    <w:name w:val="Table Grid111"/>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1">
    <w:name w:val="Grid Table 5 Dark - Accent 511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1">
    <w:name w:val="Light Shading - Accent 333111"/>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1">
    <w:name w:val="Light Shading - Accent 3111"/>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1">
    <w:name w:val="Table Grid2111"/>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2">
    <w:name w:val="Light Shading - Accent 12122"/>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3">
    <w:name w:val="Light Shading - Accent 122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1">
    <w:name w:val="Light Shading - Accent 335111"/>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1">
    <w:name w:val="Light Shading - Accent 122111"/>
    <w:basedOn w:val="TableNormal"/>
    <w:uiPriority w:val="60"/>
    <w:rsid w:val="00DF0C87"/>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1">
    <w:name w:val="Light Shading - Accent 12111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3">
    <w:name w:val="List Table 6 Colorful - Accent 613"/>
    <w:basedOn w:val="TableNormal"/>
    <w:next w:val="ListTable6Colorful-Accent610"/>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1">
    <w:name w:val="List Table 1 Light - Accent 6111"/>
    <w:basedOn w:val="TableNormal"/>
    <w:uiPriority w:val="46"/>
    <w:rsid w:val="00DF0C87"/>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1">
    <w:name w:val="Light Shading - Accent 336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1">
    <w:name w:val="Light Shading - Accent 3372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1">
    <w:name w:val="Light Shading - Accent 338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1">
    <w:name w:val="Table Grid4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2">
    <w:name w:val="Plain Table 412"/>
    <w:basedOn w:val="TableNormal"/>
    <w:uiPriority w:val="44"/>
    <w:rsid w:val="00DF0C8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3">
    <w:name w:val="Grid Table 5 Dark - Accent 53"/>
    <w:basedOn w:val="TableNormal"/>
    <w:next w:val="GridTable5Dark-Accent5"/>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2">
    <w:name w:val="List Table 6 Colorful - Accent 62"/>
    <w:basedOn w:val="TableNormal"/>
    <w:next w:val="ListTable6Colorful-Accent6"/>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1">
    <w:name w:val="List Table 1 Light - Accent 31"/>
    <w:basedOn w:val="TableNormal"/>
    <w:next w:val="ListTable1Light-Accent3"/>
    <w:uiPriority w:val="46"/>
    <w:rsid w:val="00DF0C87"/>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1">
    <w:name w:val="Plain Table 4111"/>
    <w:basedOn w:val="TableNormal"/>
    <w:uiPriority w:val="44"/>
    <w:rsid w:val="00DF0C8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1">
    <w:name w:val="Grid Table 6 Colorful - Accent 11"/>
    <w:basedOn w:val="TableNormal"/>
    <w:next w:val="GridTable6Colorful-Accent1"/>
    <w:uiPriority w:val="51"/>
    <w:rsid w:val="00DF0C87"/>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1">
    <w:name w:val="Light Shading - Accent 3382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1">
    <w:name w:val="Light Shading - Accent 12121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1">
    <w:name w:val="Light Shading - Accent 1222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1">
    <w:name w:val="Table Grid61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
    <w:name w:val="Table Grid622"/>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1">
    <w:name w:val="Grid Table 5 Dark - Accent 512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1">
    <w:name w:val="List Table 6 Colorful - Accent 6111"/>
    <w:basedOn w:val="TableNormal"/>
    <w:next w:val="ListTable6Colorful-Accent610"/>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1">
    <w:name w:val="Table Grid621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paragraph"/>
    <w:basedOn w:val="Normal"/>
    <w:rsid w:val="00DF0C87"/>
    <w:pPr>
      <w:spacing w:before="100" w:beforeAutospacing="1" w:after="100" w:afterAutospacing="1" w:line="240" w:lineRule="auto"/>
      <w:jc w:val="left"/>
    </w:pPr>
    <w:rPr>
      <w:rFonts w:ascii="Times New Roman" w:hAnsi="Times New Roman" w:cs="Times New Roman"/>
      <w:color w:val="auto"/>
      <w:sz w:val="24"/>
      <w:szCs w:val="24"/>
    </w:rPr>
  </w:style>
  <w:style w:type="numbering" w:customStyle="1" w:styleId="NoList4">
    <w:name w:val="No List4"/>
    <w:next w:val="NoList"/>
    <w:uiPriority w:val="99"/>
    <w:semiHidden/>
    <w:unhideWhenUsed/>
    <w:rsid w:val="00A155E1"/>
  </w:style>
  <w:style w:type="table" w:customStyle="1" w:styleId="TableGrid8">
    <w:name w:val="Table Grid8"/>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5">
    <w:name w:val="Grid Table 5 Dark - Accent 515"/>
    <w:basedOn w:val="TableNormal"/>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4">
    <w:name w:val="Light Shading - Accent 3334"/>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4">
    <w:name w:val="Light Shading - Accent 34"/>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4">
    <w:name w:val="Table Grid24"/>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4">
    <w:name w:val="Light Shading - Accent 3354"/>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3">
    <w:name w:val="No List13"/>
    <w:next w:val="NoList"/>
    <w:uiPriority w:val="99"/>
    <w:semiHidden/>
    <w:unhideWhenUsed/>
    <w:rsid w:val="00A155E1"/>
  </w:style>
  <w:style w:type="table" w:customStyle="1" w:styleId="TableGrid14">
    <w:name w:val="Table Grid14"/>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33313">
    <w:name w:val="Light Shading - Accent 33313"/>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3">
    <w:name w:val="Light Shading - Accent 313"/>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3">
    <w:name w:val="Table Grid213"/>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4">
    <w:name w:val="Light Shading - Accent 1214"/>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4">
    <w:name w:val="Light Shading - Accent 124"/>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3">
    <w:name w:val="Light Shading - Accent 33513"/>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3">
    <w:name w:val="Light Shading - Accent 12213"/>
    <w:basedOn w:val="TableNormal"/>
    <w:uiPriority w:val="60"/>
    <w:rsid w:val="00A155E1"/>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3">
    <w:name w:val="Light Shading - Accent 12113"/>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4">
    <w:name w:val="List Table 6 Colorful - Accent 614"/>
    <w:basedOn w:val="TableNormal"/>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3">
    <w:name w:val="List Table 1 Light - Accent 613"/>
    <w:basedOn w:val="TableNormal"/>
    <w:uiPriority w:val="46"/>
    <w:rsid w:val="00A155E1"/>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3">
    <w:name w:val="Light Shading - Accent 3363"/>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4">
    <w:name w:val="Light Shading - Accent 3374"/>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4">
    <w:name w:val="Light Shading - Accent 3384"/>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2">
    <w:name w:val="Light Shading - Accent 3371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2">
    <w:name w:val="No List22"/>
    <w:next w:val="NoList"/>
    <w:uiPriority w:val="99"/>
    <w:semiHidden/>
    <w:unhideWhenUsed/>
    <w:rsid w:val="00A155E1"/>
  </w:style>
  <w:style w:type="table" w:customStyle="1" w:styleId="TableGrid32">
    <w:name w:val="Table Grid3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2">
    <w:name w:val="Grid Table 5 Dark - Accent 522"/>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2">
    <w:name w:val="Light Shading - Accent 33322"/>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2">
    <w:name w:val="Light Shading - Accent 322"/>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2">
    <w:name w:val="Table Grid222"/>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2">
    <w:name w:val="Light Shading - Accent 33522"/>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2">
    <w:name w:val="No List112"/>
    <w:next w:val="NoList"/>
    <w:uiPriority w:val="99"/>
    <w:semiHidden/>
    <w:unhideWhenUsed/>
    <w:rsid w:val="00A155E1"/>
  </w:style>
  <w:style w:type="table" w:customStyle="1" w:styleId="TableGrid112">
    <w:name w:val="Table Grid112"/>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2">
    <w:name w:val="Grid Table 5 Dark - Accent 5112"/>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2">
    <w:name w:val="Light Shading - Accent 333112"/>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2">
    <w:name w:val="Light Shading - Accent 3112"/>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2">
    <w:name w:val="Table Grid2112"/>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3">
    <w:name w:val="Light Shading - Accent 12123"/>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4">
    <w:name w:val="Light Shading - Accent 1224"/>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2">
    <w:name w:val="Light Shading - Accent 335112"/>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2">
    <w:name w:val="Light Shading - Accent 122112"/>
    <w:basedOn w:val="TableNormal"/>
    <w:uiPriority w:val="60"/>
    <w:rsid w:val="00A155E1"/>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2">
    <w:name w:val="Light Shading - Accent 121112"/>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1Light-Accent6112">
    <w:name w:val="List Table 1 Light - Accent 6112"/>
    <w:basedOn w:val="TableNormal"/>
    <w:uiPriority w:val="46"/>
    <w:rsid w:val="00A155E1"/>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2">
    <w:name w:val="Light Shading - Accent 3361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2">
    <w:name w:val="Light Shading - Accent 3372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2">
    <w:name w:val="Light Shading - Accent 3381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2">
    <w:name w:val="Table Grid4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
    <w:name w:val="Table Grid122"/>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
    <w:name w:val="Table Grid64"/>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3">
    <w:name w:val="Plain Table 413"/>
    <w:basedOn w:val="TableNormal"/>
    <w:uiPriority w:val="44"/>
    <w:rsid w:val="00A155E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4">
    <w:name w:val="Grid Table 5 Dark - Accent 54"/>
    <w:basedOn w:val="TableNormal"/>
    <w:next w:val="GridTable5Dark-Accent5"/>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3">
    <w:name w:val="List Table 6 Colorful - Accent 63"/>
    <w:basedOn w:val="TableNormal"/>
    <w:next w:val="ListTable6Colorful-Accent6"/>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2">
    <w:name w:val="List Table 1 Light - Accent 32"/>
    <w:basedOn w:val="TableNormal"/>
    <w:next w:val="ListTable1Light-Accent3"/>
    <w:uiPriority w:val="46"/>
    <w:rsid w:val="00A155E1"/>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2">
    <w:name w:val="Plain Table 4112"/>
    <w:basedOn w:val="TableNormal"/>
    <w:uiPriority w:val="44"/>
    <w:rsid w:val="00A155E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2">
    <w:name w:val="Grid Table 6 Colorful - Accent 12"/>
    <w:basedOn w:val="TableNormal"/>
    <w:next w:val="GridTable6Colorful-Accent1"/>
    <w:uiPriority w:val="51"/>
    <w:rsid w:val="00A155E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2">
    <w:name w:val="Light Shading - Accent 33822"/>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2">
    <w:name w:val="Light Shading - Accent 121212"/>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2">
    <w:name w:val="Light Shading - Accent 12222"/>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2">
    <w:name w:val="Table Grid61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3">
    <w:name w:val="Table Grid623"/>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2">
    <w:name w:val="Grid Table 5 Dark - Accent 5122"/>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2">
    <w:name w:val="List Table 6 Colorful - Accent 6112"/>
    <w:basedOn w:val="TableNormal"/>
    <w:next w:val="ListTable6Colorful-Accent610"/>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2">
    <w:name w:val="Table Grid6212"/>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uiPriority w:val="99"/>
    <w:semiHidden/>
    <w:unhideWhenUsed/>
    <w:rsid w:val="00A155E1"/>
  </w:style>
  <w:style w:type="table" w:customStyle="1" w:styleId="TableGrid71">
    <w:name w:val="Table Grid7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31">
    <w:name w:val="Grid Table 5 Dark - Accent 5131"/>
    <w:basedOn w:val="TableNormal"/>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31">
    <w:name w:val="Light Shading - Accent 33331"/>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1">
    <w:name w:val="Light Shading - Accent 331"/>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31">
    <w:name w:val="Table Grid231"/>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31">
    <w:name w:val="Light Shading - Accent 33531"/>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21">
    <w:name w:val="No List121"/>
    <w:next w:val="NoList"/>
    <w:uiPriority w:val="99"/>
    <w:semiHidden/>
    <w:unhideWhenUsed/>
    <w:rsid w:val="00A155E1"/>
  </w:style>
  <w:style w:type="table" w:customStyle="1" w:styleId="TableGrid131">
    <w:name w:val="Table Grid131"/>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41">
    <w:name w:val="Grid Table 5 Dark - Accent 5141"/>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21">
    <w:name w:val="Light Shading - Accent 333121"/>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21">
    <w:name w:val="Light Shading - Accent 3121"/>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21">
    <w:name w:val="Table Grid2121"/>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31">
    <w:name w:val="Light Shading - Accent 1213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31">
    <w:name w:val="Light Shading - Accent 123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21">
    <w:name w:val="Light Shading - Accent 335121"/>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21">
    <w:name w:val="Light Shading - Accent 122121"/>
    <w:basedOn w:val="TableNormal"/>
    <w:uiPriority w:val="60"/>
    <w:rsid w:val="00A155E1"/>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21">
    <w:name w:val="Light Shading - Accent 12112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21">
    <w:name w:val="List Table 6 Colorful - Accent 6121"/>
    <w:basedOn w:val="TableNormal"/>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21">
    <w:name w:val="List Table 1 Light - Accent 6121"/>
    <w:basedOn w:val="TableNormal"/>
    <w:uiPriority w:val="46"/>
    <w:rsid w:val="00A155E1"/>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21">
    <w:name w:val="Light Shading - Accent 3362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31">
    <w:name w:val="Light Shading - Accent 3373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31">
    <w:name w:val="Light Shading - Accent 3383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11">
    <w:name w:val="Light Shading - Accent 3371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11">
    <w:name w:val="No List211"/>
    <w:next w:val="NoList"/>
    <w:uiPriority w:val="99"/>
    <w:semiHidden/>
    <w:unhideWhenUsed/>
    <w:rsid w:val="00A155E1"/>
  </w:style>
  <w:style w:type="table" w:customStyle="1" w:styleId="TableGrid311">
    <w:name w:val="Table Grid3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11">
    <w:name w:val="Grid Table 5 Dark - Accent 5211"/>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11">
    <w:name w:val="Light Shading - Accent 333211"/>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11">
    <w:name w:val="Light Shading - Accent 3211"/>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11">
    <w:name w:val="Table Grid2211"/>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11">
    <w:name w:val="Light Shading - Accent 335211"/>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11">
    <w:name w:val="No List1111"/>
    <w:next w:val="NoList"/>
    <w:uiPriority w:val="99"/>
    <w:semiHidden/>
    <w:unhideWhenUsed/>
    <w:rsid w:val="00A155E1"/>
  </w:style>
  <w:style w:type="table" w:customStyle="1" w:styleId="TableGrid1111">
    <w:name w:val="Table Grid1111"/>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11">
    <w:name w:val="Grid Table 5 Dark - Accent 51111"/>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11">
    <w:name w:val="Light Shading - Accent 3331111"/>
    <w:basedOn w:val="TableNormal"/>
    <w:next w:val="LightShading-Accent3"/>
    <w:uiPriority w:val="60"/>
    <w:rsid w:val="00A155E1"/>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11">
    <w:name w:val="Light Shading - Accent 31111"/>
    <w:basedOn w:val="TableNormal"/>
    <w:next w:val="LightShading-Accent3"/>
    <w:uiPriority w:val="60"/>
    <w:semiHidden/>
    <w:unhideWhenUsed/>
    <w:rsid w:val="00A155E1"/>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11">
    <w:name w:val="Table Grid21111"/>
    <w:basedOn w:val="TableNormal"/>
    <w:next w:val="TableGrid"/>
    <w:uiPriority w:val="39"/>
    <w:rsid w:val="00A155E1"/>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21">
    <w:name w:val="Light Shading - Accent 12122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31">
    <w:name w:val="Light Shading - Accent 1223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11">
    <w:name w:val="Light Shading - Accent 3351111"/>
    <w:basedOn w:val="TableNormal"/>
    <w:next w:val="LightShading-Accent3"/>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11">
    <w:name w:val="Light Shading - Accent 1221111"/>
    <w:basedOn w:val="TableNormal"/>
    <w:uiPriority w:val="60"/>
    <w:rsid w:val="00A155E1"/>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11">
    <w:name w:val="Light Shading - Accent 121111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31">
    <w:name w:val="List Table 6 Colorful - Accent 6131"/>
    <w:basedOn w:val="TableNormal"/>
    <w:next w:val="ListTable6Colorful-Accent610"/>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11">
    <w:name w:val="List Table 1 Light - Accent 61111"/>
    <w:basedOn w:val="TableNormal"/>
    <w:uiPriority w:val="46"/>
    <w:rsid w:val="00A155E1"/>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11">
    <w:name w:val="Light Shading - Accent 3361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11">
    <w:name w:val="Light Shading - Accent 3372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11">
    <w:name w:val="Light Shading - Accent 3381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11">
    <w:name w:val="Table Grid4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
    <w:name w:val="Table Grid1211"/>
    <w:basedOn w:val="TableNormal"/>
    <w:next w:val="TableGrid"/>
    <w:uiPriority w:val="5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
    <w:name w:val="Table Grid63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21">
    <w:name w:val="Plain Table 4121"/>
    <w:basedOn w:val="TableNormal"/>
    <w:uiPriority w:val="44"/>
    <w:rsid w:val="00A155E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31">
    <w:name w:val="Grid Table 5 Dark - Accent 531"/>
    <w:basedOn w:val="TableNormal"/>
    <w:next w:val="GridTable5Dark-Accent5"/>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21">
    <w:name w:val="List Table 6 Colorful - Accent 621"/>
    <w:basedOn w:val="TableNormal"/>
    <w:next w:val="ListTable6Colorful-Accent6"/>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11">
    <w:name w:val="List Table 1 Light - Accent 311"/>
    <w:basedOn w:val="TableNormal"/>
    <w:next w:val="ListTable1Light-Accent3"/>
    <w:uiPriority w:val="46"/>
    <w:rsid w:val="00A155E1"/>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11">
    <w:name w:val="Plain Table 41111"/>
    <w:basedOn w:val="TableNormal"/>
    <w:uiPriority w:val="44"/>
    <w:rsid w:val="00A155E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11">
    <w:name w:val="Grid Table 6 Colorful - Accent 111"/>
    <w:basedOn w:val="TableNormal"/>
    <w:next w:val="GridTable6Colorful-Accent1"/>
    <w:uiPriority w:val="51"/>
    <w:rsid w:val="00A155E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11">
    <w:name w:val="Light Shading - Accent 338211"/>
    <w:basedOn w:val="TableNormal"/>
    <w:uiPriority w:val="60"/>
    <w:rsid w:val="00A155E1"/>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11">
    <w:name w:val="Light Shading - Accent 121211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11">
    <w:name w:val="Light Shading - Accent 122211"/>
    <w:basedOn w:val="TableNormal"/>
    <w:uiPriority w:val="60"/>
    <w:rsid w:val="00A155E1"/>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11">
    <w:name w:val="Table Grid61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1">
    <w:name w:val="Table Grid622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11">
    <w:name w:val="Grid Table 5 Dark - Accent 51211"/>
    <w:basedOn w:val="TableNormal"/>
    <w:next w:val="GridTable5Dark-Accent510"/>
    <w:uiPriority w:val="50"/>
    <w:rsid w:val="00A155E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11">
    <w:name w:val="List Table 6 Colorful - Accent 61111"/>
    <w:basedOn w:val="TableNormal"/>
    <w:next w:val="ListTable6Colorful-Accent610"/>
    <w:uiPriority w:val="51"/>
    <w:rsid w:val="00A155E1"/>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11">
    <w:name w:val="Table Grid62111"/>
    <w:basedOn w:val="TableNormal"/>
    <w:next w:val="TableGrid"/>
    <w:uiPriority w:val="39"/>
    <w:rsid w:val="00A155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473C3B"/>
  </w:style>
  <w:style w:type="table" w:customStyle="1" w:styleId="TableGrid9">
    <w:name w:val="Table Grid9"/>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6">
    <w:name w:val="Grid Table 5 Dark - Accent 516"/>
    <w:basedOn w:val="TableNormal"/>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5">
    <w:name w:val="Light Shading - Accent 3335"/>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5">
    <w:name w:val="Light Shading - Accent 35"/>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5">
    <w:name w:val="Table Grid25"/>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5">
    <w:name w:val="Light Shading - Accent 3355"/>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4">
    <w:name w:val="No List14"/>
    <w:next w:val="NoList"/>
    <w:uiPriority w:val="99"/>
    <w:semiHidden/>
    <w:unhideWhenUsed/>
    <w:rsid w:val="00473C3B"/>
  </w:style>
  <w:style w:type="table" w:customStyle="1" w:styleId="TableGrid15">
    <w:name w:val="Table Grid15"/>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51">
    <w:name w:val="Grid Table 5 Dark - Accent 5151"/>
    <w:basedOn w:val="TableNormal"/>
    <w:next w:val="GridTable5Dark-Accent510"/>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4">
    <w:name w:val="Light Shading - Accent 33314"/>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4">
    <w:name w:val="Light Shading - Accent 314"/>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4">
    <w:name w:val="Table Grid214"/>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5">
    <w:name w:val="Light Shading - Accent 1215"/>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5">
    <w:name w:val="Light Shading - Accent 125"/>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4">
    <w:name w:val="Light Shading - Accent 33514"/>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4">
    <w:name w:val="Light Shading - Accent 12214"/>
    <w:basedOn w:val="TableNormal"/>
    <w:uiPriority w:val="60"/>
    <w:rsid w:val="00473C3B"/>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4">
    <w:name w:val="Light Shading - Accent 12114"/>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5">
    <w:name w:val="List Table 6 Colorful - Accent 615"/>
    <w:basedOn w:val="TableNormal"/>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4">
    <w:name w:val="List Table 1 Light - Accent 614"/>
    <w:basedOn w:val="TableNormal"/>
    <w:uiPriority w:val="46"/>
    <w:rsid w:val="00473C3B"/>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4">
    <w:name w:val="Light Shading - Accent 3364"/>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5">
    <w:name w:val="Light Shading - Accent 3375"/>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5">
    <w:name w:val="Light Shading - Accent 3385"/>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3">
    <w:name w:val="Light Shading - Accent 3371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3">
    <w:name w:val="No List23"/>
    <w:next w:val="NoList"/>
    <w:uiPriority w:val="99"/>
    <w:semiHidden/>
    <w:unhideWhenUsed/>
    <w:rsid w:val="00473C3B"/>
  </w:style>
  <w:style w:type="table" w:customStyle="1" w:styleId="TableGrid33">
    <w:name w:val="Table Grid3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3">
    <w:name w:val="Grid Table 5 Dark - Accent 523"/>
    <w:basedOn w:val="TableNormal"/>
    <w:next w:val="GridTable5Dark-Accent510"/>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3">
    <w:name w:val="Light Shading - Accent 33323"/>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3">
    <w:name w:val="Light Shading - Accent 323"/>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3">
    <w:name w:val="Table Grid223"/>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3">
    <w:name w:val="Light Shading - Accent 33523"/>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3">
    <w:name w:val="No List113"/>
    <w:next w:val="NoList"/>
    <w:uiPriority w:val="99"/>
    <w:semiHidden/>
    <w:unhideWhenUsed/>
    <w:rsid w:val="00473C3B"/>
  </w:style>
  <w:style w:type="table" w:customStyle="1" w:styleId="TableGrid113">
    <w:name w:val="Table Grid113"/>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3">
    <w:name w:val="Grid Table 5 Dark - Accent 5113"/>
    <w:basedOn w:val="TableNormal"/>
    <w:next w:val="GridTable5Dark-Accent510"/>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3">
    <w:name w:val="Light Shading - Accent 333113"/>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3">
    <w:name w:val="Light Shading - Accent 3113"/>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3">
    <w:name w:val="Table Grid2113"/>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4">
    <w:name w:val="Light Shading - Accent 12124"/>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5">
    <w:name w:val="Light Shading - Accent 1225"/>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3">
    <w:name w:val="Light Shading - Accent 335113"/>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3">
    <w:name w:val="Light Shading - Accent 122113"/>
    <w:basedOn w:val="TableNormal"/>
    <w:uiPriority w:val="60"/>
    <w:rsid w:val="00473C3B"/>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3">
    <w:name w:val="Light Shading - Accent 121113"/>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41">
    <w:name w:val="List Table 6 Colorful - Accent 6141"/>
    <w:basedOn w:val="TableNormal"/>
    <w:next w:val="ListTable6Colorful-Accent610"/>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3">
    <w:name w:val="List Table 1 Light - Accent 6113"/>
    <w:basedOn w:val="TableNormal"/>
    <w:uiPriority w:val="46"/>
    <w:rsid w:val="00473C3B"/>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3">
    <w:name w:val="Light Shading - Accent 3361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3">
    <w:name w:val="Light Shading - Accent 3372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3">
    <w:name w:val="Light Shading - Accent 3381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3">
    <w:name w:val="Table Grid4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
    <w:name w:val="Table Grid123"/>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5">
    <w:name w:val="Table Grid65"/>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4">
    <w:name w:val="Plain Table 414"/>
    <w:basedOn w:val="TableNormal"/>
    <w:uiPriority w:val="44"/>
    <w:rsid w:val="00473C3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5">
    <w:name w:val="Grid Table 5 Dark - Accent 55"/>
    <w:basedOn w:val="TableNormal"/>
    <w:next w:val="GridTable5Dark-Accent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4">
    <w:name w:val="List Table 6 Colorful - Accent 64"/>
    <w:basedOn w:val="TableNormal"/>
    <w:next w:val="ListTable6Colorful-Accent6"/>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3">
    <w:name w:val="List Table 1 Light - Accent 33"/>
    <w:basedOn w:val="TableNormal"/>
    <w:next w:val="ListTable1Light-Accent3"/>
    <w:uiPriority w:val="46"/>
    <w:rsid w:val="00473C3B"/>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3">
    <w:name w:val="Plain Table 4113"/>
    <w:basedOn w:val="TableNormal"/>
    <w:uiPriority w:val="44"/>
    <w:rsid w:val="00473C3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3">
    <w:name w:val="Grid Table 6 Colorful - Accent 13"/>
    <w:basedOn w:val="TableNormal"/>
    <w:next w:val="GridTable6Colorful-Accent1"/>
    <w:uiPriority w:val="51"/>
    <w:rsid w:val="00473C3B"/>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3">
    <w:name w:val="Light Shading - Accent 33823"/>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3">
    <w:name w:val="Light Shading - Accent 121213"/>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3">
    <w:name w:val="Light Shading - Accent 12223"/>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3">
    <w:name w:val="Table Grid61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4">
    <w:name w:val="Table Grid624"/>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3">
    <w:name w:val="Grid Table 5 Dark - Accent 5123"/>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3">
    <w:name w:val="List Table 6 Colorful - Accent 6113"/>
    <w:basedOn w:val="TableNormal"/>
    <w:next w:val="ListTable6Colorful-Accent614"/>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3">
    <w:name w:val="Table Grid6213"/>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2">
    <w:name w:val="No List32"/>
    <w:next w:val="NoList"/>
    <w:uiPriority w:val="99"/>
    <w:semiHidden/>
    <w:unhideWhenUsed/>
    <w:rsid w:val="00473C3B"/>
  </w:style>
  <w:style w:type="table" w:customStyle="1" w:styleId="TableGrid72">
    <w:name w:val="Table Grid7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32">
    <w:name w:val="Grid Table 5 Dark - Accent 5132"/>
    <w:basedOn w:val="TableNormal"/>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32">
    <w:name w:val="Light Shading - Accent 33332"/>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2">
    <w:name w:val="Light Shading - Accent 332"/>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32">
    <w:name w:val="Table Grid232"/>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32">
    <w:name w:val="Light Shading - Accent 33532"/>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22">
    <w:name w:val="No List122"/>
    <w:next w:val="NoList"/>
    <w:uiPriority w:val="99"/>
    <w:semiHidden/>
    <w:unhideWhenUsed/>
    <w:rsid w:val="00473C3B"/>
  </w:style>
  <w:style w:type="table" w:customStyle="1" w:styleId="TableGrid132">
    <w:name w:val="Table Grid132"/>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42">
    <w:name w:val="Grid Table 5 Dark - Accent 5142"/>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22">
    <w:name w:val="Light Shading - Accent 333122"/>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22">
    <w:name w:val="Light Shading - Accent 3122"/>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22">
    <w:name w:val="Table Grid2122"/>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32">
    <w:name w:val="Light Shading - Accent 1213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32">
    <w:name w:val="Light Shading - Accent 123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22">
    <w:name w:val="Light Shading - Accent 335122"/>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22">
    <w:name w:val="Light Shading - Accent 122122"/>
    <w:basedOn w:val="TableNormal"/>
    <w:uiPriority w:val="60"/>
    <w:rsid w:val="00473C3B"/>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22">
    <w:name w:val="Light Shading - Accent 12112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22">
    <w:name w:val="List Table 6 Colorful - Accent 6122"/>
    <w:basedOn w:val="TableNormal"/>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22">
    <w:name w:val="List Table 1 Light - Accent 6122"/>
    <w:basedOn w:val="TableNormal"/>
    <w:uiPriority w:val="46"/>
    <w:rsid w:val="00473C3B"/>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22">
    <w:name w:val="Light Shading - Accent 3362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32">
    <w:name w:val="Light Shading - Accent 3373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32">
    <w:name w:val="Light Shading - Accent 3383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12">
    <w:name w:val="Light Shading - Accent 3371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12">
    <w:name w:val="No List212"/>
    <w:next w:val="NoList"/>
    <w:uiPriority w:val="99"/>
    <w:semiHidden/>
    <w:unhideWhenUsed/>
    <w:rsid w:val="00473C3B"/>
  </w:style>
  <w:style w:type="table" w:customStyle="1" w:styleId="TableGrid312">
    <w:name w:val="Table Grid3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12">
    <w:name w:val="Grid Table 5 Dark - Accent 5212"/>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12">
    <w:name w:val="Light Shading - Accent 333212"/>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12">
    <w:name w:val="Light Shading - Accent 3212"/>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12">
    <w:name w:val="Table Grid2212"/>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12">
    <w:name w:val="Light Shading - Accent 335212"/>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12">
    <w:name w:val="No List1112"/>
    <w:next w:val="NoList"/>
    <w:uiPriority w:val="99"/>
    <w:semiHidden/>
    <w:unhideWhenUsed/>
    <w:rsid w:val="00473C3B"/>
  </w:style>
  <w:style w:type="table" w:customStyle="1" w:styleId="TableGrid1112">
    <w:name w:val="Table Grid1112"/>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12">
    <w:name w:val="Grid Table 5 Dark - Accent 51112"/>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12">
    <w:name w:val="Light Shading - Accent 3331112"/>
    <w:basedOn w:val="TableNormal"/>
    <w:next w:val="LightShading-Accent3"/>
    <w:uiPriority w:val="60"/>
    <w:rsid w:val="00473C3B"/>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12">
    <w:name w:val="Light Shading - Accent 31112"/>
    <w:basedOn w:val="TableNormal"/>
    <w:next w:val="LightShading-Accent3"/>
    <w:uiPriority w:val="60"/>
    <w:semiHidden/>
    <w:unhideWhenUsed/>
    <w:rsid w:val="00473C3B"/>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12">
    <w:name w:val="Table Grid21112"/>
    <w:basedOn w:val="TableNormal"/>
    <w:next w:val="TableGrid"/>
    <w:uiPriority w:val="39"/>
    <w:rsid w:val="00473C3B"/>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22">
    <w:name w:val="Light Shading - Accent 12122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32">
    <w:name w:val="Light Shading - Accent 1223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12">
    <w:name w:val="Light Shading - Accent 3351112"/>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12">
    <w:name w:val="Light Shading - Accent 1221112"/>
    <w:basedOn w:val="TableNormal"/>
    <w:uiPriority w:val="60"/>
    <w:rsid w:val="00473C3B"/>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12">
    <w:name w:val="Light Shading - Accent 121111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32">
    <w:name w:val="List Table 6 Colorful - Accent 6132"/>
    <w:basedOn w:val="TableNormal"/>
    <w:next w:val="ListTable6Colorful-Accent614"/>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12">
    <w:name w:val="List Table 1 Light - Accent 61112"/>
    <w:basedOn w:val="TableNormal"/>
    <w:uiPriority w:val="46"/>
    <w:rsid w:val="00473C3B"/>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12">
    <w:name w:val="Light Shading - Accent 3361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12">
    <w:name w:val="Light Shading - Accent 3372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12">
    <w:name w:val="Light Shading - Accent 3381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12">
    <w:name w:val="Table Grid4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2">
    <w:name w:val="Table Grid1212"/>
    <w:basedOn w:val="TableNormal"/>
    <w:next w:val="TableGrid"/>
    <w:uiPriority w:val="5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2">
    <w:name w:val="Table Grid63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22">
    <w:name w:val="Plain Table 4122"/>
    <w:basedOn w:val="TableNormal"/>
    <w:uiPriority w:val="44"/>
    <w:rsid w:val="00473C3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32">
    <w:name w:val="Grid Table 5 Dark - Accent 532"/>
    <w:basedOn w:val="TableNormal"/>
    <w:next w:val="GridTable5Dark-Accent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22">
    <w:name w:val="List Table 6 Colorful - Accent 622"/>
    <w:basedOn w:val="TableNormal"/>
    <w:next w:val="ListTable6Colorful-Accent6"/>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12">
    <w:name w:val="List Table 1 Light - Accent 312"/>
    <w:basedOn w:val="TableNormal"/>
    <w:next w:val="ListTable1Light-Accent3"/>
    <w:uiPriority w:val="46"/>
    <w:rsid w:val="00473C3B"/>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12">
    <w:name w:val="Plain Table 41112"/>
    <w:basedOn w:val="TableNormal"/>
    <w:uiPriority w:val="44"/>
    <w:rsid w:val="00473C3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12">
    <w:name w:val="Grid Table 6 Colorful - Accent 112"/>
    <w:basedOn w:val="TableNormal"/>
    <w:next w:val="GridTable6Colorful-Accent1"/>
    <w:uiPriority w:val="51"/>
    <w:rsid w:val="00473C3B"/>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12">
    <w:name w:val="Light Shading - Accent 338212"/>
    <w:basedOn w:val="TableNormal"/>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12">
    <w:name w:val="Light Shading - Accent 121211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12">
    <w:name w:val="Light Shading - Accent 122212"/>
    <w:basedOn w:val="TableNormal"/>
    <w:uiPriority w:val="60"/>
    <w:rsid w:val="00473C3B"/>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12">
    <w:name w:val="Table Grid61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2">
    <w:name w:val="Table Grid622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12">
    <w:name w:val="Grid Table 5 Dark - Accent 51212"/>
    <w:basedOn w:val="TableNormal"/>
    <w:next w:val="GridTable5Dark-Accent515"/>
    <w:uiPriority w:val="50"/>
    <w:rsid w:val="00473C3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12">
    <w:name w:val="List Table 6 Colorful - Accent 61112"/>
    <w:basedOn w:val="TableNormal"/>
    <w:next w:val="ListTable6Colorful-Accent614"/>
    <w:uiPriority w:val="51"/>
    <w:rsid w:val="00473C3B"/>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12">
    <w:name w:val="Table Grid62112"/>
    <w:basedOn w:val="TableNormal"/>
    <w:next w:val="TableGrid"/>
    <w:uiPriority w:val="39"/>
    <w:rsid w:val="00473C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33541">
    <w:name w:val="Light Shading - Accent 33541"/>
    <w:basedOn w:val="TableNormal"/>
    <w:next w:val="LightShading-Accent3"/>
    <w:uiPriority w:val="60"/>
    <w:rsid w:val="00473C3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PlainTable2">
    <w:name w:val="Plain Table 2"/>
    <w:basedOn w:val="TableNormal"/>
    <w:uiPriority w:val="42"/>
    <w:rsid w:val="00473C3B"/>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GridTable1Light-Accent51">
    <w:name w:val="Grid Table 1 Light - Accent 51"/>
    <w:basedOn w:val="TableNormal"/>
    <w:next w:val="GridTable1Light-Accent5"/>
    <w:uiPriority w:val="46"/>
    <w:rsid w:val="00451AC9"/>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451AC9"/>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162937">
      <w:bodyDiv w:val="1"/>
      <w:marLeft w:val="0"/>
      <w:marRight w:val="0"/>
      <w:marTop w:val="0"/>
      <w:marBottom w:val="0"/>
      <w:divBdr>
        <w:top w:val="none" w:sz="0" w:space="0" w:color="auto"/>
        <w:left w:val="none" w:sz="0" w:space="0" w:color="auto"/>
        <w:bottom w:val="none" w:sz="0" w:space="0" w:color="auto"/>
        <w:right w:val="none" w:sz="0" w:space="0" w:color="auto"/>
      </w:divBdr>
    </w:div>
    <w:div w:id="224491268">
      <w:bodyDiv w:val="1"/>
      <w:marLeft w:val="0"/>
      <w:marRight w:val="0"/>
      <w:marTop w:val="0"/>
      <w:marBottom w:val="0"/>
      <w:divBdr>
        <w:top w:val="none" w:sz="0" w:space="0" w:color="auto"/>
        <w:left w:val="none" w:sz="0" w:space="0" w:color="auto"/>
        <w:bottom w:val="none" w:sz="0" w:space="0" w:color="auto"/>
        <w:right w:val="none" w:sz="0" w:space="0" w:color="auto"/>
      </w:divBdr>
    </w:div>
    <w:div w:id="327100904">
      <w:bodyDiv w:val="1"/>
      <w:marLeft w:val="0"/>
      <w:marRight w:val="0"/>
      <w:marTop w:val="0"/>
      <w:marBottom w:val="0"/>
      <w:divBdr>
        <w:top w:val="none" w:sz="0" w:space="0" w:color="auto"/>
        <w:left w:val="none" w:sz="0" w:space="0" w:color="auto"/>
        <w:bottom w:val="none" w:sz="0" w:space="0" w:color="auto"/>
        <w:right w:val="none" w:sz="0" w:space="0" w:color="auto"/>
      </w:divBdr>
    </w:div>
    <w:div w:id="405343483">
      <w:bodyDiv w:val="1"/>
      <w:marLeft w:val="0"/>
      <w:marRight w:val="0"/>
      <w:marTop w:val="0"/>
      <w:marBottom w:val="0"/>
      <w:divBdr>
        <w:top w:val="none" w:sz="0" w:space="0" w:color="auto"/>
        <w:left w:val="none" w:sz="0" w:space="0" w:color="auto"/>
        <w:bottom w:val="none" w:sz="0" w:space="0" w:color="auto"/>
        <w:right w:val="none" w:sz="0" w:space="0" w:color="auto"/>
      </w:divBdr>
    </w:div>
    <w:div w:id="496309330">
      <w:bodyDiv w:val="1"/>
      <w:marLeft w:val="0"/>
      <w:marRight w:val="0"/>
      <w:marTop w:val="0"/>
      <w:marBottom w:val="0"/>
      <w:divBdr>
        <w:top w:val="none" w:sz="0" w:space="0" w:color="auto"/>
        <w:left w:val="none" w:sz="0" w:space="0" w:color="auto"/>
        <w:bottom w:val="none" w:sz="0" w:space="0" w:color="auto"/>
        <w:right w:val="none" w:sz="0" w:space="0" w:color="auto"/>
      </w:divBdr>
    </w:div>
    <w:div w:id="496505828">
      <w:bodyDiv w:val="1"/>
      <w:marLeft w:val="0"/>
      <w:marRight w:val="0"/>
      <w:marTop w:val="0"/>
      <w:marBottom w:val="0"/>
      <w:divBdr>
        <w:top w:val="none" w:sz="0" w:space="0" w:color="auto"/>
        <w:left w:val="none" w:sz="0" w:space="0" w:color="auto"/>
        <w:bottom w:val="none" w:sz="0" w:space="0" w:color="auto"/>
        <w:right w:val="none" w:sz="0" w:space="0" w:color="auto"/>
      </w:divBdr>
    </w:div>
    <w:div w:id="502202553">
      <w:bodyDiv w:val="1"/>
      <w:marLeft w:val="0"/>
      <w:marRight w:val="0"/>
      <w:marTop w:val="0"/>
      <w:marBottom w:val="0"/>
      <w:divBdr>
        <w:top w:val="none" w:sz="0" w:space="0" w:color="auto"/>
        <w:left w:val="none" w:sz="0" w:space="0" w:color="auto"/>
        <w:bottom w:val="none" w:sz="0" w:space="0" w:color="auto"/>
        <w:right w:val="none" w:sz="0" w:space="0" w:color="auto"/>
      </w:divBdr>
    </w:div>
    <w:div w:id="707607753">
      <w:bodyDiv w:val="1"/>
      <w:marLeft w:val="0"/>
      <w:marRight w:val="0"/>
      <w:marTop w:val="0"/>
      <w:marBottom w:val="0"/>
      <w:divBdr>
        <w:top w:val="none" w:sz="0" w:space="0" w:color="auto"/>
        <w:left w:val="none" w:sz="0" w:space="0" w:color="auto"/>
        <w:bottom w:val="none" w:sz="0" w:space="0" w:color="auto"/>
        <w:right w:val="none" w:sz="0" w:space="0" w:color="auto"/>
      </w:divBdr>
    </w:div>
    <w:div w:id="758334793">
      <w:bodyDiv w:val="1"/>
      <w:marLeft w:val="0"/>
      <w:marRight w:val="0"/>
      <w:marTop w:val="0"/>
      <w:marBottom w:val="0"/>
      <w:divBdr>
        <w:top w:val="none" w:sz="0" w:space="0" w:color="auto"/>
        <w:left w:val="none" w:sz="0" w:space="0" w:color="auto"/>
        <w:bottom w:val="none" w:sz="0" w:space="0" w:color="auto"/>
        <w:right w:val="none" w:sz="0" w:space="0" w:color="auto"/>
      </w:divBdr>
    </w:div>
    <w:div w:id="815489490">
      <w:bodyDiv w:val="1"/>
      <w:marLeft w:val="0"/>
      <w:marRight w:val="0"/>
      <w:marTop w:val="0"/>
      <w:marBottom w:val="0"/>
      <w:divBdr>
        <w:top w:val="none" w:sz="0" w:space="0" w:color="auto"/>
        <w:left w:val="none" w:sz="0" w:space="0" w:color="auto"/>
        <w:bottom w:val="none" w:sz="0" w:space="0" w:color="auto"/>
        <w:right w:val="none" w:sz="0" w:space="0" w:color="auto"/>
      </w:divBdr>
    </w:div>
    <w:div w:id="988559316">
      <w:bodyDiv w:val="1"/>
      <w:marLeft w:val="0"/>
      <w:marRight w:val="0"/>
      <w:marTop w:val="0"/>
      <w:marBottom w:val="0"/>
      <w:divBdr>
        <w:top w:val="none" w:sz="0" w:space="0" w:color="auto"/>
        <w:left w:val="none" w:sz="0" w:space="0" w:color="auto"/>
        <w:bottom w:val="none" w:sz="0" w:space="0" w:color="auto"/>
        <w:right w:val="none" w:sz="0" w:space="0" w:color="auto"/>
      </w:divBdr>
    </w:div>
    <w:div w:id="1221474541">
      <w:bodyDiv w:val="1"/>
      <w:marLeft w:val="0"/>
      <w:marRight w:val="0"/>
      <w:marTop w:val="0"/>
      <w:marBottom w:val="0"/>
      <w:divBdr>
        <w:top w:val="none" w:sz="0" w:space="0" w:color="auto"/>
        <w:left w:val="none" w:sz="0" w:space="0" w:color="auto"/>
        <w:bottom w:val="none" w:sz="0" w:space="0" w:color="auto"/>
        <w:right w:val="none" w:sz="0" w:space="0" w:color="auto"/>
      </w:divBdr>
    </w:div>
    <w:div w:id="1241981220">
      <w:bodyDiv w:val="1"/>
      <w:marLeft w:val="0"/>
      <w:marRight w:val="0"/>
      <w:marTop w:val="0"/>
      <w:marBottom w:val="0"/>
      <w:divBdr>
        <w:top w:val="none" w:sz="0" w:space="0" w:color="auto"/>
        <w:left w:val="none" w:sz="0" w:space="0" w:color="auto"/>
        <w:bottom w:val="none" w:sz="0" w:space="0" w:color="auto"/>
        <w:right w:val="none" w:sz="0" w:space="0" w:color="auto"/>
      </w:divBdr>
    </w:div>
    <w:div w:id="1285890058">
      <w:bodyDiv w:val="1"/>
      <w:marLeft w:val="0"/>
      <w:marRight w:val="0"/>
      <w:marTop w:val="0"/>
      <w:marBottom w:val="0"/>
      <w:divBdr>
        <w:top w:val="none" w:sz="0" w:space="0" w:color="auto"/>
        <w:left w:val="none" w:sz="0" w:space="0" w:color="auto"/>
        <w:bottom w:val="none" w:sz="0" w:space="0" w:color="auto"/>
        <w:right w:val="none" w:sz="0" w:space="0" w:color="auto"/>
      </w:divBdr>
    </w:div>
    <w:div w:id="1579943587">
      <w:bodyDiv w:val="1"/>
      <w:marLeft w:val="0"/>
      <w:marRight w:val="0"/>
      <w:marTop w:val="0"/>
      <w:marBottom w:val="0"/>
      <w:divBdr>
        <w:top w:val="none" w:sz="0" w:space="0" w:color="auto"/>
        <w:left w:val="none" w:sz="0" w:space="0" w:color="auto"/>
        <w:bottom w:val="none" w:sz="0" w:space="0" w:color="auto"/>
        <w:right w:val="none" w:sz="0" w:space="0" w:color="auto"/>
      </w:divBdr>
    </w:div>
    <w:div w:id="1613324982">
      <w:bodyDiv w:val="1"/>
      <w:marLeft w:val="0"/>
      <w:marRight w:val="0"/>
      <w:marTop w:val="0"/>
      <w:marBottom w:val="0"/>
      <w:divBdr>
        <w:top w:val="none" w:sz="0" w:space="0" w:color="auto"/>
        <w:left w:val="none" w:sz="0" w:space="0" w:color="auto"/>
        <w:bottom w:val="none" w:sz="0" w:space="0" w:color="auto"/>
        <w:right w:val="none" w:sz="0" w:space="0" w:color="auto"/>
      </w:divBdr>
    </w:div>
    <w:div w:id="1678337853">
      <w:bodyDiv w:val="1"/>
      <w:marLeft w:val="0"/>
      <w:marRight w:val="0"/>
      <w:marTop w:val="0"/>
      <w:marBottom w:val="0"/>
      <w:divBdr>
        <w:top w:val="none" w:sz="0" w:space="0" w:color="auto"/>
        <w:left w:val="none" w:sz="0" w:space="0" w:color="auto"/>
        <w:bottom w:val="none" w:sz="0" w:space="0" w:color="auto"/>
        <w:right w:val="none" w:sz="0" w:space="0" w:color="auto"/>
      </w:divBdr>
    </w:div>
    <w:div w:id="1697268533">
      <w:bodyDiv w:val="1"/>
      <w:marLeft w:val="0"/>
      <w:marRight w:val="0"/>
      <w:marTop w:val="0"/>
      <w:marBottom w:val="0"/>
      <w:divBdr>
        <w:top w:val="none" w:sz="0" w:space="0" w:color="auto"/>
        <w:left w:val="none" w:sz="0" w:space="0" w:color="auto"/>
        <w:bottom w:val="none" w:sz="0" w:space="0" w:color="auto"/>
        <w:right w:val="none" w:sz="0" w:space="0" w:color="auto"/>
      </w:divBdr>
    </w:div>
    <w:div w:id="1741367302">
      <w:bodyDiv w:val="1"/>
      <w:marLeft w:val="0"/>
      <w:marRight w:val="0"/>
      <w:marTop w:val="0"/>
      <w:marBottom w:val="0"/>
      <w:divBdr>
        <w:top w:val="none" w:sz="0" w:space="0" w:color="auto"/>
        <w:left w:val="none" w:sz="0" w:space="0" w:color="auto"/>
        <w:bottom w:val="none" w:sz="0" w:space="0" w:color="auto"/>
        <w:right w:val="none" w:sz="0" w:space="0" w:color="auto"/>
      </w:divBdr>
    </w:div>
    <w:div w:id="1750691447">
      <w:bodyDiv w:val="1"/>
      <w:marLeft w:val="0"/>
      <w:marRight w:val="0"/>
      <w:marTop w:val="0"/>
      <w:marBottom w:val="0"/>
      <w:divBdr>
        <w:top w:val="none" w:sz="0" w:space="0" w:color="auto"/>
        <w:left w:val="none" w:sz="0" w:space="0" w:color="auto"/>
        <w:bottom w:val="none" w:sz="0" w:space="0" w:color="auto"/>
        <w:right w:val="none" w:sz="0" w:space="0" w:color="auto"/>
      </w:divBdr>
    </w:div>
    <w:div w:id="1980568835">
      <w:bodyDiv w:val="1"/>
      <w:marLeft w:val="0"/>
      <w:marRight w:val="0"/>
      <w:marTop w:val="0"/>
      <w:marBottom w:val="0"/>
      <w:divBdr>
        <w:top w:val="none" w:sz="0" w:space="0" w:color="auto"/>
        <w:left w:val="none" w:sz="0" w:space="0" w:color="auto"/>
        <w:bottom w:val="none" w:sz="0" w:space="0" w:color="auto"/>
        <w:right w:val="none" w:sz="0" w:space="0" w:color="auto"/>
      </w:divBdr>
    </w:div>
    <w:div w:id="2078817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19.xml"/><Relationship Id="rId42" Type="http://schemas.openxmlformats.org/officeDocument/2006/relationships/header" Target="header9.xml"/><Relationship Id="rId63" Type="http://schemas.openxmlformats.org/officeDocument/2006/relationships/chart" Target="charts/chart19.xml"/><Relationship Id="rId84" Type="http://schemas.openxmlformats.org/officeDocument/2006/relationships/chart" Target="charts/chart39.xml"/><Relationship Id="rId138" Type="http://schemas.openxmlformats.org/officeDocument/2006/relationships/header" Target="header28.xml"/><Relationship Id="rId159" Type="http://schemas.openxmlformats.org/officeDocument/2006/relationships/chart" Target="charts/chart60.xml"/><Relationship Id="rId170" Type="http://schemas.openxmlformats.org/officeDocument/2006/relationships/header" Target="header41.xml"/><Relationship Id="rId191" Type="http://schemas.openxmlformats.org/officeDocument/2006/relationships/header" Target="header47.xml"/><Relationship Id="rId205" Type="http://schemas.openxmlformats.org/officeDocument/2006/relationships/image" Target="media/image7.emf"/><Relationship Id="rId226" Type="http://schemas.openxmlformats.org/officeDocument/2006/relationships/header" Target="header52.xml"/><Relationship Id="rId107" Type="http://schemas.openxmlformats.org/officeDocument/2006/relationships/footer" Target="footer16.xml"/><Relationship Id="rId11" Type="http://schemas.openxmlformats.org/officeDocument/2006/relationships/header" Target="header3.xml"/><Relationship Id="rId32" Type="http://schemas.openxmlformats.org/officeDocument/2006/relationships/footer" Target="footer8.xml"/><Relationship Id="rId53" Type="http://schemas.openxmlformats.org/officeDocument/2006/relationships/chart" Target="charts/chart9.xml"/><Relationship Id="rId74" Type="http://schemas.openxmlformats.org/officeDocument/2006/relationships/chart" Target="charts/chart29.xml"/><Relationship Id="rId128" Type="http://schemas.openxmlformats.org/officeDocument/2006/relationships/header" Target="header25.xml"/><Relationship Id="rId149" Type="http://schemas.openxmlformats.org/officeDocument/2006/relationships/footer" Target="footer32.xml"/><Relationship Id="rId5" Type="http://schemas.openxmlformats.org/officeDocument/2006/relationships/webSettings" Target="webSettings.xml"/><Relationship Id="rId95" Type="http://schemas.openxmlformats.org/officeDocument/2006/relationships/chart" Target="charts/chart48.xml"/><Relationship Id="rId160" Type="http://schemas.openxmlformats.org/officeDocument/2006/relationships/header" Target="header37.xml"/><Relationship Id="rId181" Type="http://schemas.openxmlformats.org/officeDocument/2006/relationships/chart" Target="charts/chart64.xml"/><Relationship Id="rId216" Type="http://schemas.openxmlformats.org/officeDocument/2006/relationships/header" Target="header51.xml"/><Relationship Id="rId43" Type="http://schemas.openxmlformats.org/officeDocument/2006/relationships/footer" Target="footer11.xml"/><Relationship Id="rId64" Type="http://schemas.openxmlformats.org/officeDocument/2006/relationships/chart" Target="charts/chart20.xml"/><Relationship Id="rId118" Type="http://schemas.openxmlformats.org/officeDocument/2006/relationships/header" Target="header20.xml"/><Relationship Id="rId139" Type="http://schemas.openxmlformats.org/officeDocument/2006/relationships/header" Target="header29.xml"/><Relationship Id="rId85" Type="http://schemas.openxmlformats.org/officeDocument/2006/relationships/footer" Target="footer15.xml"/><Relationship Id="rId150" Type="http://schemas.openxmlformats.org/officeDocument/2006/relationships/footer" Target="footer33.xml"/><Relationship Id="rId171" Type="http://schemas.openxmlformats.org/officeDocument/2006/relationships/footer" Target="footer42.xml"/><Relationship Id="rId192" Type="http://schemas.openxmlformats.org/officeDocument/2006/relationships/footer" Target="footer48.xml"/><Relationship Id="rId206" Type="http://schemas.openxmlformats.org/officeDocument/2006/relationships/image" Target="media/image8.emf"/><Relationship Id="rId227" Type="http://schemas.openxmlformats.org/officeDocument/2006/relationships/footer" Target="footer56.xml"/><Relationship Id="rId12" Type="http://schemas.openxmlformats.org/officeDocument/2006/relationships/footer" Target="footer2.xml"/><Relationship Id="rId33" Type="http://schemas.openxmlformats.org/officeDocument/2006/relationships/footer" Target="footer9.xml"/><Relationship Id="rId108" Type="http://schemas.openxmlformats.org/officeDocument/2006/relationships/header" Target="header14.xml"/><Relationship Id="rId129" Type="http://schemas.openxmlformats.org/officeDocument/2006/relationships/footer" Target="footer25.xml"/><Relationship Id="rId54" Type="http://schemas.openxmlformats.org/officeDocument/2006/relationships/chart" Target="charts/chart10.xml"/><Relationship Id="rId75" Type="http://schemas.openxmlformats.org/officeDocument/2006/relationships/chart" Target="charts/chart30.xml"/><Relationship Id="rId96" Type="http://schemas.openxmlformats.org/officeDocument/2006/relationships/chart" Target="charts/chart49.xml"/><Relationship Id="rId140" Type="http://schemas.openxmlformats.org/officeDocument/2006/relationships/footer" Target="footer30.xml"/><Relationship Id="rId161" Type="http://schemas.openxmlformats.org/officeDocument/2006/relationships/footer" Target="footer38.xml"/><Relationship Id="rId182" Type="http://schemas.openxmlformats.org/officeDocument/2006/relationships/chart" Target="charts/chart65.xml"/><Relationship Id="rId217" Type="http://schemas.openxmlformats.org/officeDocument/2006/relationships/footer" Target="footer52.xml"/><Relationship Id="rId6" Type="http://schemas.openxmlformats.org/officeDocument/2006/relationships/footnotes" Target="footnotes.xml"/><Relationship Id="rId119" Type="http://schemas.openxmlformats.org/officeDocument/2006/relationships/footer" Target="footer21.xml"/><Relationship Id="rId44" Type="http://schemas.openxmlformats.org/officeDocument/2006/relationships/footer" Target="footer12.xml"/><Relationship Id="rId65" Type="http://schemas.openxmlformats.org/officeDocument/2006/relationships/chart" Target="charts/chart21.xml"/><Relationship Id="rId86" Type="http://schemas.openxmlformats.org/officeDocument/2006/relationships/header" Target="header13.xml"/><Relationship Id="rId130" Type="http://schemas.openxmlformats.org/officeDocument/2006/relationships/footer" Target="footer26.xml"/><Relationship Id="rId151" Type="http://schemas.openxmlformats.org/officeDocument/2006/relationships/header" Target="header33.xml"/><Relationship Id="rId172" Type="http://schemas.openxmlformats.org/officeDocument/2006/relationships/footer" Target="footer43.xml"/><Relationship Id="rId193" Type="http://schemas.openxmlformats.org/officeDocument/2006/relationships/footer" Target="footer49.xml"/><Relationship Id="rId207" Type="http://schemas.openxmlformats.org/officeDocument/2006/relationships/image" Target="media/image9.emf"/><Relationship Id="rId228" Type="http://schemas.openxmlformats.org/officeDocument/2006/relationships/footer" Target="footer57.xml"/><Relationship Id="rId13" Type="http://schemas.openxmlformats.org/officeDocument/2006/relationships/footer" Target="footer3.xml"/><Relationship Id="rId109" Type="http://schemas.openxmlformats.org/officeDocument/2006/relationships/footer" Target="footer17.xml"/><Relationship Id="rId34" Type="http://schemas.openxmlformats.org/officeDocument/2006/relationships/chart" Target="charts/chart1.xml"/><Relationship Id="rId55" Type="http://schemas.openxmlformats.org/officeDocument/2006/relationships/chart" Target="charts/chart11.xml"/><Relationship Id="rId76" Type="http://schemas.openxmlformats.org/officeDocument/2006/relationships/chart" Target="charts/chart31.xml"/><Relationship Id="rId97" Type="http://schemas.openxmlformats.org/officeDocument/2006/relationships/chart" Target="charts/chart50.xml"/><Relationship Id="rId120" Type="http://schemas.openxmlformats.org/officeDocument/2006/relationships/footer" Target="footer22.xml"/><Relationship Id="rId141" Type="http://schemas.openxmlformats.org/officeDocument/2006/relationships/footer" Target="footer31.xml"/><Relationship Id="rId7" Type="http://schemas.openxmlformats.org/officeDocument/2006/relationships/endnotes" Target="endnotes.xml"/><Relationship Id="rId162" Type="http://schemas.openxmlformats.org/officeDocument/2006/relationships/footer" Target="footer39.xml"/><Relationship Id="rId183" Type="http://schemas.openxmlformats.org/officeDocument/2006/relationships/image" Target="media/image6.png"/><Relationship Id="rId218" Type="http://schemas.openxmlformats.org/officeDocument/2006/relationships/footer" Target="footer53.xml"/><Relationship Id="rId45" Type="http://schemas.openxmlformats.org/officeDocument/2006/relationships/header" Target="header10.xml"/><Relationship Id="rId66" Type="http://schemas.openxmlformats.org/officeDocument/2006/relationships/chart" Target="charts/chart22.xml"/><Relationship Id="rId87" Type="http://schemas.openxmlformats.org/officeDocument/2006/relationships/chart" Target="charts/chart40.xml"/><Relationship Id="rId110" Type="http://schemas.openxmlformats.org/officeDocument/2006/relationships/footer" Target="footer18.xml"/><Relationship Id="rId131" Type="http://schemas.openxmlformats.org/officeDocument/2006/relationships/header" Target="header26.xml"/><Relationship Id="rId152" Type="http://schemas.openxmlformats.org/officeDocument/2006/relationships/header" Target="header34.xml"/><Relationship Id="rId173" Type="http://schemas.openxmlformats.org/officeDocument/2006/relationships/header" Target="header42.xml"/><Relationship Id="rId194" Type="http://schemas.openxmlformats.org/officeDocument/2006/relationships/header" Target="header48.xml"/><Relationship Id="rId208" Type="http://schemas.openxmlformats.org/officeDocument/2006/relationships/image" Target="media/image10.emf"/><Relationship Id="rId229" Type="http://schemas.openxmlformats.org/officeDocument/2006/relationships/footer" Target="footer58.xml"/><Relationship Id="rId14" Type="http://schemas.openxmlformats.org/officeDocument/2006/relationships/header" Target="header4.xml"/><Relationship Id="rId30" Type="http://schemas.openxmlformats.org/officeDocument/2006/relationships/header" Target="header8.xml"/><Relationship Id="rId35" Type="http://schemas.openxmlformats.org/officeDocument/2006/relationships/chart" Target="charts/chart2.xml"/><Relationship Id="rId56" Type="http://schemas.openxmlformats.org/officeDocument/2006/relationships/chart" Target="charts/chart12.xml"/><Relationship Id="rId77" Type="http://schemas.openxmlformats.org/officeDocument/2006/relationships/chart" Target="charts/chart32.xml"/><Relationship Id="rId105" Type="http://schemas.openxmlformats.org/officeDocument/2006/relationships/chart" Target="charts/chart54.xml"/><Relationship Id="rId126" Type="http://schemas.openxmlformats.org/officeDocument/2006/relationships/chart" Target="charts/chart56.xml"/><Relationship Id="rId147" Type="http://schemas.openxmlformats.org/officeDocument/2006/relationships/header" Target="header31.xml"/><Relationship Id="rId168" Type="http://schemas.openxmlformats.org/officeDocument/2006/relationships/image" Target="media/image4.png"/><Relationship Id="rId8" Type="http://schemas.openxmlformats.org/officeDocument/2006/relationships/footer" Target="footer1.xml"/><Relationship Id="rId51" Type="http://schemas.openxmlformats.org/officeDocument/2006/relationships/chart" Target="charts/chart7.xml"/><Relationship Id="rId72" Type="http://schemas.openxmlformats.org/officeDocument/2006/relationships/chart" Target="charts/chart27.xml"/><Relationship Id="rId93" Type="http://schemas.openxmlformats.org/officeDocument/2006/relationships/chart" Target="charts/chart46.xml"/><Relationship Id="rId98" Type="http://schemas.openxmlformats.org/officeDocument/2006/relationships/chart" Target="charts/chart51.xml"/><Relationship Id="rId121" Type="http://schemas.openxmlformats.org/officeDocument/2006/relationships/header" Target="header21.xml"/><Relationship Id="rId142" Type="http://schemas.openxmlformats.org/officeDocument/2006/relationships/header" Target="header30.xml"/><Relationship Id="rId163" Type="http://schemas.openxmlformats.org/officeDocument/2006/relationships/header" Target="header38.xml"/><Relationship Id="rId184" Type="http://schemas.openxmlformats.org/officeDocument/2006/relationships/header" Target="header45.xml"/><Relationship Id="rId189" Type="http://schemas.openxmlformats.org/officeDocument/2006/relationships/chart" Target="charts/chart67.xml"/><Relationship Id="rId219" Type="http://schemas.openxmlformats.org/officeDocument/2006/relationships/footer" Target="footer54.xml"/><Relationship Id="rId3" Type="http://schemas.openxmlformats.org/officeDocument/2006/relationships/styles" Target="styles.xml"/><Relationship Id="rId214" Type="http://schemas.openxmlformats.org/officeDocument/2006/relationships/image" Target="media/image16.emf"/><Relationship Id="rId230" Type="http://schemas.openxmlformats.org/officeDocument/2006/relationships/fontTable" Target="fontTable.xml"/><Relationship Id="rId46" Type="http://schemas.openxmlformats.org/officeDocument/2006/relationships/footer" Target="footer13.xml"/><Relationship Id="rId67" Type="http://schemas.openxmlformats.org/officeDocument/2006/relationships/chart" Target="charts/chart23.xml"/><Relationship Id="rId116" Type="http://schemas.openxmlformats.org/officeDocument/2006/relationships/header" Target="header18.xml"/><Relationship Id="rId137" Type="http://schemas.openxmlformats.org/officeDocument/2006/relationships/image" Target="media/image5.gif"/><Relationship Id="rId158" Type="http://schemas.openxmlformats.org/officeDocument/2006/relationships/header" Target="header36.xml"/><Relationship Id="rId41" Type="http://schemas.openxmlformats.org/officeDocument/2006/relationships/footer" Target="footer10.xml"/><Relationship Id="rId62" Type="http://schemas.openxmlformats.org/officeDocument/2006/relationships/chart" Target="charts/chart18.xml"/><Relationship Id="rId83" Type="http://schemas.openxmlformats.org/officeDocument/2006/relationships/chart" Target="charts/chart38.xml"/><Relationship Id="rId88" Type="http://schemas.openxmlformats.org/officeDocument/2006/relationships/chart" Target="charts/chart41.xml"/><Relationship Id="rId111" Type="http://schemas.openxmlformats.org/officeDocument/2006/relationships/header" Target="header15.xml"/><Relationship Id="rId132" Type="http://schemas.openxmlformats.org/officeDocument/2006/relationships/image" Target="media/image3.png"/><Relationship Id="rId153" Type="http://schemas.openxmlformats.org/officeDocument/2006/relationships/footer" Target="footer34.xml"/><Relationship Id="rId174" Type="http://schemas.openxmlformats.org/officeDocument/2006/relationships/header" Target="header43.xml"/><Relationship Id="rId179" Type="http://schemas.openxmlformats.org/officeDocument/2006/relationships/chart" Target="charts/chart63.xml"/><Relationship Id="rId195" Type="http://schemas.openxmlformats.org/officeDocument/2006/relationships/header" Target="header49.xml"/><Relationship Id="rId209" Type="http://schemas.openxmlformats.org/officeDocument/2006/relationships/image" Target="media/image11.emf"/><Relationship Id="rId190" Type="http://schemas.openxmlformats.org/officeDocument/2006/relationships/chart" Target="charts/chart68.xml"/><Relationship Id="rId204" Type="http://schemas.openxmlformats.org/officeDocument/2006/relationships/chart" Target="charts/chart74.xml"/><Relationship Id="rId220" Type="http://schemas.openxmlformats.org/officeDocument/2006/relationships/chart" Target="charts/chart75.xml"/><Relationship Id="rId225" Type="http://schemas.openxmlformats.org/officeDocument/2006/relationships/footer" Target="footer55.xml"/><Relationship Id="rId15" Type="http://schemas.openxmlformats.org/officeDocument/2006/relationships/footer" Target="footer4.xml"/><Relationship Id="rId36" Type="http://schemas.openxmlformats.org/officeDocument/2006/relationships/chart" Target="charts/chart3.xml"/><Relationship Id="rId57" Type="http://schemas.openxmlformats.org/officeDocument/2006/relationships/chart" Target="charts/chart13.xml"/><Relationship Id="rId106" Type="http://schemas.openxmlformats.org/officeDocument/2006/relationships/chart" Target="charts/chart55.xml"/><Relationship Id="rId127" Type="http://schemas.openxmlformats.org/officeDocument/2006/relationships/header" Target="header24.xml"/><Relationship Id="rId10" Type="http://schemas.openxmlformats.org/officeDocument/2006/relationships/header" Target="header2.xml"/><Relationship Id="rId31" Type="http://schemas.openxmlformats.org/officeDocument/2006/relationships/footer" Target="footer7.xml"/><Relationship Id="rId52" Type="http://schemas.openxmlformats.org/officeDocument/2006/relationships/chart" Target="charts/chart8.xml"/><Relationship Id="rId73" Type="http://schemas.openxmlformats.org/officeDocument/2006/relationships/chart" Target="charts/chart28.xml"/><Relationship Id="rId78" Type="http://schemas.openxmlformats.org/officeDocument/2006/relationships/chart" Target="charts/chart33.xml"/><Relationship Id="rId94" Type="http://schemas.openxmlformats.org/officeDocument/2006/relationships/chart" Target="charts/chart47.xml"/><Relationship Id="rId122" Type="http://schemas.openxmlformats.org/officeDocument/2006/relationships/header" Target="header22.xml"/><Relationship Id="rId143" Type="http://schemas.openxmlformats.org/officeDocument/2006/relationships/chart" Target="charts/chart57.xml"/><Relationship Id="rId148" Type="http://schemas.openxmlformats.org/officeDocument/2006/relationships/header" Target="header32.xml"/><Relationship Id="rId164" Type="http://schemas.openxmlformats.org/officeDocument/2006/relationships/header" Target="header39.xml"/><Relationship Id="rId169" Type="http://schemas.openxmlformats.org/officeDocument/2006/relationships/chart" Target="charts/chart61.xml"/><Relationship Id="rId185" Type="http://schemas.openxmlformats.org/officeDocument/2006/relationships/footer" Target="footer46.xm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5.png"/><Relationship Id="rId210" Type="http://schemas.openxmlformats.org/officeDocument/2006/relationships/image" Target="media/image12.emf"/><Relationship Id="rId215" Type="http://schemas.openxmlformats.org/officeDocument/2006/relationships/image" Target="media/image17.emf"/><Relationship Id="rId231" Type="http://schemas.openxmlformats.org/officeDocument/2006/relationships/theme" Target="theme/theme1.xml"/><Relationship Id="rId47" Type="http://schemas.openxmlformats.org/officeDocument/2006/relationships/image" Target="media/image20.gif"/><Relationship Id="rId68" Type="http://schemas.openxmlformats.org/officeDocument/2006/relationships/image" Target="media/image2.png"/><Relationship Id="rId89" Type="http://schemas.openxmlformats.org/officeDocument/2006/relationships/chart" Target="charts/chart42.xml"/><Relationship Id="rId112" Type="http://schemas.openxmlformats.org/officeDocument/2006/relationships/header" Target="header16.xml"/><Relationship Id="rId133" Type="http://schemas.openxmlformats.org/officeDocument/2006/relationships/header" Target="header27.xml"/><Relationship Id="rId154" Type="http://schemas.openxmlformats.org/officeDocument/2006/relationships/footer" Target="footer35.xml"/><Relationship Id="rId175" Type="http://schemas.openxmlformats.org/officeDocument/2006/relationships/footer" Target="footer44.xml"/><Relationship Id="rId196" Type="http://schemas.openxmlformats.org/officeDocument/2006/relationships/footer" Target="footer50.xml"/><Relationship Id="rId200" Type="http://schemas.openxmlformats.org/officeDocument/2006/relationships/chart" Target="charts/chart70.xml"/><Relationship Id="rId16" Type="http://schemas.openxmlformats.org/officeDocument/2006/relationships/header" Target="header5.xml"/><Relationship Id="rId221" Type="http://schemas.openxmlformats.org/officeDocument/2006/relationships/chart" Target="charts/chart76.xml"/><Relationship Id="rId37" Type="http://schemas.openxmlformats.org/officeDocument/2006/relationships/image" Target="media/image1.png"/><Relationship Id="rId58" Type="http://schemas.openxmlformats.org/officeDocument/2006/relationships/chart" Target="charts/chart14.xml"/><Relationship Id="rId79" Type="http://schemas.openxmlformats.org/officeDocument/2006/relationships/chart" Target="charts/chart34.xml"/><Relationship Id="rId102" Type="http://schemas.openxmlformats.org/officeDocument/2006/relationships/image" Target="media/image4.gif"/><Relationship Id="rId123" Type="http://schemas.openxmlformats.org/officeDocument/2006/relationships/header" Target="header23.xml"/><Relationship Id="rId144" Type="http://schemas.openxmlformats.org/officeDocument/2006/relationships/chart" Target="charts/chart58.xml"/><Relationship Id="rId90" Type="http://schemas.openxmlformats.org/officeDocument/2006/relationships/chart" Target="charts/chart43.xml"/><Relationship Id="rId165" Type="http://schemas.openxmlformats.org/officeDocument/2006/relationships/footer" Target="footer40.xml"/><Relationship Id="rId186" Type="http://schemas.openxmlformats.org/officeDocument/2006/relationships/footer" Target="footer47.xml"/><Relationship Id="rId211" Type="http://schemas.openxmlformats.org/officeDocument/2006/relationships/image" Target="media/image13.emf"/><Relationship Id="rId48" Type="http://schemas.openxmlformats.org/officeDocument/2006/relationships/header" Target="header11.xml"/><Relationship Id="rId69" Type="http://schemas.openxmlformats.org/officeDocument/2006/relationships/chart" Target="charts/chart24.xml"/><Relationship Id="rId113" Type="http://schemas.openxmlformats.org/officeDocument/2006/relationships/header" Target="header17.xml"/><Relationship Id="rId134" Type="http://schemas.openxmlformats.org/officeDocument/2006/relationships/footer" Target="footer27.xml"/><Relationship Id="rId80" Type="http://schemas.openxmlformats.org/officeDocument/2006/relationships/chart" Target="charts/chart35.xml"/><Relationship Id="rId155" Type="http://schemas.openxmlformats.org/officeDocument/2006/relationships/header" Target="header35.xml"/><Relationship Id="rId176" Type="http://schemas.openxmlformats.org/officeDocument/2006/relationships/footer" Target="footer45.xml"/><Relationship Id="rId197" Type="http://schemas.openxmlformats.org/officeDocument/2006/relationships/footer" Target="footer51.xml"/><Relationship Id="rId201" Type="http://schemas.openxmlformats.org/officeDocument/2006/relationships/chart" Target="charts/chart71.xml"/><Relationship Id="rId222" Type="http://schemas.openxmlformats.org/officeDocument/2006/relationships/chart" Target="charts/chart77.xml"/><Relationship Id="rId17" Type="http://schemas.openxmlformats.org/officeDocument/2006/relationships/footer" Target="footer5.xml"/><Relationship Id="rId38" Type="http://schemas.openxmlformats.org/officeDocument/2006/relationships/chart" Target="charts/chart4.xml"/><Relationship Id="rId59" Type="http://schemas.openxmlformats.org/officeDocument/2006/relationships/chart" Target="charts/chart15.xml"/><Relationship Id="rId103" Type="http://schemas.openxmlformats.org/officeDocument/2006/relationships/chart" Target="charts/chart52.xml"/><Relationship Id="rId124" Type="http://schemas.openxmlformats.org/officeDocument/2006/relationships/footer" Target="footer23.xml"/><Relationship Id="rId70" Type="http://schemas.openxmlformats.org/officeDocument/2006/relationships/chart" Target="charts/chart25.xml"/><Relationship Id="rId91" Type="http://schemas.openxmlformats.org/officeDocument/2006/relationships/chart" Target="charts/chart44.xml"/><Relationship Id="rId145" Type="http://schemas.openxmlformats.org/officeDocument/2006/relationships/image" Target="media/image6.gif"/><Relationship Id="rId166" Type="http://schemas.openxmlformats.org/officeDocument/2006/relationships/footer" Target="footer41.xml"/><Relationship Id="rId187" Type="http://schemas.openxmlformats.org/officeDocument/2006/relationships/header" Target="header46.xml"/><Relationship Id="rId1" Type="http://schemas.openxmlformats.org/officeDocument/2006/relationships/customXml" Target="../customXml/item1.xml"/><Relationship Id="rId212" Type="http://schemas.openxmlformats.org/officeDocument/2006/relationships/image" Target="media/image14.emf"/><Relationship Id="rId28" Type="http://schemas.openxmlformats.org/officeDocument/2006/relationships/image" Target="media/image2.gif"/><Relationship Id="rId49" Type="http://schemas.openxmlformats.org/officeDocument/2006/relationships/footer" Target="footer14.xml"/><Relationship Id="rId114" Type="http://schemas.openxmlformats.org/officeDocument/2006/relationships/footer" Target="footer19.xml"/><Relationship Id="rId60" Type="http://schemas.openxmlformats.org/officeDocument/2006/relationships/chart" Target="charts/chart16.xml"/><Relationship Id="rId81" Type="http://schemas.openxmlformats.org/officeDocument/2006/relationships/chart" Target="charts/chart36.xml"/><Relationship Id="rId135" Type="http://schemas.openxmlformats.org/officeDocument/2006/relationships/footer" Target="footer28.xml"/><Relationship Id="rId156" Type="http://schemas.openxmlformats.org/officeDocument/2006/relationships/footer" Target="footer36.xml"/><Relationship Id="rId177" Type="http://schemas.openxmlformats.org/officeDocument/2006/relationships/header" Target="header44.xml"/><Relationship Id="rId198" Type="http://schemas.openxmlformats.org/officeDocument/2006/relationships/header" Target="header50.xml"/><Relationship Id="rId202" Type="http://schemas.openxmlformats.org/officeDocument/2006/relationships/chart" Target="charts/chart72.xml"/><Relationship Id="rId223" Type="http://schemas.openxmlformats.org/officeDocument/2006/relationships/image" Target="media/image18.emf"/><Relationship Id="rId18" Type="http://schemas.openxmlformats.org/officeDocument/2006/relationships/header" Target="header6.xml"/><Relationship Id="rId39" Type="http://schemas.openxmlformats.org/officeDocument/2006/relationships/chart" Target="charts/chart5.xml"/><Relationship Id="rId50" Type="http://schemas.openxmlformats.org/officeDocument/2006/relationships/header" Target="header12.xml"/><Relationship Id="rId104" Type="http://schemas.openxmlformats.org/officeDocument/2006/relationships/chart" Target="charts/chart53.xml"/><Relationship Id="rId125" Type="http://schemas.openxmlformats.org/officeDocument/2006/relationships/footer" Target="footer24.xml"/><Relationship Id="rId146" Type="http://schemas.openxmlformats.org/officeDocument/2006/relationships/chart" Target="charts/chart59.xml"/><Relationship Id="rId167" Type="http://schemas.openxmlformats.org/officeDocument/2006/relationships/header" Target="header40.xml"/><Relationship Id="rId188" Type="http://schemas.openxmlformats.org/officeDocument/2006/relationships/chart" Target="charts/chart66.xml"/><Relationship Id="rId71" Type="http://schemas.openxmlformats.org/officeDocument/2006/relationships/chart" Target="charts/chart26.xml"/><Relationship Id="rId92" Type="http://schemas.openxmlformats.org/officeDocument/2006/relationships/chart" Target="charts/chart45.xml"/><Relationship Id="rId213" Type="http://schemas.openxmlformats.org/officeDocument/2006/relationships/image" Target="media/image15.emf"/><Relationship Id="rId2" Type="http://schemas.openxmlformats.org/officeDocument/2006/relationships/numbering" Target="numbering.xml"/><Relationship Id="rId29" Type="http://schemas.openxmlformats.org/officeDocument/2006/relationships/header" Target="header7.xml"/><Relationship Id="rId40" Type="http://schemas.openxmlformats.org/officeDocument/2006/relationships/chart" Target="charts/chart6.xml"/><Relationship Id="rId115" Type="http://schemas.openxmlformats.org/officeDocument/2006/relationships/footer" Target="footer20.xml"/><Relationship Id="rId136" Type="http://schemas.openxmlformats.org/officeDocument/2006/relationships/footer" Target="footer29.xml"/><Relationship Id="rId157" Type="http://schemas.openxmlformats.org/officeDocument/2006/relationships/footer" Target="footer37.xml"/><Relationship Id="rId178" Type="http://schemas.openxmlformats.org/officeDocument/2006/relationships/chart" Target="charts/chart62.xml"/><Relationship Id="rId61" Type="http://schemas.openxmlformats.org/officeDocument/2006/relationships/chart" Target="charts/chart17.xml"/><Relationship Id="rId82" Type="http://schemas.openxmlformats.org/officeDocument/2006/relationships/chart" Target="charts/chart37.xml"/><Relationship Id="rId199" Type="http://schemas.openxmlformats.org/officeDocument/2006/relationships/chart" Target="charts/chart69.xml"/><Relationship Id="rId203" Type="http://schemas.openxmlformats.org/officeDocument/2006/relationships/chart" Target="charts/chart73.xml"/><Relationship Id="rId19" Type="http://schemas.openxmlformats.org/officeDocument/2006/relationships/footer" Target="footer6.xml"/><Relationship Id="rId224" Type="http://schemas.openxmlformats.org/officeDocument/2006/relationships/image" Target="media/image19.emf"/></Relationships>
</file>

<file path=word/_rels/footnotes.xml.rels><?xml version="1.0" encoding="UTF-8" standalone="yes"?>
<Relationships xmlns="http://schemas.openxmlformats.org/package/2006/relationships"><Relationship Id="rId1" Type="http://schemas.openxmlformats.org/officeDocument/2006/relationships/hyperlink" Target="https://www.mfin.gov.rs//upload/media/jzsbpL_601ab1585ca02.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C:\Users\sara.radulovic\Dropbox\Makro%20sektor\6.2.1%20Fiskalna%202025-2027%20revidirana\Makro%20radni%20fajlovi\GRAFIKONI_MAKRO_okt24.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sara.radulovic\Dropbox\Makro%20sektor\6.2.1%20Fiskalna%202025-2027%20revidirana\Makro%20radni%20fajlovi\GRAFIKONI_MAKRO_okt24.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sara.radulovic\Dropbox\Makro%20sektor\6.2.1%20Fiskalna%202025-2027%20revidirana\Makro%20radni%20fajlovi\GRAFIKONI_MAKRO_okt24.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7.xml"/><Relationship Id="rId1" Type="http://schemas.microsoft.com/office/2011/relationships/chartStyle" Target="style7.xml"/><Relationship Id="rId5" Type="http://schemas.openxmlformats.org/officeDocument/2006/relationships/chartUserShapes" Target="../drawings/drawing2.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5" Type="http://schemas.openxmlformats.org/officeDocument/2006/relationships/chartUserShapes" Target="../drawings/drawing3.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4.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0.xml"/><Relationship Id="rId1" Type="http://schemas.microsoft.com/office/2011/relationships/chartStyle" Target="style10.xml"/><Relationship Id="rId5" Type="http://schemas.openxmlformats.org/officeDocument/2006/relationships/chartUserShapes" Target="../drawings/drawing5.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C:\Users\rade.ciric\Dropbox\Makro%20sektor\6.2.1%20Fiskalna%202025-2027%20revidirana\Makro%20radni%20fajlovi\GRAFIKONI_MAKRO_okt24.xlsx" TargetMode="External"/><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C:\Users\rade.ciric\Dropbox\Makro%20sektor\6.2.1%20Fiskalna%202025-2027%20revidirana\Makro%20radni%20fajlovi\GRAFIKONI_MAKRO_okt24.xlsx" TargetMode="External"/><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1.xml"/><Relationship Id="rId1" Type="http://schemas.microsoft.com/office/2011/relationships/chartStyle" Target="style11.xml"/><Relationship Id="rId5" Type="http://schemas.openxmlformats.org/officeDocument/2006/relationships/chartUserShapes" Target="../drawings/drawing8.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2.xml"/><Relationship Id="rId1" Type="http://schemas.microsoft.com/office/2011/relationships/chartStyle" Target="style12.xml"/><Relationship Id="rId5" Type="http://schemas.openxmlformats.org/officeDocument/2006/relationships/chartUserShapes" Target="../drawings/drawing9.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15.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C:\Users\rade.ciric\Dropbox\Makro%20sektor\6.2.1%20Fiskalna%202025-2027%20revidirana\Makro%20radni%20fajlovi\GRAFIKONI_MAKRO_okt24.xlsx" TargetMode="External"/><Relationship Id="rId1" Type="http://schemas.openxmlformats.org/officeDocument/2006/relationships/themeOverride" Target="../theme/themeOverride12.xml"/></Relationships>
</file>

<file path=word/charts/_rels/chart16.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file:///C:\Users\rade.ciric\Dropbox\Makro%20sektor\6.2.1%20Fiskalna%202025-2027%20revidirana\Makro%20radni%20fajlovi\GRAFIKONI_MAKRO_okt24.xlsx" TargetMode="External"/><Relationship Id="rId1" Type="http://schemas.openxmlformats.org/officeDocument/2006/relationships/themeOverride" Target="../theme/themeOverride13.xm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Book7"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Book7"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Book2"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Book2"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25.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29.xml.rels><?xml version="1.0" encoding="UTF-8" standalone="yes"?>
<Relationships xmlns="http://schemas.openxmlformats.org/package/2006/relationships"><Relationship Id="rId3" Type="http://schemas.openxmlformats.org/officeDocument/2006/relationships/themeOverride" Target="../theme/themeOverride26.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28.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30.xml"/><Relationship Id="rId1" Type="http://schemas.microsoft.com/office/2011/relationships/chartStyle" Target="style30.xml"/><Relationship Id="rId5" Type="http://schemas.openxmlformats.org/officeDocument/2006/relationships/chartUserShapes" Target="../drawings/drawing12.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32.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7.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33.xml"/><Relationship Id="rId1" Type="http://schemas.microsoft.com/office/2011/relationships/chartStyle" Target="style33.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8.xml.rels><?xml version="1.0" encoding="UTF-8" standalone="yes"?>
<Relationships xmlns="http://schemas.openxmlformats.org/package/2006/relationships"><Relationship Id="rId3" Type="http://schemas.openxmlformats.org/officeDocument/2006/relationships/themeOverride" Target="../theme/themeOverride35.xml"/><Relationship Id="rId2" Type="http://schemas.microsoft.com/office/2011/relationships/chartColorStyle" Target="colors34.xml"/><Relationship Id="rId1" Type="http://schemas.microsoft.com/office/2011/relationships/chartStyle" Target="style34.xml"/><Relationship Id="rId4" Type="http://schemas.openxmlformats.org/officeDocument/2006/relationships/oleObject" Target="file:///C:\Users\sara.radulovic\Dropbox\Makro%20sektor\6.2.1%20Fiskalna%202025-2027%20revidirana\Makro%20radni%20fajlovi\GRAFIKONI_MAKRO_okt24.xlsx" TargetMode="Externa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35.xml"/><Relationship Id="rId1" Type="http://schemas.microsoft.com/office/2011/relationships/chartStyle" Target="style35.xml"/><Relationship Id="rId4" Type="http://schemas.openxmlformats.org/officeDocument/2006/relationships/oleObject" Target="file:///C:\Users\rade.ciric\Dropbox\Makro%20sektor\1.%20Baze%20makro\BDP\Projekcija\6.%20BDP%20(dynamic%20fan%20chart).xlsx" TargetMode="Externa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37.xml"/><Relationship Id="rId2" Type="http://schemas.microsoft.com/office/2011/relationships/chartColorStyle" Target="colors36.xml"/><Relationship Id="rId1" Type="http://schemas.microsoft.com/office/2011/relationships/chartStyle" Target="style36.xml"/><Relationship Id="rId5" Type="http://schemas.openxmlformats.org/officeDocument/2006/relationships/chartUserShapes" Target="../drawings/drawing13.xml"/><Relationship Id="rId4" Type="http://schemas.openxmlformats.org/officeDocument/2006/relationships/oleObject" Target="file:///C:\Users\rade.ciric\Dropbox\Makro%20sektor\6.2.1%20Fiskalna%202025-2027%20revidirana\Makro%20radni%20fajlovi\GRAFIKONI_MAKRO_maj24.xlsx" TargetMode="External"/></Relationships>
</file>

<file path=word/charts/_rels/chart41.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37.xml"/><Relationship Id="rId1" Type="http://schemas.microsoft.com/office/2011/relationships/chartStyle" Target="style37.xml"/><Relationship Id="rId5" Type="http://schemas.openxmlformats.org/officeDocument/2006/relationships/chartUserShapes" Target="../drawings/drawing14.xml"/><Relationship Id="rId4" Type="http://schemas.openxmlformats.org/officeDocument/2006/relationships/oleObject" Target="file:///C:\Users\rade.ciric\Dropbox\Makro%20sektor\6.2.1%20Fiskalna%202025-2027%20revidirana\Makro%20radni%20fajlovi\GRAFIKONI_MAKRO_maj24.xlsx" TargetMode="External"/></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38.xml"/><Relationship Id="rId1" Type="http://schemas.microsoft.com/office/2011/relationships/chartStyle" Target="style38.xml"/><Relationship Id="rId4" Type="http://schemas.openxmlformats.org/officeDocument/2006/relationships/oleObject" Target="file:///C:\Users\rade.ciric\Dropbox\Makro%20sektor\1.%20Baze%20makro\BDP\Projekcija\6.%20BDP%20(dynamic%20fan%20chart).xlsx" TargetMode="External"/></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39.xml"/><Relationship Id="rId1" Type="http://schemas.microsoft.com/office/2011/relationships/chartStyle" Target="style39.xml"/><Relationship Id="rId5" Type="http://schemas.openxmlformats.org/officeDocument/2006/relationships/chartUserShapes" Target="../drawings/drawing15.xml"/><Relationship Id="rId4" Type="http://schemas.openxmlformats.org/officeDocument/2006/relationships/oleObject" Target="file:///C:\Users\rade.ciric\Dropbox\Makro%20sektor\6.2.1%20Fiskalna%202025-2027%20revidirana\Makro%20radni%20fajlovi\GRAFIKONI_MAKRO_okt24.xlsx" TargetMode="External"/></Relationships>
</file>

<file path=word/charts/_rels/chart44.xml.rels><?xml version="1.0" encoding="UTF-8" standalone="yes"?>
<Relationships xmlns="http://schemas.openxmlformats.org/package/2006/relationships"><Relationship Id="rId3" Type="http://schemas.openxmlformats.org/officeDocument/2006/relationships/themeOverride" Target="../theme/themeOverride41.xml"/><Relationship Id="rId2" Type="http://schemas.microsoft.com/office/2011/relationships/chartColorStyle" Target="colors40.xml"/><Relationship Id="rId1" Type="http://schemas.microsoft.com/office/2011/relationships/chartStyle" Target="style40.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45.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file:///C:\Users\marko.lisica\Dropbox\Makro%20sektor\6.2.1%20Fiskalna%202025-2027%20revidirana\Makro%20radni%20fajlovi\GRAFIKONI_MAKRO_okt24.xlsx" TargetMode="External"/><Relationship Id="rId1" Type="http://schemas.openxmlformats.org/officeDocument/2006/relationships/themeOverride" Target="../theme/themeOverride42.xml"/></Relationships>
</file>

<file path=word/charts/_rels/chart46.xml.rels><?xml version="1.0" encoding="UTF-8" standalone="yes"?>
<Relationships xmlns="http://schemas.openxmlformats.org/package/2006/relationships"><Relationship Id="rId3" Type="http://schemas.openxmlformats.org/officeDocument/2006/relationships/themeOverride" Target="../theme/themeOverride43.xml"/><Relationship Id="rId2" Type="http://schemas.microsoft.com/office/2011/relationships/chartColorStyle" Target="colors41.xml"/><Relationship Id="rId1" Type="http://schemas.microsoft.com/office/2011/relationships/chartStyle" Target="style41.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47.xml.rels><?xml version="1.0" encoding="UTF-8" standalone="yes"?>
<Relationships xmlns="http://schemas.openxmlformats.org/package/2006/relationships"><Relationship Id="rId3" Type="http://schemas.openxmlformats.org/officeDocument/2006/relationships/themeOverride" Target="../theme/themeOverride44.xml"/><Relationship Id="rId2" Type="http://schemas.microsoft.com/office/2011/relationships/chartColorStyle" Target="colors42.xml"/><Relationship Id="rId1" Type="http://schemas.microsoft.com/office/2011/relationships/chartStyle" Target="style42.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48.xml.rels><?xml version="1.0" encoding="UTF-8" standalone="yes"?>
<Relationships xmlns="http://schemas.openxmlformats.org/package/2006/relationships"><Relationship Id="rId3" Type="http://schemas.openxmlformats.org/officeDocument/2006/relationships/themeOverride" Target="../theme/themeOverride45.xml"/><Relationship Id="rId2" Type="http://schemas.microsoft.com/office/2011/relationships/chartColorStyle" Target="colors43.xml"/><Relationship Id="rId1" Type="http://schemas.microsoft.com/office/2011/relationships/chartStyle" Target="style43.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49.xml.rels><?xml version="1.0" encoding="UTF-8" standalone="yes"?>
<Relationships xmlns="http://schemas.openxmlformats.org/package/2006/relationships"><Relationship Id="rId3" Type="http://schemas.openxmlformats.org/officeDocument/2006/relationships/themeOverride" Target="../theme/themeOverride46.xml"/><Relationship Id="rId2" Type="http://schemas.microsoft.com/office/2011/relationships/chartColorStyle" Target="colors44.xml"/><Relationship Id="rId1" Type="http://schemas.microsoft.com/office/2011/relationships/chartStyle" Target="style44.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50.xml.rels><?xml version="1.0" encoding="UTF-8" standalone="yes"?>
<Relationships xmlns="http://schemas.openxmlformats.org/package/2006/relationships"><Relationship Id="rId3" Type="http://schemas.openxmlformats.org/officeDocument/2006/relationships/themeOverride" Target="../theme/themeOverride47.xml"/><Relationship Id="rId2" Type="http://schemas.microsoft.com/office/2011/relationships/chartColorStyle" Target="colors45.xml"/><Relationship Id="rId1" Type="http://schemas.microsoft.com/office/2011/relationships/chartStyle" Target="style45.xml"/><Relationship Id="rId5" Type="http://schemas.openxmlformats.org/officeDocument/2006/relationships/chartUserShapes" Target="../drawings/drawing17.xml"/><Relationship Id="rId4" Type="http://schemas.openxmlformats.org/officeDocument/2006/relationships/oleObject" Target="file:///C:\Users\marko.lisica\Dropbox\Makro%20sektor\6.2.1%20Fiskalna%202025-2027%20revidirana\Makro%20radni%20fajlovi\GRAFIKONI_MAKRO_okt24.xlsx" TargetMode="External"/></Relationships>
</file>

<file path=word/charts/_rels/chart51.xml.rels><?xml version="1.0" encoding="UTF-8" standalone="yes"?>
<Relationships xmlns="http://schemas.openxmlformats.org/package/2006/relationships"><Relationship Id="rId3" Type="http://schemas.openxmlformats.org/officeDocument/2006/relationships/themeOverride" Target="../theme/themeOverride48.xml"/><Relationship Id="rId2" Type="http://schemas.microsoft.com/office/2011/relationships/chartColorStyle" Target="colors46.xml"/><Relationship Id="rId1" Type="http://schemas.microsoft.com/office/2011/relationships/chartStyle" Target="style46.xml"/><Relationship Id="rId5" Type="http://schemas.openxmlformats.org/officeDocument/2006/relationships/chartUserShapes" Target="../drawings/drawing18.xml"/><Relationship Id="rId4" Type="http://schemas.openxmlformats.org/officeDocument/2006/relationships/oleObject" Target="file:///C:\Users\Rade\Dropbox\Makro%20sektor\6.2.1%20Fiskalna%202025-2027%20revidirana\Makro%20radni%20fajlovi\GRAFIKONI_MAKRO_okt24.xlsx" TargetMode="External"/></Relationships>
</file>

<file path=word/charts/_rels/chart52.xml.rels><?xml version="1.0" encoding="UTF-8" standalone="yes"?>
<Relationships xmlns="http://schemas.openxmlformats.org/package/2006/relationships"><Relationship Id="rId3" Type="http://schemas.openxmlformats.org/officeDocument/2006/relationships/themeOverride" Target="../theme/themeOverride49.xml"/><Relationship Id="rId2" Type="http://schemas.microsoft.com/office/2011/relationships/chartColorStyle" Target="colors47.xml"/><Relationship Id="rId1" Type="http://schemas.microsoft.com/office/2011/relationships/chartStyle" Target="style47.xml"/><Relationship Id="rId4" Type="http://schemas.openxmlformats.org/officeDocument/2006/relationships/oleObject" Target="file:///C:\Users\milos.gligorijevic\Dropbox\Makro%20sektor\6.2.1%20Fiskalna%202025-2027%20revidirana\Makro%20radni%20fajlovi\GRAFIKONI_MAKRO_okt24.xlsx" TargetMode="External"/></Relationships>
</file>

<file path=word/charts/_rels/chart53.xml.rels><?xml version="1.0" encoding="UTF-8" standalone="yes"?>
<Relationships xmlns="http://schemas.openxmlformats.org/package/2006/relationships"><Relationship Id="rId2" Type="http://schemas.openxmlformats.org/officeDocument/2006/relationships/oleObject" Target="file:///C:\Users\milos.gligorijevic\Dropbox\Makro%20sektor\6.2.1%20Fiskalna%202025-2027%20revidirana\Makro%20radni%20fajlovi\GRAFIKONI_MAKRO_okt24.xlsx" TargetMode="External"/><Relationship Id="rId1" Type="http://schemas.openxmlformats.org/officeDocument/2006/relationships/themeOverride" Target="../theme/themeOverride50.xml"/></Relationships>
</file>

<file path=word/charts/_rels/chart54.xml.rels><?xml version="1.0" encoding="UTF-8" standalone="yes"?>
<Relationships xmlns="http://schemas.openxmlformats.org/package/2006/relationships"><Relationship Id="rId3" Type="http://schemas.openxmlformats.org/officeDocument/2006/relationships/themeOverride" Target="../theme/themeOverride51.xml"/><Relationship Id="rId2" Type="http://schemas.microsoft.com/office/2011/relationships/chartColorStyle" Target="colors48.xml"/><Relationship Id="rId1" Type="http://schemas.microsoft.com/office/2011/relationships/chartStyle" Target="style48.xml"/><Relationship Id="rId5" Type="http://schemas.openxmlformats.org/officeDocument/2006/relationships/chartUserShapes" Target="../drawings/drawing19.xml"/><Relationship Id="rId4" Type="http://schemas.openxmlformats.org/officeDocument/2006/relationships/oleObject" Target="file:///C:\Users\milos.gligorijevic\Dropbox\Makro%20sektor\6.2.1%20Fiskalna%202025-2027%20revidirana\Makro%20radni%20fajlovi\GRAFIKONI_MAKRO_okt24.xlsx" TargetMode="External"/></Relationships>
</file>

<file path=word/charts/_rels/chart55.xml.rels><?xml version="1.0" encoding="UTF-8" standalone="yes"?>
<Relationships xmlns="http://schemas.openxmlformats.org/package/2006/relationships"><Relationship Id="rId3" Type="http://schemas.openxmlformats.org/officeDocument/2006/relationships/oleObject" Target="file:///C:\Users\milos.gligorijevic\Dropbox\Makro%20sektor\6.2.1%20Fiskalna%202025-2027%20revidirana\Makro%20radni%20fajlovi\GRAFIKONI_MAKRO_okt24.xlsx" TargetMode="External"/><Relationship Id="rId2" Type="http://schemas.microsoft.com/office/2011/relationships/chartColorStyle" Target="colors49.xml"/><Relationship Id="rId1" Type="http://schemas.microsoft.com/office/2011/relationships/chartStyle" Target="style49.xml"/><Relationship Id="rId4" Type="http://schemas.openxmlformats.org/officeDocument/2006/relationships/chartUserShapes" Target="../drawings/drawing20.xml"/></Relationships>
</file>

<file path=word/charts/_rels/chart56.xml.rels><?xml version="1.0" encoding="UTF-8" standalone="yes"?>
<Relationships xmlns="http://schemas.openxmlformats.org/package/2006/relationships"><Relationship Id="rId3" Type="http://schemas.openxmlformats.org/officeDocument/2006/relationships/themeOverride" Target="../theme/themeOverride52.xml"/><Relationship Id="rId2" Type="http://schemas.microsoft.com/office/2011/relationships/chartColorStyle" Target="colors50.xml"/><Relationship Id="rId1" Type="http://schemas.microsoft.com/office/2011/relationships/chartStyle" Target="style50.xml"/><Relationship Id="rId4" Type="http://schemas.openxmlformats.org/officeDocument/2006/relationships/oleObject" Target="file:///C:\Users\vladimir.malbasic\Desktop\Novi%20RFZO%20Za%20bazu-%20GFS,%20SS%20bs%20,%20MMF%20table\GFS%20CONSOLIDATION_za%20analizu%20radni%20fajl-2080mq1.xlsx" TargetMode="External"/></Relationships>
</file>

<file path=word/charts/_rels/chart57.xml.rels><?xml version="1.0" encoding="UTF-8" standalone="yes"?>
<Relationships xmlns="http://schemas.openxmlformats.org/package/2006/relationships"><Relationship Id="rId3" Type="http://schemas.openxmlformats.org/officeDocument/2006/relationships/themeOverride" Target="../theme/themeOverride53.xml"/><Relationship Id="rId2" Type="http://schemas.microsoft.com/office/2011/relationships/chartColorStyle" Target="colors51.xml"/><Relationship Id="rId1" Type="http://schemas.microsoft.com/office/2011/relationships/chartStyle" Target="style51.xml"/><Relationship Id="rId5" Type="http://schemas.openxmlformats.org/officeDocument/2006/relationships/chartUserShapes" Target="../drawings/drawing21.xml"/><Relationship Id="rId4" Type="http://schemas.openxmlformats.org/officeDocument/2006/relationships/oleObject" Target="file:///C:\Users\ivan.krstic\Desktop\S0%202023%20final%20revidirana.xlsx" TargetMode="External"/></Relationships>
</file>

<file path=word/charts/_rels/chart58.xml.rels><?xml version="1.0" encoding="UTF-8" standalone="yes"?>
<Relationships xmlns="http://schemas.openxmlformats.org/package/2006/relationships"><Relationship Id="rId3" Type="http://schemas.openxmlformats.org/officeDocument/2006/relationships/themeOverride" Target="../theme/themeOverride54.xml"/><Relationship Id="rId2" Type="http://schemas.microsoft.com/office/2011/relationships/chartColorStyle" Target="colors52.xml"/><Relationship Id="rId1" Type="http://schemas.microsoft.com/office/2011/relationships/chartStyle" Target="style52.xml"/><Relationship Id="rId5" Type="http://schemas.openxmlformats.org/officeDocument/2006/relationships/chartUserShapes" Target="../drawings/drawing22.xml"/><Relationship Id="rId4" Type="http://schemas.openxmlformats.org/officeDocument/2006/relationships/oleObject" Target="file:///C:\Users\ivan.krstic\Desktop\S0%202023%20final%20revidirana.xlsx" TargetMode="External"/></Relationships>
</file>

<file path=word/charts/_rels/chart59.xml.rels><?xml version="1.0" encoding="UTF-8" standalone="yes"?>
<Relationships xmlns="http://schemas.openxmlformats.org/package/2006/relationships"><Relationship Id="rId3" Type="http://schemas.openxmlformats.org/officeDocument/2006/relationships/themeOverride" Target="../theme/themeOverride55.xml"/><Relationship Id="rId2" Type="http://schemas.microsoft.com/office/2011/relationships/chartColorStyle" Target="colors53.xml"/><Relationship Id="rId1" Type="http://schemas.microsoft.com/office/2011/relationships/chartStyle" Target="style53.xml"/><Relationship Id="rId4" Type="http://schemas.openxmlformats.org/officeDocument/2006/relationships/oleObject" Target="file:///C:\Users\ognjen.jancic\Dropbox\Makro%20sektor\6.2.1%20Fiskalna%202025-2027%20revidirana\Fiskal%20radni%20fajlovi\S0%202023%20final%20revidirana.xlsx" TargetMode="External"/></Relationships>
</file>

<file path=word/charts/_rels/chart60.xml.rels><?xml version="1.0" encoding="UTF-8" standalone="yes"?>
<Relationships xmlns="http://schemas.openxmlformats.org/package/2006/relationships"><Relationship Id="rId3" Type="http://schemas.openxmlformats.org/officeDocument/2006/relationships/chartUserShapes" Target="../drawings/drawing23.xml"/><Relationship Id="rId2" Type="http://schemas.openxmlformats.org/officeDocument/2006/relationships/package" Target="../embeddings/Microsoft_Excel_Worksheet.xlsx"/><Relationship Id="rId1" Type="http://schemas.openxmlformats.org/officeDocument/2006/relationships/themeOverride" Target="../theme/themeOverride56.xml"/></Relationships>
</file>

<file path=word/charts/_rels/chart61.xml.rels><?xml version="1.0" encoding="UTF-8" standalone="yes"?>
<Relationships xmlns="http://schemas.openxmlformats.org/package/2006/relationships"><Relationship Id="rId3" Type="http://schemas.openxmlformats.org/officeDocument/2006/relationships/themeOverride" Target="../theme/themeOverride57.xml"/><Relationship Id="rId2" Type="http://schemas.microsoft.com/office/2011/relationships/chartColorStyle" Target="colors54.xml"/><Relationship Id="rId1" Type="http://schemas.microsoft.com/office/2011/relationships/chartStyle" Target="style54.xml"/><Relationship Id="rId4" Type="http://schemas.openxmlformats.org/officeDocument/2006/relationships/package" Target="../embeddings/Microsoft_Excel_Worksheet1.xlsx"/></Relationships>
</file>

<file path=word/charts/_rels/chart62.xml.rels><?xml version="1.0" encoding="UTF-8" standalone="yes"?>
<Relationships xmlns="http://schemas.openxmlformats.org/package/2006/relationships"><Relationship Id="rId3" Type="http://schemas.openxmlformats.org/officeDocument/2006/relationships/themeOverride" Target="../theme/themeOverride58.xml"/><Relationship Id="rId2" Type="http://schemas.microsoft.com/office/2011/relationships/chartColorStyle" Target="colors55.xml"/><Relationship Id="rId1" Type="http://schemas.microsoft.com/office/2011/relationships/chartStyle" Target="style55.xml"/><Relationship Id="rId4" Type="http://schemas.openxmlformats.org/officeDocument/2006/relationships/package" Target="../embeddings/Microsoft_Excel_Worksheet2.xlsx"/></Relationships>
</file>

<file path=word/charts/_rels/chart63.xml.rels><?xml version="1.0" encoding="UTF-8" standalone="yes"?>
<Relationships xmlns="http://schemas.openxmlformats.org/package/2006/relationships"><Relationship Id="rId3" Type="http://schemas.openxmlformats.org/officeDocument/2006/relationships/themeOverride" Target="../theme/themeOverride59.xml"/><Relationship Id="rId2" Type="http://schemas.microsoft.com/office/2011/relationships/chartColorStyle" Target="colors56.xml"/><Relationship Id="rId1" Type="http://schemas.microsoft.com/office/2011/relationships/chartStyle" Target="style56.xml"/><Relationship Id="rId4" Type="http://schemas.openxmlformats.org/officeDocument/2006/relationships/package" Target="../embeddings/Microsoft_Excel_Worksheet3.xlsx"/></Relationships>
</file>

<file path=word/charts/_rels/chart64.xml.rels><?xml version="1.0" encoding="UTF-8" standalone="yes"?>
<Relationships xmlns="http://schemas.openxmlformats.org/package/2006/relationships"><Relationship Id="rId3" Type="http://schemas.openxmlformats.org/officeDocument/2006/relationships/themeOverride" Target="../theme/themeOverride60.xml"/><Relationship Id="rId2" Type="http://schemas.microsoft.com/office/2011/relationships/chartColorStyle" Target="colors57.xml"/><Relationship Id="rId1" Type="http://schemas.microsoft.com/office/2011/relationships/chartStyle" Target="style57.xml"/><Relationship Id="rId5" Type="http://schemas.openxmlformats.org/officeDocument/2006/relationships/chartUserShapes" Target="../drawings/drawing24.xml"/><Relationship Id="rId4" Type="http://schemas.openxmlformats.org/officeDocument/2006/relationships/oleObject" Target="file:///\\10.9.19.72\fiskalnirizici$\Pracenje%20fiskalnih%20rizika\2024\Revidirana%20fiskalna%20strategija%20Q3\Revidirana%20FS%20-%20OSTALI%20FISKALNI%20RIZICI\Dijagrami%20i%20tabele%20za%20Fiskalnu%20Strategiju%2015.10.2024..xlsx" TargetMode="External"/></Relationships>
</file>

<file path=word/charts/_rels/chart65.xml.rels><?xml version="1.0" encoding="UTF-8" standalone="yes"?>
<Relationships xmlns="http://schemas.openxmlformats.org/package/2006/relationships"><Relationship Id="rId3" Type="http://schemas.openxmlformats.org/officeDocument/2006/relationships/themeOverride" Target="../theme/themeOverride61.xml"/><Relationship Id="rId2" Type="http://schemas.microsoft.com/office/2011/relationships/chartColorStyle" Target="colors58.xml"/><Relationship Id="rId1" Type="http://schemas.microsoft.com/office/2011/relationships/chartStyle" Target="style58.xml"/><Relationship Id="rId4" Type="http://schemas.openxmlformats.org/officeDocument/2006/relationships/package" Target="../embeddings/Microsoft_Excel_Worksheet4.xlsx"/></Relationships>
</file>

<file path=word/charts/_rels/chart66.xml.rels><?xml version="1.0" encoding="UTF-8" standalone="yes"?>
<Relationships xmlns="http://schemas.openxmlformats.org/package/2006/relationships"><Relationship Id="rId3" Type="http://schemas.openxmlformats.org/officeDocument/2006/relationships/themeOverride" Target="../theme/themeOverride62.xml"/><Relationship Id="rId2" Type="http://schemas.microsoft.com/office/2011/relationships/chartColorStyle" Target="colors59.xml"/><Relationship Id="rId1" Type="http://schemas.microsoft.com/office/2011/relationships/chartStyle" Target="style59.xml"/><Relationship Id="rId5" Type="http://schemas.openxmlformats.org/officeDocument/2006/relationships/chartUserShapes" Target="../drawings/drawing25.xml"/><Relationship Id="rId4" Type="http://schemas.openxmlformats.org/officeDocument/2006/relationships/oleObject" Target="file:///C:\Users\vladimir.malbasic\Dropbox\Makro%20sektor\6.2.1%20Fiskalna%202025-2027%20revidirana\Fiskal%20radni%20fajlovi\Grafikoni%20ciklicnog%20deficita,%20poreske%20elasticnosti%20i%20osetljivost%20balansa%20novi%20BDP.xlsx" TargetMode="External"/></Relationships>
</file>

<file path=word/charts/_rels/chart67.xml.rels><?xml version="1.0" encoding="UTF-8" standalone="yes"?>
<Relationships xmlns="http://schemas.openxmlformats.org/package/2006/relationships"><Relationship Id="rId3" Type="http://schemas.openxmlformats.org/officeDocument/2006/relationships/themeOverride" Target="../theme/themeOverride63.xml"/><Relationship Id="rId2" Type="http://schemas.microsoft.com/office/2011/relationships/chartColorStyle" Target="colors60.xml"/><Relationship Id="rId1" Type="http://schemas.microsoft.com/office/2011/relationships/chartStyle" Target="style60.xml"/><Relationship Id="rId5" Type="http://schemas.openxmlformats.org/officeDocument/2006/relationships/chartUserShapes" Target="../drawings/drawing26.xml"/><Relationship Id="rId4" Type="http://schemas.openxmlformats.org/officeDocument/2006/relationships/oleObject" Target="file:///C:\Users\vladimir.malbasic\Dropbox\Makro%20sektor\6.2.1%20Fiskalna%202025-2027%20revidirana\Fiskal%20radni%20fajlovi\Grafikoni%20ciklicnog%20deficita,%20poreske%20elasticnosti%20i%20osetljivost%20balansa%20novi%20BDP.xlsx" TargetMode="External"/></Relationships>
</file>

<file path=word/charts/_rels/chart68.xml.rels><?xml version="1.0" encoding="UTF-8" standalone="yes"?>
<Relationships xmlns="http://schemas.openxmlformats.org/package/2006/relationships"><Relationship Id="rId3" Type="http://schemas.openxmlformats.org/officeDocument/2006/relationships/chartUserShapes" Target="../drawings/drawing27.xml"/><Relationship Id="rId2" Type="http://schemas.openxmlformats.org/officeDocument/2006/relationships/oleObject" Target="file:///C:\Users\vladimir.malbasic\Dropbox\Makro%20sektor\6.2.1%20Fiskalna%202025-2027%20revidirana\Fiskal%20radni%20fajlovi\Grafikoni%20ciklicnog%20deficita,%20poreske%20elasticnosti%20i%20osetljivost%20balansa%20novi%20BDP.xlsx" TargetMode="External"/><Relationship Id="rId1" Type="http://schemas.openxmlformats.org/officeDocument/2006/relationships/themeOverride" Target="../theme/themeOverride64.xml"/></Relationships>
</file>

<file path=word/charts/_rels/chart69.xml.rels><?xml version="1.0" encoding="UTF-8" standalone="yes"?>
<Relationships xmlns="http://schemas.openxmlformats.org/package/2006/relationships"><Relationship Id="rId3" Type="http://schemas.openxmlformats.org/officeDocument/2006/relationships/themeOverride" Target="../theme/themeOverride65.xml"/><Relationship Id="rId2" Type="http://schemas.microsoft.com/office/2011/relationships/chartColorStyle" Target="colors61.xml"/><Relationship Id="rId1" Type="http://schemas.microsoft.com/office/2011/relationships/chartStyle" Target="style61.xml"/><Relationship Id="rId4" Type="http://schemas.openxmlformats.org/officeDocument/2006/relationships/oleObject" Target="file:///C:\Users\vladimir.malbasic\Dropbox\Makro%20sektor\6.2.1%20Fiskalna%202025-2027%20revidirana\Fiskal%20radni%20fajlovi\Grafikoni%20ciklicnog%20deficita,%20poreske%20elasticnosti%20i%20osetljivost%20balansa%20novi%20BDP.xlsx" TargetMode="External"/></Relationships>
</file>

<file path=word/charts/_rels/chart70.xml.rels><?xml version="1.0" encoding="UTF-8" standalone="yes"?>
<Relationships xmlns="http://schemas.openxmlformats.org/package/2006/relationships"><Relationship Id="rId3" Type="http://schemas.openxmlformats.org/officeDocument/2006/relationships/themeOverride" Target="../theme/themeOverride66.xml"/><Relationship Id="rId2" Type="http://schemas.microsoft.com/office/2011/relationships/chartColorStyle" Target="colors62.xml"/><Relationship Id="rId1" Type="http://schemas.microsoft.com/office/2011/relationships/chartStyle" Target="style62.xml"/><Relationship Id="rId4" Type="http://schemas.openxmlformats.org/officeDocument/2006/relationships/oleObject" Target="file:///C:\Users\vladimir.malbasic\Desktop\Novi%20RFZO%20Za%20bazu-%20GFS,%20SS%20bs%20,%20MMF%20table\GFS%20CONSOLIDATION_za%20analizu%20radni%20fajl-2080mq1.xlsx" TargetMode="External"/></Relationships>
</file>

<file path=word/charts/_rels/chart71.xml.rels><?xml version="1.0" encoding="UTF-8" standalone="yes"?>
<Relationships xmlns="http://schemas.openxmlformats.org/package/2006/relationships"><Relationship Id="rId3" Type="http://schemas.openxmlformats.org/officeDocument/2006/relationships/themeOverride" Target="../theme/themeOverride67.xml"/><Relationship Id="rId2" Type="http://schemas.microsoft.com/office/2011/relationships/chartColorStyle" Target="colors63.xml"/><Relationship Id="rId1" Type="http://schemas.microsoft.com/office/2011/relationships/chartStyle" Target="style63.xml"/><Relationship Id="rId5" Type="http://schemas.openxmlformats.org/officeDocument/2006/relationships/chartUserShapes" Target="../drawings/drawing28.xml"/><Relationship Id="rId4" Type="http://schemas.openxmlformats.org/officeDocument/2006/relationships/oleObject" Target="file:///C:\Users\vladimir.malbasic\Dropbox\Makro%20sektor\6.2.1%20Fiskalna%202025-2027%20revidirana\Fiskal%20radni%20fajlovi\Scenarija%20javni%20dug%20fiskalno%20prilagodjavanje%20novi%20BDP.xlsx" TargetMode="External"/></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68.xml"/></Relationships>
</file>

<file path=word/charts/_rels/chart73.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9.xml"/></Relationships>
</file>

<file path=word/charts/_rels/chart74.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0.xml"/></Relationships>
</file>

<file path=word/charts/_rels/chart75.xml.rels><?xml version="1.0" encoding="UTF-8" standalone="yes"?>
<Relationships xmlns="http://schemas.openxmlformats.org/package/2006/relationships"><Relationship Id="rId2" Type="http://schemas.openxmlformats.org/officeDocument/2006/relationships/oleObject" Target="file:///C:\Users\Milena\Desktop\304692-hladne_obale_kompletna_serija\Ou-gi\%23\!RI%202024-03\!%20Risk%20Pokazatelji\strategija%202025-2027R\MTDS%202025-2027R%20-%20u&#269;e&#353;&#263;e%20var%20&#353;tela.xlsm" TargetMode="External"/><Relationship Id="rId1" Type="http://schemas.openxmlformats.org/officeDocument/2006/relationships/themeOverride" Target="../theme/themeOverride71.xml"/></Relationships>
</file>

<file path=word/charts/_rels/chart76.xml.rels><?xml version="1.0" encoding="UTF-8" standalone="yes"?>
<Relationships xmlns="http://schemas.openxmlformats.org/package/2006/relationships"><Relationship Id="rId2" Type="http://schemas.openxmlformats.org/officeDocument/2006/relationships/oleObject" Target="file:///C:\Users\Milena\Desktop\304692-hladne_obale_kompletna_serija\Ou-gi\%23\!RI%202024-03\!%20Risk%20Pokazatelji\strategija%202025-2027R\MTDS%202025-2027R%20-%20u&#269;e&#353;&#263;e%20var%20&#353;tela.xlsm" TargetMode="External"/><Relationship Id="rId1" Type="http://schemas.openxmlformats.org/officeDocument/2006/relationships/themeOverride" Target="../theme/themeOverride72.xml"/></Relationships>
</file>

<file path=word/charts/_rels/chart77.xml.rels><?xml version="1.0" encoding="UTF-8" standalone="yes"?>
<Relationships xmlns="http://schemas.openxmlformats.org/package/2006/relationships"><Relationship Id="rId3" Type="http://schemas.openxmlformats.org/officeDocument/2006/relationships/themeOverride" Target="../theme/themeOverride73.xml"/><Relationship Id="rId2" Type="http://schemas.microsoft.com/office/2011/relationships/chartColorStyle" Target="colors64.xml"/><Relationship Id="rId1" Type="http://schemas.microsoft.com/office/2011/relationships/chartStyle" Target="style64.xml"/><Relationship Id="rId4" Type="http://schemas.openxmlformats.org/officeDocument/2006/relationships/oleObject" Target="file:///C:\Users\Oliver%20Mini&#263;\Desktop\STRATEGIJA%202025-2027\AZURIRANA\STRAT20233-202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5979221347331585E-2"/>
          <c:y val="5.0925925925925923E-2"/>
          <c:w val="0.91179855643044616"/>
          <c:h val="0.57800087489063867"/>
        </c:manualLayout>
      </c:layout>
      <c:barChart>
        <c:barDir val="col"/>
        <c:grouping val="stacked"/>
        <c:varyColors val="0"/>
        <c:ser>
          <c:idx val="0"/>
          <c:order val="0"/>
          <c:tx>
            <c:strRef>
              <c:f>'WEO_ekon. rast'!$B$25</c:f>
              <c:strCache>
                <c:ptCount val="1"/>
                <c:pt idx="0">
                  <c:v>Развијене економије искључујући САД и ЕУ</c:v>
                </c:pt>
              </c:strCache>
            </c:strRef>
          </c:tx>
          <c:spPr>
            <a:solidFill>
              <a:srgbClr val="10103C"/>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rast'!$G$25:$O$25</c:f>
              <c:numCache>
                <c:formatCode>0.00</c:formatCode>
                <c:ptCount val="9"/>
                <c:pt idx="0">
                  <c:v>8.0160039999999932E-2</c:v>
                </c:pt>
                <c:pt idx="1">
                  <c:v>-0.48920470000000016</c:v>
                </c:pt>
                <c:pt idx="2">
                  <c:v>0.58983435999999956</c:v>
                </c:pt>
                <c:pt idx="3">
                  <c:v>0.27619892000000013</c:v>
                </c:pt>
                <c:pt idx="4">
                  <c:v>0.18836556000000015</c:v>
                </c:pt>
                <c:pt idx="5">
                  <c:v>0.1373193499999999</c:v>
                </c:pt>
                <c:pt idx="6">
                  <c:v>0.16799342999999994</c:v>
                </c:pt>
                <c:pt idx="7">
                  <c:v>0.15768876000000009</c:v>
                </c:pt>
                <c:pt idx="8">
                  <c:v>0.13901417999999999</c:v>
                </c:pt>
              </c:numCache>
            </c:numRef>
          </c:val>
          <c:extLst>
            <c:ext xmlns:c16="http://schemas.microsoft.com/office/drawing/2014/chart" uri="{C3380CC4-5D6E-409C-BE32-E72D297353CC}">
              <c16:uniqueId val="{00000000-206B-4F36-A672-F0B129469A90}"/>
            </c:ext>
          </c:extLst>
        </c:ser>
        <c:ser>
          <c:idx val="1"/>
          <c:order val="1"/>
          <c:tx>
            <c:strRef>
              <c:f>'WEO_ekon. rast'!$B$26</c:f>
              <c:strCache>
                <c:ptCount val="1"/>
                <c:pt idx="0">
                  <c:v>САД</c:v>
                </c:pt>
              </c:strCache>
            </c:strRef>
          </c:tx>
          <c:spPr>
            <a:solidFill>
              <a:srgbClr val="2A489A"/>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rast'!$G$26:$O$26</c:f>
              <c:numCache>
                <c:formatCode>0.00</c:formatCode>
                <c:ptCount val="9"/>
                <c:pt idx="0">
                  <c:v>0.39917632000000003</c:v>
                </c:pt>
                <c:pt idx="1">
                  <c:v>-0.33199886999999995</c:v>
                </c:pt>
                <c:pt idx="2">
                  <c:v>0.92241869999999992</c:v>
                </c:pt>
                <c:pt idx="3">
                  <c:v>0.37923664000000001</c:v>
                </c:pt>
                <c:pt idx="4">
                  <c:v>0.43434914999999996</c:v>
                </c:pt>
                <c:pt idx="5">
                  <c:v>0.41450115000000004</c:v>
                </c:pt>
                <c:pt idx="6">
                  <c:v>0.31944061000000001</c:v>
                </c:pt>
                <c:pt idx="7">
                  <c:v>0.29736563999999999</c:v>
                </c:pt>
                <c:pt idx="8">
                  <c:v>0.30784520000000004</c:v>
                </c:pt>
              </c:numCache>
            </c:numRef>
          </c:val>
          <c:extLst>
            <c:ext xmlns:c16="http://schemas.microsoft.com/office/drawing/2014/chart" uri="{C3380CC4-5D6E-409C-BE32-E72D297353CC}">
              <c16:uniqueId val="{00000001-206B-4F36-A672-F0B129469A90}"/>
            </c:ext>
          </c:extLst>
        </c:ser>
        <c:ser>
          <c:idx val="2"/>
          <c:order val="2"/>
          <c:tx>
            <c:strRef>
              <c:f>'WEO_ekon. rast'!$B$27</c:f>
              <c:strCache>
                <c:ptCount val="1"/>
                <c:pt idx="0">
                  <c:v>ЕУ</c:v>
                </c:pt>
              </c:strCache>
            </c:strRef>
          </c:tx>
          <c:spPr>
            <a:solidFill>
              <a:srgbClr val="2183C4"/>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rast'!$G$27:$O$27</c:f>
              <c:numCache>
                <c:formatCode>0.00</c:formatCode>
                <c:ptCount val="9"/>
                <c:pt idx="0">
                  <c:v>0.31308732</c:v>
                </c:pt>
                <c:pt idx="1">
                  <c:v>-0.84860860000000005</c:v>
                </c:pt>
                <c:pt idx="2">
                  <c:v>0.96798806000000004</c:v>
                </c:pt>
                <c:pt idx="3">
                  <c:v>0.55119147000000002</c:v>
                </c:pt>
                <c:pt idx="4">
                  <c:v>8.2772259999999986E-2</c:v>
                </c:pt>
                <c:pt idx="5">
                  <c:v>0.16158093999999998</c:v>
                </c:pt>
                <c:pt idx="6">
                  <c:v>0.22525780000000001</c:v>
                </c:pt>
                <c:pt idx="7">
                  <c:v>0.24451020000000004</c:v>
                </c:pt>
                <c:pt idx="8">
                  <c:v>0.22680233999999999</c:v>
                </c:pt>
              </c:numCache>
            </c:numRef>
          </c:val>
          <c:extLst>
            <c:ext xmlns:c16="http://schemas.microsoft.com/office/drawing/2014/chart" uri="{C3380CC4-5D6E-409C-BE32-E72D297353CC}">
              <c16:uniqueId val="{00000002-206B-4F36-A672-F0B129469A90}"/>
            </c:ext>
          </c:extLst>
        </c:ser>
        <c:ser>
          <c:idx val="3"/>
          <c:order val="3"/>
          <c:tx>
            <c:strRef>
              <c:f>'WEO_ekon. rast'!$B$28</c:f>
              <c:strCache>
                <c:ptCount val="1"/>
                <c:pt idx="0">
                  <c:v>Земље у успону Азијског континента без Кине</c:v>
                </c:pt>
              </c:strCache>
            </c:strRef>
          </c:tx>
          <c:spPr>
            <a:solidFill>
              <a:srgbClr val="51BBE7"/>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rast'!$G$28:$O$28</c:f>
              <c:numCache>
                <c:formatCode>0.00</c:formatCode>
                <c:ptCount val="9"/>
                <c:pt idx="0">
                  <c:v>0.6348972300000002</c:v>
                </c:pt>
                <c:pt idx="1">
                  <c:v>-0.58197517999999993</c:v>
                </c:pt>
                <c:pt idx="2">
                  <c:v>0.94298516999999982</c:v>
                </c:pt>
                <c:pt idx="3">
                  <c:v>0.90561168999999986</c:v>
                </c:pt>
                <c:pt idx="4">
                  <c:v>0.94640188000000003</c:v>
                </c:pt>
                <c:pt idx="5">
                  <c:v>0.91164885000000007</c:v>
                </c:pt>
                <c:pt idx="6">
                  <c:v>0.88811220999999985</c:v>
                </c:pt>
                <c:pt idx="7">
                  <c:v>0.93928935999999974</c:v>
                </c:pt>
                <c:pt idx="8">
                  <c:v>0.96124107999999986</c:v>
                </c:pt>
              </c:numCache>
            </c:numRef>
          </c:val>
          <c:extLst>
            <c:ext xmlns:c16="http://schemas.microsoft.com/office/drawing/2014/chart" uri="{C3380CC4-5D6E-409C-BE32-E72D297353CC}">
              <c16:uniqueId val="{00000003-206B-4F36-A672-F0B129469A90}"/>
            </c:ext>
          </c:extLst>
        </c:ser>
        <c:ser>
          <c:idx val="4"/>
          <c:order val="4"/>
          <c:tx>
            <c:strRef>
              <c:f>'WEO_ekon. rast'!$B$29</c:f>
              <c:strCache>
                <c:ptCount val="1"/>
                <c:pt idx="0">
                  <c:v>Кина</c:v>
                </c:pt>
              </c:strCache>
            </c:strRef>
          </c:tx>
          <c:spPr>
            <a:solidFill>
              <a:srgbClr val="90CAE2"/>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rast'!$G$29:$O$29</c:f>
              <c:numCache>
                <c:formatCode>0.00</c:formatCode>
                <c:ptCount val="9"/>
                <c:pt idx="0">
                  <c:v>1.0415440199999999</c:v>
                </c:pt>
                <c:pt idx="1">
                  <c:v>0.41169845999999999</c:v>
                </c:pt>
                <c:pt idx="2">
                  <c:v>1.5611217300000002</c:v>
                </c:pt>
                <c:pt idx="3">
                  <c:v>0.5424755</c:v>
                </c:pt>
                <c:pt idx="4">
                  <c:v>0.98416499999999996</c:v>
                </c:pt>
                <c:pt idx="5">
                  <c:v>0.91911672</c:v>
                </c:pt>
                <c:pt idx="6">
                  <c:v>0.86487391999999996</c:v>
                </c:pt>
                <c:pt idx="7">
                  <c:v>0.79760349000000008</c:v>
                </c:pt>
                <c:pt idx="8">
                  <c:v>0.69857160000000007</c:v>
                </c:pt>
              </c:numCache>
            </c:numRef>
          </c:val>
          <c:extLst>
            <c:ext xmlns:c16="http://schemas.microsoft.com/office/drawing/2014/chart" uri="{C3380CC4-5D6E-409C-BE32-E72D297353CC}">
              <c16:uniqueId val="{00000004-206B-4F36-A672-F0B129469A90}"/>
            </c:ext>
          </c:extLst>
        </c:ser>
        <c:ser>
          <c:idx val="5"/>
          <c:order val="5"/>
          <c:tx>
            <c:strRef>
              <c:f>'WEO_ekon. rast'!$B$30</c:f>
              <c:strCache>
                <c:ptCount val="1"/>
                <c:pt idx="0">
                  <c:v>Остале земље у успону</c:v>
                </c:pt>
              </c:strCache>
            </c:strRef>
          </c:tx>
          <c:spPr>
            <a:solidFill>
              <a:srgbClr val="C9E4EB"/>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rast'!$G$30:$O$30</c:f>
              <c:numCache>
                <c:formatCode>0.00</c:formatCode>
                <c:ptCount val="9"/>
                <c:pt idx="0">
                  <c:v>0.44413506999999974</c:v>
                </c:pt>
                <c:pt idx="1">
                  <c:v>-0.84691110999999997</c:v>
                </c:pt>
                <c:pt idx="2">
                  <c:v>1.5886519800000007</c:v>
                </c:pt>
                <c:pt idx="3">
                  <c:v>0.89628577999999992</c:v>
                </c:pt>
                <c:pt idx="4">
                  <c:v>0.68894615000000003</c:v>
                </c:pt>
                <c:pt idx="5">
                  <c:v>0.68783299000000042</c:v>
                </c:pt>
                <c:pt idx="6">
                  <c:v>0.77932203000000033</c:v>
                </c:pt>
                <c:pt idx="7">
                  <c:v>0.8305425500000001</c:v>
                </c:pt>
                <c:pt idx="8">
                  <c:v>0.81752559999999974</c:v>
                </c:pt>
              </c:numCache>
            </c:numRef>
          </c:val>
          <c:extLst>
            <c:ext xmlns:c16="http://schemas.microsoft.com/office/drawing/2014/chart" uri="{C3380CC4-5D6E-409C-BE32-E72D297353CC}">
              <c16:uniqueId val="{00000005-206B-4F36-A672-F0B129469A90}"/>
            </c:ext>
          </c:extLst>
        </c:ser>
        <c:dLbls>
          <c:showLegendKey val="0"/>
          <c:showVal val="0"/>
          <c:showCatName val="0"/>
          <c:showSerName val="0"/>
          <c:showPercent val="0"/>
          <c:showBubbleSize val="0"/>
        </c:dLbls>
        <c:gapWidth val="30"/>
        <c:overlap val="100"/>
        <c:axId val="1642271680"/>
        <c:axId val="1642274400"/>
      </c:barChart>
      <c:lineChart>
        <c:grouping val="standard"/>
        <c:varyColors val="0"/>
        <c:ser>
          <c:idx val="6"/>
          <c:order val="6"/>
          <c:tx>
            <c:strRef>
              <c:f>'WEO_ekon. rast'!$B$31</c:f>
              <c:strCache>
                <c:ptCount val="1"/>
                <c:pt idx="0">
                  <c:v>Светски раст</c:v>
                </c:pt>
              </c:strCache>
            </c:strRef>
          </c:tx>
          <c:spPr>
            <a:ln w="25400" cap="rnd">
              <a:solidFill>
                <a:srgbClr val="FF0000"/>
              </a:solidFill>
              <a:round/>
            </a:ln>
            <a:effectLst/>
          </c:spPr>
          <c:marker>
            <c:symbol val="none"/>
          </c:marker>
          <c:dLbls>
            <c:dLbl>
              <c:idx val="1"/>
              <c:layout>
                <c:manualLayout>
                  <c:x val="-6.6898148148148151E-2"/>
                  <c:y val="4.55033416875522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06B-4F36-A672-F0B129469A90}"/>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rast'!$G$31:$O$31</c:f>
              <c:numCache>
                <c:formatCode>0.0</c:formatCode>
                <c:ptCount val="9"/>
                <c:pt idx="0">
                  <c:v>2.9129999999999998</c:v>
                </c:pt>
                <c:pt idx="1">
                  <c:v>-2.6869999999999998</c:v>
                </c:pt>
                <c:pt idx="2">
                  <c:v>6.5730000000000004</c:v>
                </c:pt>
                <c:pt idx="3">
                  <c:v>3.5510000000000002</c:v>
                </c:pt>
                <c:pt idx="4">
                  <c:v>3.3250000000000002</c:v>
                </c:pt>
                <c:pt idx="5">
                  <c:v>3.2320000000000002</c:v>
                </c:pt>
                <c:pt idx="6">
                  <c:v>3.2450000000000001</c:v>
                </c:pt>
                <c:pt idx="7">
                  <c:v>3.2669999999999999</c:v>
                </c:pt>
                <c:pt idx="8">
                  <c:v>3.1509999999999998</c:v>
                </c:pt>
              </c:numCache>
            </c:numRef>
          </c:val>
          <c:smooth val="0"/>
          <c:extLst>
            <c:ext xmlns:c16="http://schemas.microsoft.com/office/drawing/2014/chart" uri="{C3380CC4-5D6E-409C-BE32-E72D297353CC}">
              <c16:uniqueId val="{00000007-206B-4F36-A672-F0B129469A90}"/>
            </c:ext>
          </c:extLst>
        </c:ser>
        <c:ser>
          <c:idx val="7"/>
          <c:order val="7"/>
          <c:tx>
            <c:strRef>
              <c:f>'WEO_ekon. rast'!$B$32</c:f>
              <c:strCache>
                <c:ptCount val="1"/>
              </c:strCache>
            </c:strRef>
          </c:tx>
          <c:spPr>
            <a:ln w="28575" cap="rnd">
              <a:noFill/>
              <a:round/>
            </a:ln>
            <a:effectLst/>
          </c:spPr>
          <c:marker>
            <c:symbol val="none"/>
          </c:marker>
          <c:dLbls>
            <c:dLbl>
              <c:idx val="1"/>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b"/>
              <c:showLegendKey val="0"/>
              <c:showVal val="0"/>
              <c:showCatName val="1"/>
              <c:showSerName val="0"/>
              <c:showPercent val="0"/>
              <c:showBubbleSize val="0"/>
              <c:extLst>
                <c:ext xmlns:c16="http://schemas.microsoft.com/office/drawing/2014/chart" uri="{C3380CC4-5D6E-409C-BE32-E72D297353CC}">
                  <c16:uniqueId val="{00000008-206B-4F36-A672-F0B129469A90}"/>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rast'!$G$32:$O$32</c:f>
              <c:numCache>
                <c:formatCode>General</c:formatCode>
                <c:ptCount val="9"/>
                <c:pt idx="0">
                  <c:v>0</c:v>
                </c:pt>
                <c:pt idx="1">
                  <c:v>0</c:v>
                </c:pt>
                <c:pt idx="2">
                  <c:v>0</c:v>
                </c:pt>
                <c:pt idx="3">
                  <c:v>0</c:v>
                </c:pt>
                <c:pt idx="4">
                  <c:v>0</c:v>
                </c:pt>
                <c:pt idx="5">
                  <c:v>0</c:v>
                </c:pt>
                <c:pt idx="6">
                  <c:v>0</c:v>
                </c:pt>
                <c:pt idx="7">
                  <c:v>0</c:v>
                </c:pt>
                <c:pt idx="8">
                  <c:v>0</c:v>
                </c:pt>
              </c:numCache>
            </c:numRef>
          </c:val>
          <c:smooth val="0"/>
          <c:extLst>
            <c:ext xmlns:c16="http://schemas.microsoft.com/office/drawing/2014/chart" uri="{C3380CC4-5D6E-409C-BE32-E72D297353CC}">
              <c16:uniqueId val="{00000009-206B-4F36-A672-F0B129469A90}"/>
            </c:ext>
          </c:extLst>
        </c:ser>
        <c:dLbls>
          <c:showLegendKey val="0"/>
          <c:showVal val="0"/>
          <c:showCatName val="0"/>
          <c:showSerName val="0"/>
          <c:showPercent val="0"/>
          <c:showBubbleSize val="0"/>
        </c:dLbls>
        <c:marker val="1"/>
        <c:smooth val="0"/>
        <c:axId val="1642271680"/>
        <c:axId val="1642274400"/>
      </c:lineChart>
      <c:catAx>
        <c:axId val="164227168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4400"/>
        <c:crosses val="autoZero"/>
        <c:auto val="1"/>
        <c:lblAlgn val="ctr"/>
        <c:lblOffset val="100"/>
        <c:noMultiLvlLbl val="0"/>
      </c:catAx>
      <c:valAx>
        <c:axId val="1642274400"/>
        <c:scaling>
          <c:orientation val="minMax"/>
          <c:min val="-4.5"/>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1680"/>
        <c:crosses val="autoZero"/>
        <c:crossBetween val="between"/>
        <c:majorUnit val="1.5"/>
      </c:valAx>
      <c:spPr>
        <a:noFill/>
        <a:ln>
          <a:noFill/>
        </a:ln>
        <a:effectLst/>
      </c:spPr>
    </c:plotArea>
    <c:legend>
      <c:legendPos val="b"/>
      <c:legendEntry>
        <c:idx val="7"/>
        <c:delete val="1"/>
      </c:legendEntry>
      <c:layout>
        <c:manualLayout>
          <c:xMode val="edge"/>
          <c:yMode val="edge"/>
          <c:x val="2.7777777777777776E-2"/>
          <c:y val="0.63261203460678528"/>
          <c:w val="0.94944444444444465"/>
          <c:h val="0.3673879653932147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1" i="0" u="none" strike="noStrike" kern="1200" spc="0" baseline="0">
                <a:solidFill>
                  <a:schemeClr val="tx2"/>
                </a:solidFill>
                <a:latin typeface="+mn-lt"/>
                <a:ea typeface="+mn-ea"/>
                <a:cs typeface="Times New Roman" panose="02020603050405020304" pitchFamily="18" charset="0"/>
              </a:defRPr>
            </a:pPr>
            <a:r>
              <a:rPr lang="sr-Cyrl-RS" sz="800" b="1">
                <a:solidFill>
                  <a:schemeClr val="tx2"/>
                </a:solidFill>
                <a:latin typeface="+mn-lt"/>
              </a:rPr>
              <a:t>Раст БДП у Немачкој, %</a:t>
            </a:r>
          </a:p>
        </c:rich>
      </c:tx>
      <c:layout>
        <c:manualLayout>
          <c:xMode val="edge"/>
          <c:yMode val="edge"/>
          <c:x val="0.34036781190010201"/>
          <c:y val="5.7538083633503889E-3"/>
        </c:manualLayout>
      </c:layout>
      <c:overlay val="0"/>
      <c:spPr>
        <a:noFill/>
        <a:ln>
          <a:noFill/>
        </a:ln>
        <a:effectLst/>
      </c:spPr>
      <c:txPr>
        <a:bodyPr rot="0" spcFirstLastPara="1" vertOverflow="ellipsis" vert="horz" wrap="square" anchor="ctr" anchorCtr="1"/>
        <a:lstStyle/>
        <a:p>
          <a:pPr>
            <a:defRPr sz="800" b="1"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2068588237404267"/>
          <c:w val="0.88876071125802292"/>
          <c:h val="0.75546120516256654"/>
        </c:manualLayout>
      </c:layout>
      <c:lineChart>
        <c:grouping val="standard"/>
        <c:varyColors val="0"/>
        <c:ser>
          <c:idx val="0"/>
          <c:order val="0"/>
          <c:tx>
            <c:strRef>
              <c:f>'Nemacka, Italija, realni rast'!$A$13</c:f>
              <c:strCache>
                <c:ptCount val="1"/>
                <c:pt idx="0">
                  <c:v>окт. 2023.</c:v>
                </c:pt>
              </c:strCache>
            </c:strRef>
          </c:tx>
          <c:spPr>
            <a:ln w="25400" cap="rnd">
              <a:solidFill>
                <a:schemeClr val="accent4"/>
              </a:solidFill>
              <a:prstDash val="sysDot"/>
              <a:round/>
            </a:ln>
            <a:effectLst/>
          </c:spPr>
          <c:marker>
            <c:symbol val="none"/>
          </c:marker>
          <c:dLbls>
            <c:dLbl>
              <c:idx val="0"/>
              <c:layout>
                <c:manualLayout>
                  <c:x val="-0.11008517237077182"/>
                  <c:y val="4.51687152886062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B09-4A7A-B0EF-D17901BF85DF}"/>
                </c:ext>
              </c:extLst>
            </c:dLbl>
            <c:dLbl>
              <c:idx val="1"/>
              <c:layout>
                <c:manualLayout>
                  <c:x val="-6.8755832604257883E-2"/>
                  <c:y val="-5.528927335108162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B09-4A7A-B0EF-D17901BF85DF}"/>
                </c:ext>
              </c:extLst>
            </c:dLbl>
            <c:dLbl>
              <c:idx val="2"/>
              <c:layout>
                <c:manualLayout>
                  <c:x val="-5.5170744138634049E-2"/>
                  <c:y val="-5.7012962962963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B09-4A7A-B0EF-D17901BF85DF}"/>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rast'!$D$13:$F$13</c:f>
              <c:numCache>
                <c:formatCode>0.0</c:formatCode>
                <c:ptCount val="3"/>
                <c:pt idx="0">
                  <c:v>-0.53500000000000003</c:v>
                </c:pt>
                <c:pt idx="1">
                  <c:v>0.91500000000000004</c:v>
                </c:pt>
                <c:pt idx="2">
                  <c:v>1.9930000000000001</c:v>
                </c:pt>
              </c:numCache>
            </c:numRef>
          </c:val>
          <c:smooth val="0"/>
          <c:extLst>
            <c:ext xmlns:c16="http://schemas.microsoft.com/office/drawing/2014/chart" uri="{C3380CC4-5D6E-409C-BE32-E72D297353CC}">
              <c16:uniqueId val="{00000003-9B09-4A7A-B0EF-D17901BF85DF}"/>
            </c:ext>
          </c:extLst>
        </c:ser>
        <c:ser>
          <c:idx val="1"/>
          <c:order val="1"/>
          <c:tx>
            <c:strRef>
              <c:f>'Nemacka, Italija, realni rast'!$A$14</c:f>
              <c:strCache>
                <c:ptCount val="1"/>
                <c:pt idx="0">
                  <c:v>апр. 2024.</c:v>
                </c:pt>
              </c:strCache>
            </c:strRef>
          </c:tx>
          <c:spPr>
            <a:ln w="22225" cap="rnd">
              <a:solidFill>
                <a:srgbClr val="002060"/>
              </a:solidFill>
              <a:prstDash val="sysDash"/>
              <a:round/>
            </a:ln>
            <a:effectLst/>
          </c:spPr>
          <c:marker>
            <c:symbol val="none"/>
          </c:marker>
          <c:dLbls>
            <c:dLbl>
              <c:idx val="0"/>
              <c:layout>
                <c:manualLayout>
                  <c:x val="-0.12347962338488355"/>
                  <c:y val="-1.5562268449745868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B09-4A7A-B0EF-D17901BF85DF}"/>
                </c:ext>
              </c:extLst>
            </c:dLbl>
            <c:dLbl>
              <c:idx val="1"/>
              <c:layout>
                <c:manualLayout>
                  <c:x val="-5.4663896179644213E-2"/>
                  <c:y val="-6.573791032385188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B09-4A7A-B0EF-D17901BF85DF}"/>
                </c:ext>
              </c:extLst>
            </c:dLbl>
            <c:dLbl>
              <c:idx val="2"/>
              <c:layout>
                <c:manualLayout>
                  <c:x val="-3.6613259117007829E-2"/>
                  <c:y val="-1.541307028360056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B09-4A7A-B0EF-D17901BF85DF}"/>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rast'!$D$14:$F$14</c:f>
              <c:numCache>
                <c:formatCode>0.0</c:formatCode>
                <c:ptCount val="3"/>
                <c:pt idx="0">
                  <c:v>-0.30499999999999999</c:v>
                </c:pt>
                <c:pt idx="1">
                  <c:v>0.15</c:v>
                </c:pt>
                <c:pt idx="2">
                  <c:v>1.3260000000000001</c:v>
                </c:pt>
              </c:numCache>
            </c:numRef>
          </c:val>
          <c:smooth val="0"/>
          <c:extLst>
            <c:ext xmlns:c16="http://schemas.microsoft.com/office/drawing/2014/chart" uri="{C3380CC4-5D6E-409C-BE32-E72D297353CC}">
              <c16:uniqueId val="{00000007-9B09-4A7A-B0EF-D17901BF85DF}"/>
            </c:ext>
          </c:extLst>
        </c:ser>
        <c:ser>
          <c:idx val="2"/>
          <c:order val="2"/>
          <c:tx>
            <c:strRef>
              <c:f>'Nemacka, Italija, realni rast'!$A$15</c:f>
              <c:strCache>
                <c:ptCount val="1"/>
                <c:pt idx="0">
                  <c:v>окт. 2024.</c:v>
                </c:pt>
              </c:strCache>
            </c:strRef>
          </c:tx>
          <c:spPr>
            <a:ln w="28575" cap="rnd">
              <a:solidFill>
                <a:srgbClr val="FF0000"/>
              </a:solidFill>
              <a:round/>
            </a:ln>
            <a:effectLst/>
          </c:spPr>
          <c:marker>
            <c:symbol val="circle"/>
            <c:size val="13"/>
            <c:spPr>
              <a:solidFill>
                <a:srgbClr val="FF0000"/>
              </a:solidFill>
              <a:ln w="9525">
                <a:noFill/>
              </a:ln>
              <a:effectLst/>
            </c:spPr>
          </c:marker>
          <c:dLbls>
            <c:dLbl>
              <c:idx val="0"/>
              <c:layout>
                <c:manualLayout>
                  <c:x val="-8.6979553873203552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B09-4A7A-B0EF-D17901BF85DF}"/>
                </c:ext>
              </c:extLst>
            </c:dLbl>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rast'!$D$15:$F$15</c:f>
              <c:numCache>
                <c:formatCode>0.0</c:formatCode>
                <c:ptCount val="3"/>
                <c:pt idx="0">
                  <c:v>-0.26400000000000001</c:v>
                </c:pt>
                <c:pt idx="1">
                  <c:v>7.0000000000000001E-3</c:v>
                </c:pt>
                <c:pt idx="2">
                  <c:v>0.78600000000000003</c:v>
                </c:pt>
              </c:numCache>
            </c:numRef>
          </c:val>
          <c:smooth val="0"/>
          <c:extLst>
            <c:ext xmlns:c16="http://schemas.microsoft.com/office/drawing/2014/chart" uri="{C3380CC4-5D6E-409C-BE32-E72D297353CC}">
              <c16:uniqueId val="{00000009-9B09-4A7A-B0EF-D17901BF85DF}"/>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majorUnit val="1"/>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1" i="0" u="none" strike="noStrike" kern="1200" spc="0" baseline="0">
                <a:solidFill>
                  <a:schemeClr val="tx2"/>
                </a:solidFill>
                <a:latin typeface="+mn-lt"/>
                <a:ea typeface="+mn-ea"/>
                <a:cs typeface="Times New Roman" panose="02020603050405020304" pitchFamily="18" charset="0"/>
              </a:defRPr>
            </a:pPr>
            <a:r>
              <a:rPr lang="sr-Cyrl-RS" b="1"/>
              <a:t>Раст БДП у Италији, %</a:t>
            </a:r>
          </a:p>
        </c:rich>
      </c:tx>
      <c:layout>
        <c:manualLayout>
          <c:xMode val="edge"/>
          <c:yMode val="edge"/>
          <c:x val="0.3266378600823045"/>
          <c:y val="2.1166666666666667E-2"/>
        </c:manualLayout>
      </c:layout>
      <c:overlay val="0"/>
      <c:spPr>
        <a:noFill/>
        <a:ln>
          <a:noFill/>
        </a:ln>
        <a:effectLst/>
      </c:spPr>
      <c:txPr>
        <a:bodyPr rot="0" spcFirstLastPara="1" vertOverflow="ellipsis" vert="horz" wrap="square" anchor="ctr" anchorCtr="1"/>
        <a:lstStyle/>
        <a:p>
          <a:pPr>
            <a:defRPr sz="800" b="1"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857688888888889"/>
          <c:w val="0.88876071125802292"/>
          <c:h val="0.69037833333333332"/>
        </c:manualLayout>
      </c:layout>
      <c:lineChart>
        <c:grouping val="standard"/>
        <c:varyColors val="0"/>
        <c:ser>
          <c:idx val="0"/>
          <c:order val="0"/>
          <c:tx>
            <c:strRef>
              <c:f>'Nemacka, Italija, realni rast'!$A$20</c:f>
              <c:strCache>
                <c:ptCount val="1"/>
                <c:pt idx="0">
                  <c:v>окт. 2023.</c:v>
                </c:pt>
              </c:strCache>
            </c:strRef>
          </c:tx>
          <c:spPr>
            <a:ln w="25400" cap="rnd">
              <a:solidFill>
                <a:schemeClr val="accent4"/>
              </a:solidFill>
              <a:prstDash val="sysDot"/>
              <a:round/>
            </a:ln>
            <a:effectLst/>
          </c:spPr>
          <c:marker>
            <c:symbol val="none"/>
          </c:marker>
          <c:dLbls>
            <c:dLbl>
              <c:idx val="0"/>
              <c:layout>
                <c:manualLayout>
                  <c:x val="-0.11052857976086322"/>
                  <c:y val="-7.9888451443569548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0A3-421E-AAB8-AD5AD32A36CE}"/>
                </c:ext>
              </c:extLst>
            </c:dLbl>
            <c:dLbl>
              <c:idx val="1"/>
              <c:layout>
                <c:manualLayout>
                  <c:x val="-5.5665281423155522E-2"/>
                  <c:y val="-6.696522309711291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0A3-421E-AAB8-AD5AD32A36CE}"/>
                </c:ext>
              </c:extLst>
            </c:dLbl>
            <c:dLbl>
              <c:idx val="2"/>
              <c:layout>
                <c:manualLayout>
                  <c:x val="-5.9794306101645552E-2"/>
                  <c:y val="-6.37283714723321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0A3-421E-AAB8-AD5AD32A36CE}"/>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rast'!$D$20:$F$20</c:f>
              <c:numCache>
                <c:formatCode>0.0</c:formatCode>
                <c:ptCount val="3"/>
                <c:pt idx="0">
                  <c:v>0.67300000000000004</c:v>
                </c:pt>
                <c:pt idx="1">
                  <c:v>0.65500000000000003</c:v>
                </c:pt>
                <c:pt idx="2">
                  <c:v>1.044</c:v>
                </c:pt>
              </c:numCache>
            </c:numRef>
          </c:val>
          <c:smooth val="0"/>
          <c:extLst>
            <c:ext xmlns:c16="http://schemas.microsoft.com/office/drawing/2014/chart" uri="{C3380CC4-5D6E-409C-BE32-E72D297353CC}">
              <c16:uniqueId val="{00000003-A0A3-421E-AAB8-AD5AD32A36CE}"/>
            </c:ext>
          </c:extLst>
        </c:ser>
        <c:ser>
          <c:idx val="1"/>
          <c:order val="1"/>
          <c:tx>
            <c:strRef>
              <c:f>'Nemacka, Italija, realni rast'!$A$21</c:f>
              <c:strCache>
                <c:ptCount val="1"/>
                <c:pt idx="0">
                  <c:v>апр. 2024.</c:v>
                </c:pt>
              </c:strCache>
            </c:strRef>
          </c:tx>
          <c:spPr>
            <a:ln w="22225" cap="rnd">
              <a:solidFill>
                <a:srgbClr val="002060"/>
              </a:solidFill>
              <a:prstDash val="sysDash"/>
              <a:round/>
            </a:ln>
            <a:effectLst/>
          </c:spPr>
          <c:marker>
            <c:symbol val="none"/>
          </c:marker>
          <c:dLbls>
            <c:dLbl>
              <c:idx val="0"/>
              <c:layout>
                <c:manualLayout>
                  <c:x val="-0.11040517225723265"/>
                  <c:y val="-1.51738555661450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0A3-421E-AAB8-AD5AD32A36CE}"/>
                </c:ext>
              </c:extLst>
            </c:dLbl>
            <c:dLbl>
              <c:idx val="1"/>
              <c:layout>
                <c:manualLayout>
                  <c:x val="-0.10156022163896179"/>
                  <c:y val="5.864665354330708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0A3-421E-AAB8-AD5AD32A36CE}"/>
                </c:ext>
              </c:extLst>
            </c:dLbl>
            <c:dLbl>
              <c:idx val="2"/>
              <c:layout>
                <c:manualLayout>
                  <c:x val="-5.0376477852641523E-2"/>
                  <c:y val="6.52952931410827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0A3-421E-AAB8-AD5AD32A36CE}"/>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rast'!$D$21:$F$21</c:f>
              <c:numCache>
                <c:formatCode>0.0</c:formatCode>
                <c:ptCount val="3"/>
                <c:pt idx="0">
                  <c:v>0.92100000000000004</c:v>
                </c:pt>
                <c:pt idx="1">
                  <c:v>0.70899999999999996</c:v>
                </c:pt>
                <c:pt idx="2">
                  <c:v>0.71399999999999997</c:v>
                </c:pt>
              </c:numCache>
            </c:numRef>
          </c:val>
          <c:smooth val="0"/>
          <c:extLst>
            <c:ext xmlns:c16="http://schemas.microsoft.com/office/drawing/2014/chart" uri="{C3380CC4-5D6E-409C-BE32-E72D297353CC}">
              <c16:uniqueId val="{00000007-A0A3-421E-AAB8-AD5AD32A36CE}"/>
            </c:ext>
          </c:extLst>
        </c:ser>
        <c:ser>
          <c:idx val="2"/>
          <c:order val="2"/>
          <c:tx>
            <c:strRef>
              <c:f>'Nemacka, Italija, realni rast'!$A$22</c:f>
              <c:strCache>
                <c:ptCount val="1"/>
                <c:pt idx="0">
                  <c:v>окт. 2024.</c:v>
                </c:pt>
              </c:strCache>
            </c:strRef>
          </c:tx>
          <c:spPr>
            <a:ln w="28575" cap="rnd">
              <a:solidFill>
                <a:srgbClr val="FF0000"/>
              </a:solidFill>
              <a:round/>
            </a:ln>
            <a:effectLst/>
          </c:spPr>
          <c:marker>
            <c:symbol val="circle"/>
            <c:size val="13"/>
            <c:spPr>
              <a:solidFill>
                <a:srgbClr val="FF0000"/>
              </a:solidFill>
              <a:ln w="9525">
                <a:noFill/>
              </a:ln>
              <a:effectLst/>
            </c:spPr>
          </c:marker>
          <c:dLbls>
            <c:dLbl>
              <c:idx val="1"/>
              <c:layout>
                <c:manualLayout>
                  <c:x val="-7.828855395369165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0A3-421E-AAB8-AD5AD32A36CE}"/>
                </c:ext>
              </c:extLst>
            </c:dLbl>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rast'!$D$22:$F$22</c:f>
              <c:numCache>
                <c:formatCode>0.0</c:formatCode>
                <c:ptCount val="3"/>
                <c:pt idx="0">
                  <c:v>0.69799999999999995</c:v>
                </c:pt>
                <c:pt idx="1">
                  <c:v>0.67200000000000004</c:v>
                </c:pt>
                <c:pt idx="2">
                  <c:v>0.76200000000000001</c:v>
                </c:pt>
              </c:numCache>
            </c:numRef>
          </c:val>
          <c:smooth val="0"/>
          <c:extLst>
            <c:ext xmlns:c16="http://schemas.microsoft.com/office/drawing/2014/chart" uri="{C3380CC4-5D6E-409C-BE32-E72D297353CC}">
              <c16:uniqueId val="{00000009-A0A3-421E-AAB8-AD5AD32A36CE}"/>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max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minorUnit val="1"/>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652245513160466E-2"/>
          <c:y val="3.6405005688282137E-2"/>
          <c:w val="0.87031860600758237"/>
          <c:h val="0.72146846846846846"/>
        </c:manualLayout>
      </c:layout>
      <c:lineChart>
        <c:grouping val="standard"/>
        <c:varyColors val="0"/>
        <c:ser>
          <c:idx val="0"/>
          <c:order val="0"/>
          <c:tx>
            <c:strRef>
              <c:f>Commodities!$P$6</c:f>
              <c:strCache>
                <c:ptCount val="1"/>
                <c:pt idx="0">
                  <c:v>Сви производи</c:v>
                </c:pt>
              </c:strCache>
            </c:strRef>
          </c:tx>
          <c:spPr>
            <a:ln w="22225" cap="rnd">
              <a:solidFill>
                <a:srgbClr val="003891"/>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Commodities!$P$20:$P$135</c:f>
              <c:numCache>
                <c:formatCode>0.0</c:formatCode>
                <c:ptCount val="116"/>
                <c:pt idx="0">
                  <c:v>117.102</c:v>
                </c:pt>
                <c:pt idx="1">
                  <c:v>119.893</c:v>
                </c:pt>
                <c:pt idx="2">
                  <c:v>115.167</c:v>
                </c:pt>
                <c:pt idx="3">
                  <c:v>116.28500000000001</c:v>
                </c:pt>
                <c:pt idx="4">
                  <c:v>119.26900000000001</c:v>
                </c:pt>
                <c:pt idx="5">
                  <c:v>116.461</c:v>
                </c:pt>
                <c:pt idx="6">
                  <c:v>109.99900000000001</c:v>
                </c:pt>
                <c:pt idx="7">
                  <c:v>103.129</c:v>
                </c:pt>
                <c:pt idx="8">
                  <c:v>102.813</c:v>
                </c:pt>
                <c:pt idx="9">
                  <c:v>103.01900000000001</c:v>
                </c:pt>
                <c:pt idx="10">
                  <c:v>97.135000000000005</c:v>
                </c:pt>
                <c:pt idx="11">
                  <c:v>91.948999999999998</c:v>
                </c:pt>
                <c:pt idx="12">
                  <c:v>86.426000000000002</c:v>
                </c:pt>
                <c:pt idx="13">
                  <c:v>88.119</c:v>
                </c:pt>
                <c:pt idx="14">
                  <c:v>94.378</c:v>
                </c:pt>
                <c:pt idx="15">
                  <c:v>97.275000000000006</c:v>
                </c:pt>
                <c:pt idx="16">
                  <c:v>100.786</c:v>
                </c:pt>
                <c:pt idx="17">
                  <c:v>103.129</c:v>
                </c:pt>
                <c:pt idx="18">
                  <c:v>102.577</c:v>
                </c:pt>
                <c:pt idx="19">
                  <c:v>102.843</c:v>
                </c:pt>
                <c:pt idx="20">
                  <c:v>102.62</c:v>
                </c:pt>
                <c:pt idx="21">
                  <c:v>106.009</c:v>
                </c:pt>
                <c:pt idx="22">
                  <c:v>104.986</c:v>
                </c:pt>
                <c:pt idx="23">
                  <c:v>110.857</c:v>
                </c:pt>
                <c:pt idx="24">
                  <c:v>114.40900000000001</c:v>
                </c:pt>
                <c:pt idx="25">
                  <c:v>114.66800000000001</c:v>
                </c:pt>
                <c:pt idx="26">
                  <c:v>109.16800000000001</c:v>
                </c:pt>
                <c:pt idx="27">
                  <c:v>109.111</c:v>
                </c:pt>
                <c:pt idx="28">
                  <c:v>106.87400000000001</c:v>
                </c:pt>
                <c:pt idx="29">
                  <c:v>103.589</c:v>
                </c:pt>
                <c:pt idx="30">
                  <c:v>106.16500000000001</c:v>
                </c:pt>
                <c:pt idx="31">
                  <c:v>108.602</c:v>
                </c:pt>
                <c:pt idx="32">
                  <c:v>110.99600000000001</c:v>
                </c:pt>
                <c:pt idx="33">
                  <c:v>112.497</c:v>
                </c:pt>
                <c:pt idx="34">
                  <c:v>117.30000000000001</c:v>
                </c:pt>
                <c:pt idx="35">
                  <c:v>118.82300000000001</c:v>
                </c:pt>
                <c:pt idx="36">
                  <c:v>124.446</c:v>
                </c:pt>
                <c:pt idx="37">
                  <c:v>121.84700000000001</c:v>
                </c:pt>
                <c:pt idx="38">
                  <c:v>121.348</c:v>
                </c:pt>
                <c:pt idx="39">
                  <c:v>122.753</c:v>
                </c:pt>
                <c:pt idx="40">
                  <c:v>126.78</c:v>
                </c:pt>
                <c:pt idx="41">
                  <c:v>125.44500000000001</c:v>
                </c:pt>
                <c:pt idx="42">
                  <c:v>123.71600000000001</c:v>
                </c:pt>
                <c:pt idx="43">
                  <c:v>121.41900000000001</c:v>
                </c:pt>
                <c:pt idx="44">
                  <c:v>125.292</c:v>
                </c:pt>
                <c:pt idx="45">
                  <c:v>126.11200000000001</c:v>
                </c:pt>
                <c:pt idx="46">
                  <c:v>115.711</c:v>
                </c:pt>
                <c:pt idx="47">
                  <c:v>110.77300000000001</c:v>
                </c:pt>
                <c:pt idx="48">
                  <c:v>111.629</c:v>
                </c:pt>
                <c:pt idx="49">
                  <c:v>112.798</c:v>
                </c:pt>
                <c:pt idx="50">
                  <c:v>112.751</c:v>
                </c:pt>
                <c:pt idx="51">
                  <c:v>115.367</c:v>
                </c:pt>
                <c:pt idx="52">
                  <c:v>112.17700000000001</c:v>
                </c:pt>
                <c:pt idx="53">
                  <c:v>107.68100000000001</c:v>
                </c:pt>
                <c:pt idx="54">
                  <c:v>109.849</c:v>
                </c:pt>
                <c:pt idx="55">
                  <c:v>104.861</c:v>
                </c:pt>
                <c:pt idx="56">
                  <c:v>106.679</c:v>
                </c:pt>
                <c:pt idx="57">
                  <c:v>105.111</c:v>
                </c:pt>
                <c:pt idx="58">
                  <c:v>108.69200000000001</c:v>
                </c:pt>
                <c:pt idx="59">
                  <c:v>111.474</c:v>
                </c:pt>
                <c:pt idx="60">
                  <c:v>110.59</c:v>
                </c:pt>
                <c:pt idx="61">
                  <c:v>102.236</c:v>
                </c:pt>
                <c:pt idx="62">
                  <c:v>86.675000000000011</c:v>
                </c:pt>
                <c:pt idx="63">
                  <c:v>79.652000000000001</c:v>
                </c:pt>
                <c:pt idx="64">
                  <c:v>85.896000000000001</c:v>
                </c:pt>
                <c:pt idx="65">
                  <c:v>93.042000000000002</c:v>
                </c:pt>
                <c:pt idx="66">
                  <c:v>95.350000000000009</c:v>
                </c:pt>
                <c:pt idx="67">
                  <c:v>100.40100000000001</c:v>
                </c:pt>
                <c:pt idx="68">
                  <c:v>99.937000000000012</c:v>
                </c:pt>
                <c:pt idx="69">
                  <c:v>102.587</c:v>
                </c:pt>
                <c:pt idx="70">
                  <c:v>106.32600000000001</c:v>
                </c:pt>
                <c:pt idx="71">
                  <c:v>115.464</c:v>
                </c:pt>
                <c:pt idx="72">
                  <c:v>125.72</c:v>
                </c:pt>
                <c:pt idx="73">
                  <c:v>125.967</c:v>
                </c:pt>
                <c:pt idx="74">
                  <c:v>127.824</c:v>
                </c:pt>
                <c:pt idx="75">
                  <c:v>130.59300000000002</c:v>
                </c:pt>
                <c:pt idx="76">
                  <c:v>138.43200000000002</c:v>
                </c:pt>
                <c:pt idx="77">
                  <c:v>142.078</c:v>
                </c:pt>
                <c:pt idx="78">
                  <c:v>144.97300000000001</c:v>
                </c:pt>
                <c:pt idx="79">
                  <c:v>143.227</c:v>
                </c:pt>
                <c:pt idx="80">
                  <c:v>150.18600000000001</c:v>
                </c:pt>
                <c:pt idx="81">
                  <c:v>166.25</c:v>
                </c:pt>
                <c:pt idx="82">
                  <c:v>158.16900000000001</c:v>
                </c:pt>
                <c:pt idx="83">
                  <c:v>160.78800000000001</c:v>
                </c:pt>
                <c:pt idx="84">
                  <c:v>164.19400000000002</c:v>
                </c:pt>
                <c:pt idx="85">
                  <c:v>172.23400000000001</c:v>
                </c:pt>
                <c:pt idx="86">
                  <c:v>200.328</c:v>
                </c:pt>
                <c:pt idx="87">
                  <c:v>189.58500000000001</c:v>
                </c:pt>
                <c:pt idx="88">
                  <c:v>185.934</c:v>
                </c:pt>
                <c:pt idx="89">
                  <c:v>187.68200000000002</c:v>
                </c:pt>
                <c:pt idx="90">
                  <c:v>185.95600000000002</c:v>
                </c:pt>
                <c:pt idx="91">
                  <c:v>196.13400000000001</c:v>
                </c:pt>
                <c:pt idx="92">
                  <c:v>177.99600000000001</c:v>
                </c:pt>
                <c:pt idx="93">
                  <c:v>154.19</c:v>
                </c:pt>
                <c:pt idx="94">
                  <c:v>154.92400000000001</c:v>
                </c:pt>
                <c:pt idx="95">
                  <c:v>157.23400000000001</c:v>
                </c:pt>
                <c:pt idx="96">
                  <c:v>146.58700000000002</c:v>
                </c:pt>
                <c:pt idx="97">
                  <c:v>139.328</c:v>
                </c:pt>
                <c:pt idx="98">
                  <c:v>133.887</c:v>
                </c:pt>
                <c:pt idx="99">
                  <c:v>135.16400000000002</c:v>
                </c:pt>
                <c:pt idx="100">
                  <c:v>124.063</c:v>
                </c:pt>
                <c:pt idx="101">
                  <c:v>121.251</c:v>
                </c:pt>
                <c:pt idx="102">
                  <c:v>124.03700000000001</c:v>
                </c:pt>
                <c:pt idx="103">
                  <c:v>126.12700000000001</c:v>
                </c:pt>
                <c:pt idx="104">
                  <c:v>131.53700000000001</c:v>
                </c:pt>
                <c:pt idx="105">
                  <c:v>131.04300000000001</c:v>
                </c:pt>
                <c:pt idx="106">
                  <c:v>129.14099999999999</c:v>
                </c:pt>
                <c:pt idx="107">
                  <c:v>124.88500000000001</c:v>
                </c:pt>
                <c:pt idx="108">
                  <c:v>124.03500000000001</c:v>
                </c:pt>
                <c:pt idx="109">
                  <c:v>122.745</c:v>
                </c:pt>
                <c:pt idx="110">
                  <c:v>125.372</c:v>
                </c:pt>
                <c:pt idx="111">
                  <c:v>130.49200000000002</c:v>
                </c:pt>
                <c:pt idx="112">
                  <c:v>128.97200000000001</c:v>
                </c:pt>
                <c:pt idx="113">
                  <c:v>127.42800000000001</c:v>
                </c:pt>
                <c:pt idx="114">
                  <c:v>127.066</c:v>
                </c:pt>
                <c:pt idx="115">
                  <c:v>124.161</c:v>
                </c:pt>
              </c:numCache>
            </c:numRef>
          </c:val>
          <c:smooth val="0"/>
          <c:extLst>
            <c:ext xmlns:c16="http://schemas.microsoft.com/office/drawing/2014/chart" uri="{C3380CC4-5D6E-409C-BE32-E72D297353CC}">
              <c16:uniqueId val="{00000000-17A8-4934-BE27-2F3EC374752D}"/>
            </c:ext>
          </c:extLst>
        </c:ser>
        <c:ser>
          <c:idx val="1"/>
          <c:order val="1"/>
          <c:tx>
            <c:strRef>
              <c:f>Commodities!$Q$6</c:f>
              <c:strCache>
                <c:ptCount val="1"/>
                <c:pt idx="0">
                  <c:v>Основни метали</c:v>
                </c:pt>
              </c:strCache>
            </c:strRef>
          </c:tx>
          <c:spPr>
            <a:ln w="22225" cap="rnd">
              <a:solidFill>
                <a:srgbClr val="EC008C"/>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Commodities!$Q$20:$Q$135</c:f>
              <c:numCache>
                <c:formatCode>0.0</c:formatCode>
                <c:ptCount val="116"/>
                <c:pt idx="0">
                  <c:v>123.56</c:v>
                </c:pt>
                <c:pt idx="1">
                  <c:v>118.465</c:v>
                </c:pt>
                <c:pt idx="2">
                  <c:v>115.14200000000001</c:v>
                </c:pt>
                <c:pt idx="3">
                  <c:v>112.71900000000001</c:v>
                </c:pt>
                <c:pt idx="4">
                  <c:v>118.14800000000001</c:v>
                </c:pt>
                <c:pt idx="5">
                  <c:v>112.65300000000001</c:v>
                </c:pt>
                <c:pt idx="6">
                  <c:v>102.738</c:v>
                </c:pt>
                <c:pt idx="7">
                  <c:v>101.44800000000001</c:v>
                </c:pt>
                <c:pt idx="8">
                  <c:v>101.697</c:v>
                </c:pt>
                <c:pt idx="9">
                  <c:v>99.009</c:v>
                </c:pt>
                <c:pt idx="10">
                  <c:v>91.26700000000001</c:v>
                </c:pt>
                <c:pt idx="11">
                  <c:v>87.316000000000003</c:v>
                </c:pt>
                <c:pt idx="12">
                  <c:v>86.407000000000011</c:v>
                </c:pt>
                <c:pt idx="13">
                  <c:v>90.45</c:v>
                </c:pt>
                <c:pt idx="14">
                  <c:v>97.722999999999999</c:v>
                </c:pt>
                <c:pt idx="15">
                  <c:v>99.416000000000011</c:v>
                </c:pt>
                <c:pt idx="16">
                  <c:v>95.78</c:v>
                </c:pt>
                <c:pt idx="17">
                  <c:v>94.654000000000011</c:v>
                </c:pt>
                <c:pt idx="18">
                  <c:v>100.223</c:v>
                </c:pt>
                <c:pt idx="19">
                  <c:v>101.92500000000001</c:v>
                </c:pt>
                <c:pt idx="20">
                  <c:v>99.459000000000003</c:v>
                </c:pt>
                <c:pt idx="21">
                  <c:v>100.45100000000001</c:v>
                </c:pt>
                <c:pt idx="22">
                  <c:v>114.64100000000001</c:v>
                </c:pt>
                <c:pt idx="23">
                  <c:v>118.876</c:v>
                </c:pt>
                <c:pt idx="24">
                  <c:v>120.00200000000001</c:v>
                </c:pt>
                <c:pt idx="25">
                  <c:v>126.875</c:v>
                </c:pt>
                <c:pt idx="26">
                  <c:v>125.286</c:v>
                </c:pt>
                <c:pt idx="27">
                  <c:v>114.78</c:v>
                </c:pt>
                <c:pt idx="28">
                  <c:v>109.554</c:v>
                </c:pt>
                <c:pt idx="29">
                  <c:v>107.685</c:v>
                </c:pt>
                <c:pt idx="30">
                  <c:v>114.946</c:v>
                </c:pt>
                <c:pt idx="31">
                  <c:v>124.215</c:v>
                </c:pt>
                <c:pt idx="32">
                  <c:v>122.673</c:v>
                </c:pt>
                <c:pt idx="33">
                  <c:v>120.93100000000001</c:v>
                </c:pt>
                <c:pt idx="34">
                  <c:v>122.426</c:v>
                </c:pt>
                <c:pt idx="35">
                  <c:v>126.83800000000001</c:v>
                </c:pt>
                <c:pt idx="36">
                  <c:v>132.334</c:v>
                </c:pt>
                <c:pt idx="37">
                  <c:v>132.708</c:v>
                </c:pt>
                <c:pt idx="38">
                  <c:v>127.45100000000001</c:v>
                </c:pt>
                <c:pt idx="39">
                  <c:v>128.31200000000001</c:v>
                </c:pt>
                <c:pt idx="40">
                  <c:v>128.21700000000001</c:v>
                </c:pt>
                <c:pt idx="41">
                  <c:v>128.93299999999999</c:v>
                </c:pt>
                <c:pt idx="42">
                  <c:v>120.91500000000001</c:v>
                </c:pt>
                <c:pt idx="43">
                  <c:v>119.126</c:v>
                </c:pt>
                <c:pt idx="44">
                  <c:v>118.44</c:v>
                </c:pt>
                <c:pt idx="45">
                  <c:v>121.232</c:v>
                </c:pt>
                <c:pt idx="46">
                  <c:v>119.92800000000001</c:v>
                </c:pt>
                <c:pt idx="47">
                  <c:v>117.63800000000001</c:v>
                </c:pt>
                <c:pt idx="48">
                  <c:v>119.158</c:v>
                </c:pt>
                <c:pt idx="49">
                  <c:v>127.884</c:v>
                </c:pt>
                <c:pt idx="50">
                  <c:v>128.72400000000002</c:v>
                </c:pt>
                <c:pt idx="51">
                  <c:v>131.40700000000001</c:v>
                </c:pt>
                <c:pt idx="52">
                  <c:v>130.309</c:v>
                </c:pt>
                <c:pt idx="53">
                  <c:v>132.56700000000001</c:v>
                </c:pt>
                <c:pt idx="54">
                  <c:v>138.31700000000001</c:v>
                </c:pt>
                <c:pt idx="55">
                  <c:v>124.70700000000001</c:v>
                </c:pt>
                <c:pt idx="56">
                  <c:v>126.024</c:v>
                </c:pt>
                <c:pt idx="57">
                  <c:v>123.658</c:v>
                </c:pt>
                <c:pt idx="58">
                  <c:v>119.768</c:v>
                </c:pt>
                <c:pt idx="59">
                  <c:v>122.48400000000001</c:v>
                </c:pt>
                <c:pt idx="60">
                  <c:v>123.80800000000001</c:v>
                </c:pt>
                <c:pt idx="61">
                  <c:v>116.72500000000001</c:v>
                </c:pt>
                <c:pt idx="62">
                  <c:v>113.04100000000001</c:v>
                </c:pt>
                <c:pt idx="63">
                  <c:v>108.67800000000001</c:v>
                </c:pt>
                <c:pt idx="64">
                  <c:v>113.512</c:v>
                </c:pt>
                <c:pt idx="65">
                  <c:v>123.206</c:v>
                </c:pt>
                <c:pt idx="66">
                  <c:v>129.70500000000001</c:v>
                </c:pt>
                <c:pt idx="67">
                  <c:v>137.709</c:v>
                </c:pt>
                <c:pt idx="68">
                  <c:v>140.233</c:v>
                </c:pt>
                <c:pt idx="69">
                  <c:v>139.232</c:v>
                </c:pt>
                <c:pt idx="70">
                  <c:v>145.92699999999999</c:v>
                </c:pt>
                <c:pt idx="71">
                  <c:v>165.99200000000002</c:v>
                </c:pt>
                <c:pt idx="72">
                  <c:v>173.97900000000001</c:v>
                </c:pt>
                <c:pt idx="73">
                  <c:v>175.875</c:v>
                </c:pt>
                <c:pt idx="74">
                  <c:v>180.03399999999999</c:v>
                </c:pt>
                <c:pt idx="75">
                  <c:v>187.12200000000001</c:v>
                </c:pt>
                <c:pt idx="76">
                  <c:v>204.316</c:v>
                </c:pt>
                <c:pt idx="77">
                  <c:v>209.785</c:v>
                </c:pt>
                <c:pt idx="78">
                  <c:v>210.00700000000001</c:v>
                </c:pt>
                <c:pt idx="79">
                  <c:v>186.27500000000001</c:v>
                </c:pt>
                <c:pt idx="80">
                  <c:v>167.56</c:v>
                </c:pt>
                <c:pt idx="81">
                  <c:v>170.559</c:v>
                </c:pt>
                <c:pt idx="82">
                  <c:v>155.542</c:v>
                </c:pt>
                <c:pt idx="83">
                  <c:v>164.131</c:v>
                </c:pt>
                <c:pt idx="84">
                  <c:v>178.398</c:v>
                </c:pt>
                <c:pt idx="85">
                  <c:v>183.34300000000002</c:v>
                </c:pt>
                <c:pt idx="86">
                  <c:v>194.94400000000002</c:v>
                </c:pt>
                <c:pt idx="87">
                  <c:v>192.20699999999999</c:v>
                </c:pt>
                <c:pt idx="88">
                  <c:v>170.93100000000001</c:v>
                </c:pt>
                <c:pt idx="89">
                  <c:v>162.27500000000001</c:v>
                </c:pt>
                <c:pt idx="90">
                  <c:v>139.76900000000001</c:v>
                </c:pt>
                <c:pt idx="91">
                  <c:v>141.65899999999999</c:v>
                </c:pt>
                <c:pt idx="92">
                  <c:v>134.17699999999999</c:v>
                </c:pt>
                <c:pt idx="93">
                  <c:v>130.21</c:v>
                </c:pt>
                <c:pt idx="94">
                  <c:v>136.304</c:v>
                </c:pt>
                <c:pt idx="95">
                  <c:v>149.1</c:v>
                </c:pt>
                <c:pt idx="96">
                  <c:v>159.56700000000001</c:v>
                </c:pt>
                <c:pt idx="97">
                  <c:v>166.88900000000001</c:v>
                </c:pt>
                <c:pt idx="98">
                  <c:v>161.94499999999999</c:v>
                </c:pt>
                <c:pt idx="99">
                  <c:v>154.75800000000001</c:v>
                </c:pt>
                <c:pt idx="100">
                  <c:v>140.67500000000001</c:v>
                </c:pt>
                <c:pt idx="101">
                  <c:v>140.845</c:v>
                </c:pt>
                <c:pt idx="102">
                  <c:v>141.28900000000002</c:v>
                </c:pt>
                <c:pt idx="103">
                  <c:v>137.80700000000002</c:v>
                </c:pt>
                <c:pt idx="104">
                  <c:v>142.54599999999999</c:v>
                </c:pt>
                <c:pt idx="105">
                  <c:v>140.61500000000001</c:v>
                </c:pt>
                <c:pt idx="106">
                  <c:v>147.26300000000001</c:v>
                </c:pt>
                <c:pt idx="107">
                  <c:v>149.536</c:v>
                </c:pt>
                <c:pt idx="108">
                  <c:v>147.78900000000002</c:v>
                </c:pt>
                <c:pt idx="109">
                  <c:v>142.80600000000001</c:v>
                </c:pt>
                <c:pt idx="110">
                  <c:v>137.827</c:v>
                </c:pt>
                <c:pt idx="111">
                  <c:v>144.84700000000001</c:v>
                </c:pt>
                <c:pt idx="112">
                  <c:v>152.583</c:v>
                </c:pt>
                <c:pt idx="113">
                  <c:v>143.536</c:v>
                </c:pt>
                <c:pt idx="114">
                  <c:v>140.02600000000001</c:v>
                </c:pt>
                <c:pt idx="115">
                  <c:v>134.995</c:v>
                </c:pt>
              </c:numCache>
            </c:numRef>
          </c:val>
          <c:smooth val="0"/>
          <c:extLst>
            <c:ext xmlns:c16="http://schemas.microsoft.com/office/drawing/2014/chart" uri="{C3380CC4-5D6E-409C-BE32-E72D297353CC}">
              <c16:uniqueId val="{00000001-17A8-4934-BE27-2F3EC374752D}"/>
            </c:ext>
          </c:extLst>
        </c:ser>
        <c:ser>
          <c:idx val="2"/>
          <c:order val="2"/>
          <c:tx>
            <c:strRef>
              <c:f>Commodities!$R$6</c:f>
              <c:strCache>
                <c:ptCount val="1"/>
                <c:pt idx="0">
                  <c:v>Храна</c:v>
                </c:pt>
              </c:strCache>
            </c:strRef>
          </c:tx>
          <c:spPr>
            <a:ln w="22225" cap="rnd">
              <a:solidFill>
                <a:srgbClr val="7F3F98"/>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Commodities!$R$20:$R$135</c:f>
              <c:numCache>
                <c:formatCode>0.0</c:formatCode>
                <c:ptCount val="116"/>
                <c:pt idx="0">
                  <c:v>107.375</c:v>
                </c:pt>
                <c:pt idx="1">
                  <c:v>103.836</c:v>
                </c:pt>
                <c:pt idx="2">
                  <c:v>100.602</c:v>
                </c:pt>
                <c:pt idx="3">
                  <c:v>102.355</c:v>
                </c:pt>
                <c:pt idx="4">
                  <c:v>101.718</c:v>
                </c:pt>
                <c:pt idx="5">
                  <c:v>100.896</c:v>
                </c:pt>
                <c:pt idx="6">
                  <c:v>100.742</c:v>
                </c:pt>
                <c:pt idx="7">
                  <c:v>97.793000000000006</c:v>
                </c:pt>
                <c:pt idx="8">
                  <c:v>97.14200000000001</c:v>
                </c:pt>
                <c:pt idx="9">
                  <c:v>97.725000000000009</c:v>
                </c:pt>
                <c:pt idx="10">
                  <c:v>93.832999999999998</c:v>
                </c:pt>
                <c:pt idx="11">
                  <c:v>93.73</c:v>
                </c:pt>
                <c:pt idx="12">
                  <c:v>93.541000000000011</c:v>
                </c:pt>
                <c:pt idx="13">
                  <c:v>94.79</c:v>
                </c:pt>
                <c:pt idx="14">
                  <c:v>97.865000000000009</c:v>
                </c:pt>
                <c:pt idx="15">
                  <c:v>100.399</c:v>
                </c:pt>
                <c:pt idx="16">
                  <c:v>101.366</c:v>
                </c:pt>
                <c:pt idx="17">
                  <c:v>103.16300000000001</c:v>
                </c:pt>
                <c:pt idx="18">
                  <c:v>103.634</c:v>
                </c:pt>
                <c:pt idx="19">
                  <c:v>101.786</c:v>
                </c:pt>
                <c:pt idx="20">
                  <c:v>101.126</c:v>
                </c:pt>
                <c:pt idx="21">
                  <c:v>99.945000000000007</c:v>
                </c:pt>
                <c:pt idx="22">
                  <c:v>100.65</c:v>
                </c:pt>
                <c:pt idx="23">
                  <c:v>101.741</c:v>
                </c:pt>
                <c:pt idx="24">
                  <c:v>105.313</c:v>
                </c:pt>
                <c:pt idx="25">
                  <c:v>105.462</c:v>
                </c:pt>
                <c:pt idx="26">
                  <c:v>101.84400000000001</c:v>
                </c:pt>
                <c:pt idx="27">
                  <c:v>100.92400000000001</c:v>
                </c:pt>
                <c:pt idx="28">
                  <c:v>103.205</c:v>
                </c:pt>
                <c:pt idx="29">
                  <c:v>102.42500000000001</c:v>
                </c:pt>
                <c:pt idx="30">
                  <c:v>104.79700000000001</c:v>
                </c:pt>
                <c:pt idx="31">
                  <c:v>99.807000000000002</c:v>
                </c:pt>
                <c:pt idx="32">
                  <c:v>98.084000000000003</c:v>
                </c:pt>
                <c:pt idx="33">
                  <c:v>98.927000000000007</c:v>
                </c:pt>
                <c:pt idx="34">
                  <c:v>99.546000000000006</c:v>
                </c:pt>
                <c:pt idx="35">
                  <c:v>99.596000000000004</c:v>
                </c:pt>
                <c:pt idx="36">
                  <c:v>102.48100000000001</c:v>
                </c:pt>
                <c:pt idx="37">
                  <c:v>102.09100000000001</c:v>
                </c:pt>
                <c:pt idx="38">
                  <c:v>102.834</c:v>
                </c:pt>
                <c:pt idx="39">
                  <c:v>102.248</c:v>
                </c:pt>
                <c:pt idx="40">
                  <c:v>103.393</c:v>
                </c:pt>
                <c:pt idx="41">
                  <c:v>99.149000000000001</c:v>
                </c:pt>
                <c:pt idx="42">
                  <c:v>96.52300000000001</c:v>
                </c:pt>
                <c:pt idx="43">
                  <c:v>92.691000000000003</c:v>
                </c:pt>
                <c:pt idx="44">
                  <c:v>93.787000000000006</c:v>
                </c:pt>
                <c:pt idx="45">
                  <c:v>95.325000000000003</c:v>
                </c:pt>
                <c:pt idx="46">
                  <c:v>91.296000000000006</c:v>
                </c:pt>
                <c:pt idx="47">
                  <c:v>94.297000000000011</c:v>
                </c:pt>
                <c:pt idx="48">
                  <c:v>95.812000000000012</c:v>
                </c:pt>
                <c:pt idx="49">
                  <c:v>93.800000000000011</c:v>
                </c:pt>
                <c:pt idx="50">
                  <c:v>92.603999999999999</c:v>
                </c:pt>
                <c:pt idx="51">
                  <c:v>95.410000000000011</c:v>
                </c:pt>
                <c:pt idx="52">
                  <c:v>91.95</c:v>
                </c:pt>
                <c:pt idx="53">
                  <c:v>93.917000000000002</c:v>
                </c:pt>
                <c:pt idx="54">
                  <c:v>93.816000000000003</c:v>
                </c:pt>
                <c:pt idx="55">
                  <c:v>91.938000000000002</c:v>
                </c:pt>
                <c:pt idx="56">
                  <c:v>89.797000000000011</c:v>
                </c:pt>
                <c:pt idx="57">
                  <c:v>89.905000000000001</c:v>
                </c:pt>
                <c:pt idx="58">
                  <c:v>93.588999999999999</c:v>
                </c:pt>
                <c:pt idx="59">
                  <c:v>97.169000000000011</c:v>
                </c:pt>
                <c:pt idx="60">
                  <c:v>98.081000000000003</c:v>
                </c:pt>
                <c:pt idx="61">
                  <c:v>93.831000000000003</c:v>
                </c:pt>
                <c:pt idx="62">
                  <c:v>90.397000000000006</c:v>
                </c:pt>
                <c:pt idx="63">
                  <c:v>87.012</c:v>
                </c:pt>
                <c:pt idx="64">
                  <c:v>90.365000000000009</c:v>
                </c:pt>
                <c:pt idx="65">
                  <c:v>92.935000000000002</c:v>
                </c:pt>
                <c:pt idx="66">
                  <c:v>90.457000000000008</c:v>
                </c:pt>
                <c:pt idx="67">
                  <c:v>91.085000000000008</c:v>
                </c:pt>
                <c:pt idx="68">
                  <c:v>92.209000000000003</c:v>
                </c:pt>
                <c:pt idx="69">
                  <c:v>97.043000000000006</c:v>
                </c:pt>
                <c:pt idx="70">
                  <c:v>100.33</c:v>
                </c:pt>
                <c:pt idx="71">
                  <c:v>101.292</c:v>
                </c:pt>
                <c:pt idx="72">
                  <c:v>107.30300000000001</c:v>
                </c:pt>
                <c:pt idx="73">
                  <c:v>109.30000000000001</c:v>
                </c:pt>
                <c:pt idx="74">
                  <c:v>110.99300000000001</c:v>
                </c:pt>
                <c:pt idx="75">
                  <c:v>116.929</c:v>
                </c:pt>
                <c:pt idx="76">
                  <c:v>121.59700000000001</c:v>
                </c:pt>
                <c:pt idx="77">
                  <c:v>113.89500000000001</c:v>
                </c:pt>
                <c:pt idx="78">
                  <c:v>113.824</c:v>
                </c:pt>
                <c:pt idx="79">
                  <c:v>115.735</c:v>
                </c:pt>
                <c:pt idx="80">
                  <c:v>111.99900000000001</c:v>
                </c:pt>
                <c:pt idx="81">
                  <c:v>112.38600000000001</c:v>
                </c:pt>
                <c:pt idx="82">
                  <c:v>113.637</c:v>
                </c:pt>
                <c:pt idx="83">
                  <c:v>116.536</c:v>
                </c:pt>
                <c:pt idx="84">
                  <c:v>121.113</c:v>
                </c:pt>
                <c:pt idx="85">
                  <c:v>125.834</c:v>
                </c:pt>
                <c:pt idx="86">
                  <c:v>134.38200000000001</c:v>
                </c:pt>
                <c:pt idx="87">
                  <c:v>137.62300000000002</c:v>
                </c:pt>
                <c:pt idx="88">
                  <c:v>133.47499999999999</c:v>
                </c:pt>
                <c:pt idx="89">
                  <c:v>126.473</c:v>
                </c:pt>
                <c:pt idx="90">
                  <c:v>116.854</c:v>
                </c:pt>
                <c:pt idx="91">
                  <c:v>113.66800000000001</c:v>
                </c:pt>
                <c:pt idx="92">
                  <c:v>109.56400000000001</c:v>
                </c:pt>
                <c:pt idx="93">
                  <c:v>111.38900000000001</c:v>
                </c:pt>
                <c:pt idx="94">
                  <c:v>111.497</c:v>
                </c:pt>
                <c:pt idx="95">
                  <c:v>110.34</c:v>
                </c:pt>
                <c:pt idx="96">
                  <c:v>111.02800000000001</c:v>
                </c:pt>
                <c:pt idx="97">
                  <c:v>113.81</c:v>
                </c:pt>
                <c:pt idx="98">
                  <c:v>116.27800000000001</c:v>
                </c:pt>
                <c:pt idx="99">
                  <c:v>115.64200000000001</c:v>
                </c:pt>
                <c:pt idx="100">
                  <c:v>109.444</c:v>
                </c:pt>
                <c:pt idx="101">
                  <c:v>107.05900000000001</c:v>
                </c:pt>
                <c:pt idx="102">
                  <c:v>107.327</c:v>
                </c:pt>
                <c:pt idx="103">
                  <c:v>102.658</c:v>
                </c:pt>
                <c:pt idx="104">
                  <c:v>102.24300000000001</c:v>
                </c:pt>
                <c:pt idx="105">
                  <c:v>103.342</c:v>
                </c:pt>
                <c:pt idx="106">
                  <c:v>106.205</c:v>
                </c:pt>
                <c:pt idx="107">
                  <c:v>104.786</c:v>
                </c:pt>
                <c:pt idx="108">
                  <c:v>105.504</c:v>
                </c:pt>
                <c:pt idx="109">
                  <c:v>103.952</c:v>
                </c:pt>
                <c:pt idx="110">
                  <c:v>104.274</c:v>
                </c:pt>
                <c:pt idx="111">
                  <c:v>105.54600000000001</c:v>
                </c:pt>
                <c:pt idx="112">
                  <c:v>105.35300000000001</c:v>
                </c:pt>
                <c:pt idx="113">
                  <c:v>99.53</c:v>
                </c:pt>
                <c:pt idx="114">
                  <c:v>99.322000000000003</c:v>
                </c:pt>
                <c:pt idx="115">
                  <c:v>97.126000000000005</c:v>
                </c:pt>
              </c:numCache>
            </c:numRef>
          </c:val>
          <c:smooth val="0"/>
          <c:extLst>
            <c:ext xmlns:c16="http://schemas.microsoft.com/office/drawing/2014/chart" uri="{C3380CC4-5D6E-409C-BE32-E72D297353CC}">
              <c16:uniqueId val="{00000002-17A8-4934-BE27-2F3EC374752D}"/>
            </c:ext>
          </c:extLst>
        </c:ser>
        <c:ser>
          <c:idx val="4"/>
          <c:order val="3"/>
          <c:tx>
            <c:strRef>
              <c:f>Commodities!$S$6</c:f>
              <c:strCache>
                <c:ptCount val="1"/>
                <c:pt idx="0">
                  <c:v>Енергија</c:v>
                </c:pt>
              </c:strCache>
            </c:strRef>
          </c:tx>
          <c:spPr>
            <a:ln w="22225" cap="rnd">
              <a:solidFill>
                <a:srgbClr val="00A651"/>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Commodities!$S$20:$S$135</c:f>
              <c:numCache>
                <c:formatCode>0.0</c:formatCode>
                <c:ptCount val="116"/>
                <c:pt idx="0">
                  <c:v>125.43</c:v>
                </c:pt>
                <c:pt idx="1">
                  <c:v>136.77000000000001</c:v>
                </c:pt>
                <c:pt idx="2">
                  <c:v>130.529</c:v>
                </c:pt>
                <c:pt idx="3">
                  <c:v>132.51900000000001</c:v>
                </c:pt>
                <c:pt idx="4">
                  <c:v>138.87200000000001</c:v>
                </c:pt>
                <c:pt idx="5">
                  <c:v>135.03800000000001</c:v>
                </c:pt>
                <c:pt idx="6">
                  <c:v>123.738</c:v>
                </c:pt>
                <c:pt idx="7">
                  <c:v>110.09400000000001</c:v>
                </c:pt>
                <c:pt idx="8">
                  <c:v>110.06100000000001</c:v>
                </c:pt>
                <c:pt idx="9">
                  <c:v>109.98400000000001</c:v>
                </c:pt>
                <c:pt idx="10">
                  <c:v>102.491</c:v>
                </c:pt>
                <c:pt idx="11">
                  <c:v>91.673000000000002</c:v>
                </c:pt>
                <c:pt idx="12">
                  <c:v>78.713999999999999</c:v>
                </c:pt>
                <c:pt idx="13">
                  <c:v>78.804000000000002</c:v>
                </c:pt>
                <c:pt idx="14">
                  <c:v>88.429000000000002</c:v>
                </c:pt>
                <c:pt idx="15">
                  <c:v>92.909000000000006</c:v>
                </c:pt>
                <c:pt idx="16">
                  <c:v>101.474</c:v>
                </c:pt>
                <c:pt idx="17">
                  <c:v>106.334</c:v>
                </c:pt>
                <c:pt idx="18">
                  <c:v>101.59400000000001</c:v>
                </c:pt>
                <c:pt idx="19">
                  <c:v>103.10000000000001</c:v>
                </c:pt>
                <c:pt idx="20">
                  <c:v>104.104</c:v>
                </c:pt>
                <c:pt idx="21">
                  <c:v>114.53500000000001</c:v>
                </c:pt>
                <c:pt idx="22">
                  <c:v>107.929</c:v>
                </c:pt>
                <c:pt idx="23">
                  <c:v>122.07900000000001</c:v>
                </c:pt>
                <c:pt idx="24">
                  <c:v>126.441</c:v>
                </c:pt>
                <c:pt idx="25">
                  <c:v>123.866</c:v>
                </c:pt>
                <c:pt idx="26">
                  <c:v>114.065</c:v>
                </c:pt>
                <c:pt idx="27">
                  <c:v>117.12</c:v>
                </c:pt>
                <c:pt idx="28">
                  <c:v>112.345</c:v>
                </c:pt>
                <c:pt idx="29">
                  <c:v>105.81400000000001</c:v>
                </c:pt>
                <c:pt idx="30">
                  <c:v>109.19</c:v>
                </c:pt>
                <c:pt idx="31">
                  <c:v>115.07900000000001</c:v>
                </c:pt>
                <c:pt idx="32">
                  <c:v>122.208</c:v>
                </c:pt>
                <c:pt idx="33">
                  <c:v>126.524</c:v>
                </c:pt>
                <c:pt idx="34">
                  <c:v>137.077</c:v>
                </c:pt>
                <c:pt idx="35">
                  <c:v>139.95699999999999</c:v>
                </c:pt>
                <c:pt idx="36">
                  <c:v>148.09</c:v>
                </c:pt>
                <c:pt idx="37">
                  <c:v>142.02700000000002</c:v>
                </c:pt>
                <c:pt idx="38">
                  <c:v>141.76500000000001</c:v>
                </c:pt>
                <c:pt idx="39">
                  <c:v>145.49299999999999</c:v>
                </c:pt>
                <c:pt idx="40">
                  <c:v>155.529</c:v>
                </c:pt>
                <c:pt idx="41">
                  <c:v>155.54500000000002</c:v>
                </c:pt>
                <c:pt idx="42">
                  <c:v>156.77199999999999</c:v>
                </c:pt>
                <c:pt idx="43">
                  <c:v>155.441</c:v>
                </c:pt>
                <c:pt idx="44">
                  <c:v>164.24100000000001</c:v>
                </c:pt>
                <c:pt idx="45">
                  <c:v>163.649</c:v>
                </c:pt>
                <c:pt idx="46">
                  <c:v>141.09300000000002</c:v>
                </c:pt>
                <c:pt idx="47">
                  <c:v>126.869</c:v>
                </c:pt>
                <c:pt idx="48">
                  <c:v>126.76600000000001</c:v>
                </c:pt>
                <c:pt idx="49">
                  <c:v>128.465</c:v>
                </c:pt>
                <c:pt idx="50">
                  <c:v>129.58500000000001</c:v>
                </c:pt>
                <c:pt idx="51">
                  <c:v>134.113</c:v>
                </c:pt>
                <c:pt idx="52">
                  <c:v>129.124</c:v>
                </c:pt>
                <c:pt idx="53">
                  <c:v>114.48</c:v>
                </c:pt>
                <c:pt idx="54">
                  <c:v>117.71300000000001</c:v>
                </c:pt>
                <c:pt idx="55">
                  <c:v>109.67200000000001</c:v>
                </c:pt>
                <c:pt idx="56">
                  <c:v>114.54400000000001</c:v>
                </c:pt>
                <c:pt idx="57">
                  <c:v>111.818</c:v>
                </c:pt>
                <c:pt idx="58">
                  <c:v>119.19500000000001</c:v>
                </c:pt>
                <c:pt idx="59">
                  <c:v>122.54900000000001</c:v>
                </c:pt>
                <c:pt idx="60">
                  <c:v>117.455</c:v>
                </c:pt>
                <c:pt idx="61">
                  <c:v>101.485</c:v>
                </c:pt>
                <c:pt idx="62">
                  <c:v>67.930000000000007</c:v>
                </c:pt>
                <c:pt idx="63">
                  <c:v>52.363</c:v>
                </c:pt>
                <c:pt idx="64">
                  <c:v>63.717999999999996</c:v>
                </c:pt>
                <c:pt idx="65">
                  <c:v>76.775000000000006</c:v>
                </c:pt>
                <c:pt idx="66">
                  <c:v>80.115000000000009</c:v>
                </c:pt>
                <c:pt idx="67">
                  <c:v>86.157000000000011</c:v>
                </c:pt>
                <c:pt idx="68">
                  <c:v>84.256</c:v>
                </c:pt>
                <c:pt idx="69">
                  <c:v>88.009</c:v>
                </c:pt>
                <c:pt idx="70">
                  <c:v>93.132000000000005</c:v>
                </c:pt>
                <c:pt idx="71">
                  <c:v>109.274</c:v>
                </c:pt>
                <c:pt idx="72">
                  <c:v>127.13300000000001</c:v>
                </c:pt>
                <c:pt idx="73">
                  <c:v>125.727</c:v>
                </c:pt>
                <c:pt idx="74">
                  <c:v>128.898</c:v>
                </c:pt>
                <c:pt idx="75">
                  <c:v>128.798</c:v>
                </c:pt>
                <c:pt idx="76">
                  <c:v>137.91300000000001</c:v>
                </c:pt>
                <c:pt idx="77">
                  <c:v>151.08799999999999</c:v>
                </c:pt>
                <c:pt idx="78">
                  <c:v>159.56300000000002</c:v>
                </c:pt>
                <c:pt idx="79">
                  <c:v>161.392</c:v>
                </c:pt>
                <c:pt idx="80">
                  <c:v>186.41200000000001</c:v>
                </c:pt>
                <c:pt idx="81">
                  <c:v>222.72499999999999</c:v>
                </c:pt>
                <c:pt idx="82">
                  <c:v>203.68</c:v>
                </c:pt>
                <c:pt idx="83">
                  <c:v>206.768</c:v>
                </c:pt>
                <c:pt idx="84">
                  <c:v>206.227</c:v>
                </c:pt>
                <c:pt idx="85">
                  <c:v>220.16800000000001</c:v>
                </c:pt>
                <c:pt idx="86">
                  <c:v>277.20099999999996</c:v>
                </c:pt>
                <c:pt idx="87">
                  <c:v>249.697</c:v>
                </c:pt>
                <c:pt idx="88">
                  <c:v>252.02199999999999</c:v>
                </c:pt>
                <c:pt idx="89">
                  <c:v>265.99399999999997</c:v>
                </c:pt>
                <c:pt idx="90">
                  <c:v>278.74399999999997</c:v>
                </c:pt>
                <c:pt idx="91">
                  <c:v>305.28399999999999</c:v>
                </c:pt>
                <c:pt idx="92">
                  <c:v>267.18899999999996</c:v>
                </c:pt>
                <c:pt idx="93">
                  <c:v>209.453</c:v>
                </c:pt>
                <c:pt idx="94">
                  <c:v>207.245</c:v>
                </c:pt>
                <c:pt idx="95">
                  <c:v>209.21200000000002</c:v>
                </c:pt>
                <c:pt idx="96">
                  <c:v>179.267</c:v>
                </c:pt>
                <c:pt idx="97">
                  <c:v>161.06200000000001</c:v>
                </c:pt>
                <c:pt idx="98">
                  <c:v>148.04</c:v>
                </c:pt>
                <c:pt idx="99">
                  <c:v>152.31900000000002</c:v>
                </c:pt>
                <c:pt idx="100">
                  <c:v>133.65800000000002</c:v>
                </c:pt>
                <c:pt idx="101">
                  <c:v>130.54900000000001</c:v>
                </c:pt>
                <c:pt idx="102">
                  <c:v>137.494</c:v>
                </c:pt>
                <c:pt idx="103">
                  <c:v>147.25800000000001</c:v>
                </c:pt>
                <c:pt idx="104">
                  <c:v>159.63800000000001</c:v>
                </c:pt>
                <c:pt idx="105">
                  <c:v>158.40200000000002</c:v>
                </c:pt>
                <c:pt idx="106">
                  <c:v>148.482</c:v>
                </c:pt>
                <c:pt idx="107">
                  <c:v>137.18299999999999</c:v>
                </c:pt>
                <c:pt idx="108">
                  <c:v>135.256</c:v>
                </c:pt>
                <c:pt idx="109">
                  <c:v>134.089</c:v>
                </c:pt>
                <c:pt idx="110">
                  <c:v>138.291</c:v>
                </c:pt>
                <c:pt idx="111">
                  <c:v>144.43200000000002</c:v>
                </c:pt>
                <c:pt idx="112">
                  <c:v>139.869</c:v>
                </c:pt>
                <c:pt idx="113">
                  <c:v>142.24</c:v>
                </c:pt>
                <c:pt idx="114">
                  <c:v>141.983</c:v>
                </c:pt>
                <c:pt idx="115">
                  <c:v>136.54500000000002</c:v>
                </c:pt>
              </c:numCache>
            </c:numRef>
          </c:val>
          <c:smooth val="0"/>
          <c:extLst>
            <c:ext xmlns:c16="http://schemas.microsoft.com/office/drawing/2014/chart" uri="{C3380CC4-5D6E-409C-BE32-E72D297353CC}">
              <c16:uniqueId val="{00000003-17A8-4934-BE27-2F3EC374752D}"/>
            </c:ext>
          </c:extLst>
        </c:ser>
        <c:ser>
          <c:idx val="6"/>
          <c:order val="4"/>
          <c:tx>
            <c:strRef>
              <c:f>Commodities!$T$6</c:f>
              <c:strCache>
                <c:ptCount val="1"/>
                <c:pt idx="0">
                  <c:v>Сви производи</c:v>
                </c:pt>
              </c:strCache>
            </c:strRef>
          </c:tx>
          <c:spPr>
            <a:ln w="22225" cap="rnd">
              <a:solidFill>
                <a:srgbClr val="003891"/>
              </a:solidFill>
              <a:prstDash val="sysDash"/>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Commodities!$T$20:$T$139</c:f>
              <c:numCache>
                <c:formatCode>General</c:formatCode>
                <c:ptCount val="120"/>
                <c:pt idx="115" formatCode="0.0">
                  <c:v>124.161</c:v>
                </c:pt>
                <c:pt idx="116" formatCode="0.0">
                  <c:v>125.461</c:v>
                </c:pt>
                <c:pt idx="117" formatCode="0.0">
                  <c:v>124.63000000000001</c:v>
                </c:pt>
                <c:pt idx="118" formatCode="0.0">
                  <c:v>124.79100000000001</c:v>
                </c:pt>
                <c:pt idx="119" formatCode="0.0">
                  <c:v>125.01</c:v>
                </c:pt>
              </c:numCache>
            </c:numRef>
          </c:val>
          <c:smooth val="0"/>
          <c:extLst>
            <c:ext xmlns:c16="http://schemas.microsoft.com/office/drawing/2014/chart" uri="{C3380CC4-5D6E-409C-BE32-E72D297353CC}">
              <c16:uniqueId val="{00000004-17A8-4934-BE27-2F3EC374752D}"/>
            </c:ext>
          </c:extLst>
        </c:ser>
        <c:ser>
          <c:idx val="7"/>
          <c:order val="5"/>
          <c:tx>
            <c:strRef>
              <c:f>Commodities!$U$6</c:f>
              <c:strCache>
                <c:ptCount val="1"/>
                <c:pt idx="0">
                  <c:v>Основни метали</c:v>
                </c:pt>
              </c:strCache>
            </c:strRef>
          </c:tx>
          <c:spPr>
            <a:ln w="22225" cap="rnd">
              <a:solidFill>
                <a:srgbClr val="EC008C"/>
              </a:solidFill>
              <a:prstDash val="sysDash"/>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Commodities!$U$20:$U$139</c:f>
              <c:numCache>
                <c:formatCode>General</c:formatCode>
                <c:ptCount val="120"/>
                <c:pt idx="115" formatCode="0.0">
                  <c:v>134.995</c:v>
                </c:pt>
                <c:pt idx="116" formatCode="0.0">
                  <c:v>140.29900000000001</c:v>
                </c:pt>
                <c:pt idx="117" formatCode="0.0">
                  <c:v>140.81700000000001</c:v>
                </c:pt>
                <c:pt idx="118" formatCode="0.0">
                  <c:v>141.124</c:v>
                </c:pt>
                <c:pt idx="119" formatCode="0.0">
                  <c:v>141.221</c:v>
                </c:pt>
              </c:numCache>
            </c:numRef>
          </c:val>
          <c:smooth val="0"/>
          <c:extLst>
            <c:ext xmlns:c16="http://schemas.microsoft.com/office/drawing/2014/chart" uri="{C3380CC4-5D6E-409C-BE32-E72D297353CC}">
              <c16:uniqueId val="{00000005-17A8-4934-BE27-2F3EC374752D}"/>
            </c:ext>
          </c:extLst>
        </c:ser>
        <c:ser>
          <c:idx val="8"/>
          <c:order val="6"/>
          <c:tx>
            <c:strRef>
              <c:f>Commodities!$V$6</c:f>
              <c:strCache>
                <c:ptCount val="1"/>
                <c:pt idx="0">
                  <c:v>Храна</c:v>
                </c:pt>
              </c:strCache>
            </c:strRef>
          </c:tx>
          <c:spPr>
            <a:ln w="22225" cap="rnd">
              <a:solidFill>
                <a:srgbClr val="7F3F98"/>
              </a:solidFill>
              <a:prstDash val="sysDash"/>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Commodities!$V$20:$V$139</c:f>
              <c:numCache>
                <c:formatCode>General</c:formatCode>
                <c:ptCount val="120"/>
                <c:pt idx="115" formatCode="0.0">
                  <c:v>97.126000000000005</c:v>
                </c:pt>
                <c:pt idx="116" formatCode="0.0">
                  <c:v>94.387</c:v>
                </c:pt>
                <c:pt idx="117" formatCode="0.0">
                  <c:v>95.158000000000001</c:v>
                </c:pt>
                <c:pt idx="118" formatCode="0.0">
                  <c:v>95.478000000000009</c:v>
                </c:pt>
                <c:pt idx="119" formatCode="0.0">
                  <c:v>94.531000000000006</c:v>
                </c:pt>
              </c:numCache>
            </c:numRef>
          </c:val>
          <c:smooth val="0"/>
          <c:extLst>
            <c:ext xmlns:c16="http://schemas.microsoft.com/office/drawing/2014/chart" uri="{C3380CC4-5D6E-409C-BE32-E72D297353CC}">
              <c16:uniqueId val="{00000006-17A8-4934-BE27-2F3EC374752D}"/>
            </c:ext>
          </c:extLst>
        </c:ser>
        <c:ser>
          <c:idx val="9"/>
          <c:order val="7"/>
          <c:tx>
            <c:strRef>
              <c:f>Commodities!$W$6</c:f>
              <c:strCache>
                <c:ptCount val="1"/>
                <c:pt idx="0">
                  <c:v>Енергија</c:v>
                </c:pt>
              </c:strCache>
            </c:strRef>
          </c:tx>
          <c:spPr>
            <a:ln w="22225" cap="rnd">
              <a:solidFill>
                <a:srgbClr val="00A651"/>
              </a:solidFill>
              <a:prstDash val="sysDash"/>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Commodities!$W$20:$W$139</c:f>
              <c:numCache>
                <c:formatCode>General</c:formatCode>
                <c:ptCount val="120"/>
                <c:pt idx="115" formatCode="0.0">
                  <c:v>136.54500000000002</c:v>
                </c:pt>
                <c:pt idx="116" formatCode="0.0">
                  <c:v>138.536</c:v>
                </c:pt>
                <c:pt idx="117" formatCode="0.0">
                  <c:v>135.65600000000001</c:v>
                </c:pt>
                <c:pt idx="118" formatCode="0.0">
                  <c:v>135.613</c:v>
                </c:pt>
                <c:pt idx="119" formatCode="0.0">
                  <c:v>136.64699999999999</c:v>
                </c:pt>
              </c:numCache>
            </c:numRef>
          </c:val>
          <c:smooth val="0"/>
          <c:extLst>
            <c:ext xmlns:c16="http://schemas.microsoft.com/office/drawing/2014/chart" uri="{C3380CC4-5D6E-409C-BE32-E72D297353CC}">
              <c16:uniqueId val="{00000007-17A8-4934-BE27-2F3EC374752D}"/>
            </c:ext>
          </c:extLst>
        </c:ser>
        <c:ser>
          <c:idx val="3"/>
          <c:order val="8"/>
          <c:tx>
            <c:strRef>
              <c:f>Commodities!$R$6</c:f>
              <c:strCache>
                <c:ptCount val="1"/>
                <c:pt idx="0">
                  <c:v>Храна</c:v>
                </c:pt>
              </c:strCache>
            </c:strRef>
          </c:tx>
          <c:spPr>
            <a:ln w="22225" cap="rnd">
              <a:solidFill>
                <a:srgbClr val="7F3F98"/>
              </a:solidFill>
              <a:round/>
            </a:ln>
            <a:effectLst/>
          </c:spPr>
          <c:marker>
            <c:symbol val="none"/>
          </c:marker>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Commodities!$R$20:$R$135</c:f>
              <c:numCache>
                <c:formatCode>0.0</c:formatCode>
                <c:ptCount val="116"/>
                <c:pt idx="0">
                  <c:v>107.375</c:v>
                </c:pt>
                <c:pt idx="1">
                  <c:v>103.836</c:v>
                </c:pt>
                <c:pt idx="2">
                  <c:v>100.602</c:v>
                </c:pt>
                <c:pt idx="3">
                  <c:v>102.355</c:v>
                </c:pt>
                <c:pt idx="4">
                  <c:v>101.718</c:v>
                </c:pt>
                <c:pt idx="5">
                  <c:v>100.896</c:v>
                </c:pt>
                <c:pt idx="6">
                  <c:v>100.742</c:v>
                </c:pt>
                <c:pt idx="7">
                  <c:v>97.793000000000006</c:v>
                </c:pt>
                <c:pt idx="8">
                  <c:v>97.14200000000001</c:v>
                </c:pt>
                <c:pt idx="9">
                  <c:v>97.725000000000009</c:v>
                </c:pt>
                <c:pt idx="10">
                  <c:v>93.832999999999998</c:v>
                </c:pt>
                <c:pt idx="11">
                  <c:v>93.73</c:v>
                </c:pt>
                <c:pt idx="12">
                  <c:v>93.541000000000011</c:v>
                </c:pt>
                <c:pt idx="13">
                  <c:v>94.79</c:v>
                </c:pt>
                <c:pt idx="14">
                  <c:v>97.865000000000009</c:v>
                </c:pt>
                <c:pt idx="15">
                  <c:v>100.399</c:v>
                </c:pt>
                <c:pt idx="16">
                  <c:v>101.366</c:v>
                </c:pt>
                <c:pt idx="17">
                  <c:v>103.16300000000001</c:v>
                </c:pt>
                <c:pt idx="18">
                  <c:v>103.634</c:v>
                </c:pt>
                <c:pt idx="19">
                  <c:v>101.786</c:v>
                </c:pt>
                <c:pt idx="20">
                  <c:v>101.126</c:v>
                </c:pt>
                <c:pt idx="21">
                  <c:v>99.945000000000007</c:v>
                </c:pt>
                <c:pt idx="22">
                  <c:v>100.65</c:v>
                </c:pt>
                <c:pt idx="23">
                  <c:v>101.741</c:v>
                </c:pt>
                <c:pt idx="24">
                  <c:v>105.313</c:v>
                </c:pt>
                <c:pt idx="25">
                  <c:v>105.462</c:v>
                </c:pt>
                <c:pt idx="26">
                  <c:v>101.84400000000001</c:v>
                </c:pt>
                <c:pt idx="27">
                  <c:v>100.92400000000001</c:v>
                </c:pt>
                <c:pt idx="28">
                  <c:v>103.205</c:v>
                </c:pt>
                <c:pt idx="29">
                  <c:v>102.42500000000001</c:v>
                </c:pt>
                <c:pt idx="30">
                  <c:v>104.79700000000001</c:v>
                </c:pt>
                <c:pt idx="31">
                  <c:v>99.807000000000002</c:v>
                </c:pt>
                <c:pt idx="32">
                  <c:v>98.084000000000003</c:v>
                </c:pt>
                <c:pt idx="33">
                  <c:v>98.927000000000007</c:v>
                </c:pt>
                <c:pt idx="34">
                  <c:v>99.546000000000006</c:v>
                </c:pt>
                <c:pt idx="35">
                  <c:v>99.596000000000004</c:v>
                </c:pt>
                <c:pt idx="36">
                  <c:v>102.48100000000001</c:v>
                </c:pt>
                <c:pt idx="37">
                  <c:v>102.09100000000001</c:v>
                </c:pt>
                <c:pt idx="38">
                  <c:v>102.834</c:v>
                </c:pt>
                <c:pt idx="39">
                  <c:v>102.248</c:v>
                </c:pt>
                <c:pt idx="40">
                  <c:v>103.393</c:v>
                </c:pt>
                <c:pt idx="41">
                  <c:v>99.149000000000001</c:v>
                </c:pt>
                <c:pt idx="42">
                  <c:v>96.52300000000001</c:v>
                </c:pt>
                <c:pt idx="43">
                  <c:v>92.691000000000003</c:v>
                </c:pt>
                <c:pt idx="44">
                  <c:v>93.787000000000006</c:v>
                </c:pt>
                <c:pt idx="45">
                  <c:v>95.325000000000003</c:v>
                </c:pt>
                <c:pt idx="46">
                  <c:v>91.296000000000006</c:v>
                </c:pt>
                <c:pt idx="47">
                  <c:v>94.297000000000011</c:v>
                </c:pt>
                <c:pt idx="48">
                  <c:v>95.812000000000012</c:v>
                </c:pt>
                <c:pt idx="49">
                  <c:v>93.800000000000011</c:v>
                </c:pt>
                <c:pt idx="50">
                  <c:v>92.603999999999999</c:v>
                </c:pt>
                <c:pt idx="51">
                  <c:v>95.410000000000011</c:v>
                </c:pt>
                <c:pt idx="52">
                  <c:v>91.95</c:v>
                </c:pt>
                <c:pt idx="53">
                  <c:v>93.917000000000002</c:v>
                </c:pt>
                <c:pt idx="54">
                  <c:v>93.816000000000003</c:v>
                </c:pt>
                <c:pt idx="55">
                  <c:v>91.938000000000002</c:v>
                </c:pt>
                <c:pt idx="56">
                  <c:v>89.797000000000011</c:v>
                </c:pt>
                <c:pt idx="57">
                  <c:v>89.905000000000001</c:v>
                </c:pt>
                <c:pt idx="58">
                  <c:v>93.588999999999999</c:v>
                </c:pt>
                <c:pt idx="59">
                  <c:v>97.169000000000011</c:v>
                </c:pt>
                <c:pt idx="60">
                  <c:v>98.081000000000003</c:v>
                </c:pt>
                <c:pt idx="61">
                  <c:v>93.831000000000003</c:v>
                </c:pt>
                <c:pt idx="62">
                  <c:v>90.397000000000006</c:v>
                </c:pt>
                <c:pt idx="63">
                  <c:v>87.012</c:v>
                </c:pt>
                <c:pt idx="64">
                  <c:v>90.365000000000009</c:v>
                </c:pt>
                <c:pt idx="65">
                  <c:v>92.935000000000002</c:v>
                </c:pt>
                <c:pt idx="66">
                  <c:v>90.457000000000008</c:v>
                </c:pt>
                <c:pt idx="67">
                  <c:v>91.085000000000008</c:v>
                </c:pt>
                <c:pt idx="68">
                  <c:v>92.209000000000003</c:v>
                </c:pt>
                <c:pt idx="69">
                  <c:v>97.043000000000006</c:v>
                </c:pt>
                <c:pt idx="70">
                  <c:v>100.33</c:v>
                </c:pt>
                <c:pt idx="71">
                  <c:v>101.292</c:v>
                </c:pt>
                <c:pt idx="72">
                  <c:v>107.30300000000001</c:v>
                </c:pt>
                <c:pt idx="73">
                  <c:v>109.30000000000001</c:v>
                </c:pt>
                <c:pt idx="74">
                  <c:v>110.99300000000001</c:v>
                </c:pt>
                <c:pt idx="75">
                  <c:v>116.929</c:v>
                </c:pt>
                <c:pt idx="76">
                  <c:v>121.59700000000001</c:v>
                </c:pt>
                <c:pt idx="77">
                  <c:v>113.89500000000001</c:v>
                </c:pt>
                <c:pt idx="78">
                  <c:v>113.824</c:v>
                </c:pt>
                <c:pt idx="79">
                  <c:v>115.735</c:v>
                </c:pt>
                <c:pt idx="80">
                  <c:v>111.99900000000001</c:v>
                </c:pt>
                <c:pt idx="81">
                  <c:v>112.38600000000001</c:v>
                </c:pt>
                <c:pt idx="82">
                  <c:v>113.637</c:v>
                </c:pt>
                <c:pt idx="83">
                  <c:v>116.536</c:v>
                </c:pt>
                <c:pt idx="84">
                  <c:v>121.113</c:v>
                </c:pt>
                <c:pt idx="85">
                  <c:v>125.834</c:v>
                </c:pt>
                <c:pt idx="86">
                  <c:v>134.38200000000001</c:v>
                </c:pt>
                <c:pt idx="87">
                  <c:v>137.62300000000002</c:v>
                </c:pt>
                <c:pt idx="88">
                  <c:v>133.47499999999999</c:v>
                </c:pt>
                <c:pt idx="89">
                  <c:v>126.473</c:v>
                </c:pt>
                <c:pt idx="90">
                  <c:v>116.854</c:v>
                </c:pt>
                <c:pt idx="91">
                  <c:v>113.66800000000001</c:v>
                </c:pt>
                <c:pt idx="92">
                  <c:v>109.56400000000001</c:v>
                </c:pt>
                <c:pt idx="93">
                  <c:v>111.38900000000001</c:v>
                </c:pt>
                <c:pt idx="94">
                  <c:v>111.497</c:v>
                </c:pt>
                <c:pt idx="95">
                  <c:v>110.34</c:v>
                </c:pt>
                <c:pt idx="96">
                  <c:v>111.02800000000001</c:v>
                </c:pt>
                <c:pt idx="97">
                  <c:v>113.81</c:v>
                </c:pt>
                <c:pt idx="98">
                  <c:v>116.27800000000001</c:v>
                </c:pt>
                <c:pt idx="99">
                  <c:v>115.64200000000001</c:v>
                </c:pt>
                <c:pt idx="100">
                  <c:v>109.444</c:v>
                </c:pt>
                <c:pt idx="101">
                  <c:v>107.05900000000001</c:v>
                </c:pt>
                <c:pt idx="102">
                  <c:v>107.327</c:v>
                </c:pt>
                <c:pt idx="103">
                  <c:v>102.658</c:v>
                </c:pt>
                <c:pt idx="104">
                  <c:v>102.24300000000001</c:v>
                </c:pt>
                <c:pt idx="105">
                  <c:v>103.342</c:v>
                </c:pt>
                <c:pt idx="106">
                  <c:v>106.205</c:v>
                </c:pt>
                <c:pt idx="107">
                  <c:v>104.786</c:v>
                </c:pt>
                <c:pt idx="108">
                  <c:v>105.504</c:v>
                </c:pt>
                <c:pt idx="109">
                  <c:v>103.952</c:v>
                </c:pt>
                <c:pt idx="110">
                  <c:v>104.274</c:v>
                </c:pt>
                <c:pt idx="111">
                  <c:v>105.54600000000001</c:v>
                </c:pt>
                <c:pt idx="112">
                  <c:v>105.35300000000001</c:v>
                </c:pt>
                <c:pt idx="113">
                  <c:v>99.53</c:v>
                </c:pt>
                <c:pt idx="114">
                  <c:v>99.322000000000003</c:v>
                </c:pt>
                <c:pt idx="115">
                  <c:v>97.126000000000005</c:v>
                </c:pt>
              </c:numCache>
            </c:numRef>
          </c:val>
          <c:smooth val="0"/>
          <c:extLst>
            <c:ext xmlns:c16="http://schemas.microsoft.com/office/drawing/2014/chart" uri="{C3380CC4-5D6E-409C-BE32-E72D297353CC}">
              <c16:uniqueId val="{00000008-17A8-4934-BE27-2F3EC374752D}"/>
            </c:ext>
          </c:extLst>
        </c:ser>
        <c:ser>
          <c:idx val="5"/>
          <c:order val="9"/>
          <c:tx>
            <c:strRef>
              <c:f>Commodities!$Y$6</c:f>
              <c:strCache>
                <c:ptCount val="1"/>
                <c:pt idx="0">
                  <c:v>Series 4</c:v>
                </c:pt>
              </c:strCache>
            </c:strRef>
          </c:tx>
          <c:spPr>
            <a:ln w="28575" cap="rnd">
              <a:noFill/>
              <a:round/>
            </a:ln>
            <a:effectLst/>
          </c:spPr>
          <c:marker>
            <c:symbol val="square"/>
            <c:size val="3"/>
            <c:spPr>
              <a:solidFill>
                <a:schemeClr val="bg1"/>
              </a:solidFill>
              <a:ln w="9525">
                <a:noFill/>
              </a:ln>
              <a:effectLst/>
            </c:spPr>
          </c:marker>
          <c:dLbls>
            <c:dLbl>
              <c:idx val="0"/>
              <c:layout>
                <c:manualLayout>
                  <c:x val="-3.7505861656176379E-2"/>
                  <c:y val="7.3590840840840846E-2"/>
                </c:manualLayout>
              </c:layout>
              <c:dLblPos val="r"/>
              <c:showLegendKey val="0"/>
              <c:showVal val="0"/>
              <c:showCatName val="1"/>
              <c:showSerName val="0"/>
              <c:showPercent val="0"/>
              <c:showBubbleSize val="0"/>
              <c:extLst>
                <c:ext xmlns:c15="http://schemas.microsoft.com/office/drawing/2012/chart" uri="{CE6537A1-D6FC-4f65-9D91-7224C49458BB}">
                  <c15:layout>
                    <c:manualLayout>
                      <c:w val="0.11669545489230061"/>
                      <c:h val="7.7261761761761749E-2"/>
                    </c:manualLayout>
                  </c15:layout>
                </c:ext>
                <c:ext xmlns:c16="http://schemas.microsoft.com/office/drawing/2014/chart" uri="{C3380CC4-5D6E-409C-BE32-E72D297353CC}">
                  <c16:uniqueId val="{00000009-17A8-4934-BE27-2F3EC374752D}"/>
                </c:ext>
              </c:extLst>
            </c:dLbl>
            <c:dLbl>
              <c:idx val="12"/>
              <c:layout>
                <c:manualLayout>
                  <c:x val="-2.8248054359058798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7A8-4934-BE27-2F3EC374752D}"/>
                </c:ext>
              </c:extLst>
            </c:dLbl>
            <c:dLbl>
              <c:idx val="24"/>
              <c:layout>
                <c:manualLayout>
                  <c:x val="-2.8233522556818016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7A8-4934-BE27-2F3EC374752D}"/>
                </c:ext>
              </c:extLst>
            </c:dLbl>
            <c:dLbl>
              <c:idx val="36"/>
              <c:layout>
                <c:manualLayout>
                  <c:x val="-2.359698892911542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7A8-4934-BE27-2F3EC374752D}"/>
                </c:ext>
              </c:extLst>
            </c:dLbl>
            <c:dLbl>
              <c:idx val="48"/>
              <c:layout>
                <c:manualLayout>
                  <c:x val="-2.35897073686479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7A8-4934-BE27-2F3EC374752D}"/>
                </c:ext>
              </c:extLst>
            </c:dLbl>
            <c:dLbl>
              <c:idx val="60"/>
              <c:layout>
                <c:manualLayout>
                  <c:x val="-2.3595532617021957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7A8-4934-BE27-2F3EC374752D}"/>
                </c:ext>
              </c:extLst>
            </c:dLbl>
            <c:dLbl>
              <c:idx val="72"/>
              <c:layout>
                <c:manualLayout>
                  <c:x val="-2.7540310220924801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7A8-4934-BE27-2F3EC374752D}"/>
                </c:ext>
              </c:extLst>
            </c:dLbl>
            <c:dLbl>
              <c:idx val="84"/>
              <c:layout>
                <c:manualLayout>
                  <c:x val="-3.6524955811004782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0-17A8-4934-BE27-2F3EC374752D}"/>
                </c:ext>
              </c:extLst>
            </c:dLbl>
            <c:dLbl>
              <c:idx val="96"/>
              <c:layout>
                <c:manualLayout>
                  <c:x val="-3.2185724760285674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1-17A8-4934-BE27-2F3EC374752D}"/>
                </c:ext>
              </c:extLst>
            </c:dLbl>
            <c:dLbl>
              <c:idx val="100"/>
              <c:layout>
                <c:manualLayout>
                  <c:x val="-1.592435091954969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2-17A8-4934-BE27-2F3EC374752D}"/>
                </c:ext>
              </c:extLst>
            </c:dLbl>
            <c:dLbl>
              <c:idx val="108"/>
              <c:layout>
                <c:manualLayout>
                  <c:x val="-3.9013925342665498E-2"/>
                  <c:y val="7.358802989524657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7A8-4934-BE27-2F3EC374752D}"/>
                </c:ext>
              </c:extLst>
            </c:dLbl>
            <c:dLbl>
              <c:idx val="116"/>
              <c:layout>
                <c:manualLayout>
                  <c:x val="-8.6687080781568965E-3"/>
                  <c:y val="7.358802989524657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7A8-4934-BE27-2F3EC374752D}"/>
                </c:ext>
              </c:extLst>
            </c:dLbl>
            <c:dLbl>
              <c:idx val="117"/>
              <c:layout>
                <c:manualLayout>
                  <c:x val="-3.0439432382398015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5-17A8-4934-BE27-2F3EC374752D}"/>
                </c:ext>
              </c:extLst>
            </c:dLbl>
            <c:dLbl>
              <c:idx val="120"/>
              <c:layout>
                <c:manualLayout>
                  <c:x val="-1.5719713062109649E-16"/>
                  <c:y val="6.723473473473473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6-17A8-4934-BE27-2F3EC374752D}"/>
                </c:ext>
              </c:extLst>
            </c:dLbl>
            <c:dLbl>
              <c:idx val="121"/>
              <c:layout>
                <c:manualLayout>
                  <c:x val="-3.046103739151922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7-17A8-4934-BE27-2F3EC374752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Arial" panose="020B0604020202020204" pitchFamily="34" charset="0"/>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Commodities!$I$20:$I$139</c:f>
              <c:numCache>
                <c:formatCode>yyyy</c:formatCode>
                <c:ptCount val="120"/>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45293</c:v>
                </c:pt>
                <c:pt idx="110">
                  <c:v>45294</c:v>
                </c:pt>
                <c:pt idx="111">
                  <c:v>45295</c:v>
                </c:pt>
                <c:pt idx="112">
                  <c:v>45296</c:v>
                </c:pt>
                <c:pt idx="113">
                  <c:v>45297</c:v>
                </c:pt>
                <c:pt idx="114">
                  <c:v>45298</c:v>
                </c:pt>
                <c:pt idx="115">
                  <c:v>45299</c:v>
                </c:pt>
                <c:pt idx="116">
                  <c:v>45658</c:v>
                </c:pt>
                <c:pt idx="117">
                  <c:v>45748</c:v>
                </c:pt>
                <c:pt idx="118">
                  <c:v>45839</c:v>
                </c:pt>
                <c:pt idx="119">
                  <c:v>45839</c:v>
                </c:pt>
              </c:numCache>
            </c:numRef>
          </c:cat>
          <c:val>
            <c:numRef>
              <c:f>Commodities!$Y$20:$Y$143</c:f>
              <c:numCache>
                <c:formatCode>General</c:formatCode>
                <c:ptCount val="124"/>
                <c:pt idx="0">
                  <c:v>20</c:v>
                </c:pt>
                <c:pt idx="12">
                  <c:v>20</c:v>
                </c:pt>
                <c:pt idx="24">
                  <c:v>20</c:v>
                </c:pt>
                <c:pt idx="36">
                  <c:v>20</c:v>
                </c:pt>
                <c:pt idx="48">
                  <c:v>20</c:v>
                </c:pt>
                <c:pt idx="60">
                  <c:v>20</c:v>
                </c:pt>
                <c:pt idx="72">
                  <c:v>20</c:v>
                </c:pt>
                <c:pt idx="84">
                  <c:v>20</c:v>
                </c:pt>
                <c:pt idx="96">
                  <c:v>20</c:v>
                </c:pt>
                <c:pt idx="108">
                  <c:v>20</c:v>
                </c:pt>
                <c:pt idx="116">
                  <c:v>20</c:v>
                </c:pt>
              </c:numCache>
            </c:numRef>
          </c:val>
          <c:smooth val="0"/>
          <c:extLst>
            <c:ext xmlns:c16="http://schemas.microsoft.com/office/drawing/2014/chart" uri="{C3380CC4-5D6E-409C-BE32-E72D297353CC}">
              <c16:uniqueId val="{00000018-17A8-4934-BE27-2F3EC374752D}"/>
            </c:ext>
          </c:extLst>
        </c:ser>
        <c:dLbls>
          <c:showLegendKey val="0"/>
          <c:showVal val="0"/>
          <c:showCatName val="0"/>
          <c:showSerName val="0"/>
          <c:showPercent val="0"/>
          <c:showBubbleSize val="0"/>
        </c:dLbls>
        <c:smooth val="0"/>
        <c:axId val="1768785920"/>
        <c:axId val="1768787008"/>
      </c:lineChart>
      <c:dateAx>
        <c:axId val="176878592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7008"/>
        <c:crosses val="autoZero"/>
        <c:auto val="1"/>
        <c:lblOffset val="100"/>
        <c:baseTimeUnit val="months"/>
        <c:majorUnit val="12"/>
        <c:minorUnit val="1"/>
      </c:dateAx>
      <c:valAx>
        <c:axId val="1768787008"/>
        <c:scaling>
          <c:orientation val="minMax"/>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5920"/>
        <c:crosses val="autoZero"/>
        <c:crossBetween val="between"/>
        <c:majorUnit val="40"/>
      </c:valAx>
      <c:spPr>
        <a:noFill/>
        <a:ln>
          <a:noFill/>
        </a:ln>
        <a:effectLst/>
      </c:spPr>
    </c:plotArea>
    <c:legend>
      <c:legendPos val="b"/>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ayout>
        <c:manualLayout>
          <c:xMode val="edge"/>
          <c:yMode val="edge"/>
          <c:x val="0.1174303732866725"/>
          <c:y val="0.8752442442442443"/>
          <c:w val="0.77902814231554385"/>
          <c:h val="0.124755755755755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410569105691"/>
          <c:y val="5.8005314731772131E-2"/>
          <c:w val="0.83454945799457991"/>
          <c:h val="0.60627480775429388"/>
        </c:manualLayout>
      </c:layout>
      <c:lineChart>
        <c:grouping val="standard"/>
        <c:varyColors val="0"/>
        <c:ser>
          <c:idx val="0"/>
          <c:order val="0"/>
          <c:tx>
            <c:strRef>
              <c:f>'Commodities 2'!$K$112</c:f>
              <c:strCache>
                <c:ptCount val="1"/>
              </c:strCache>
            </c:strRef>
          </c:tx>
          <c:spPr>
            <a:ln w="22225" cap="rnd">
              <a:solidFill>
                <a:srgbClr val="00A651"/>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2'!$K$114:$K$122</c:f>
              <c:numCache>
                <c:formatCode>0.0</c:formatCode>
                <c:ptCount val="9"/>
                <c:pt idx="0">
                  <c:v>100</c:v>
                </c:pt>
                <c:pt idx="1">
                  <c:v>101.73694273925733</c:v>
                </c:pt>
                <c:pt idx="2">
                  <c:v>129.16775686827012</c:v>
                </c:pt>
                <c:pt idx="3">
                  <c:v>148.3365200764818</c:v>
                </c:pt>
                <c:pt idx="4">
                  <c:v>138.31035523799937</c:v>
                </c:pt>
                <c:pt idx="5">
                  <c:v>135.32454463117642</c:v>
                </c:pt>
                <c:pt idx="6">
                  <c:v>134.20951997584785</c:v>
                </c:pt>
                <c:pt idx="7">
                  <c:v>133.54533561437054</c:v>
                </c:pt>
                <c:pt idx="8">
                  <c:v>133.5070946965885</c:v>
                </c:pt>
              </c:numCache>
            </c:numRef>
          </c:val>
          <c:smooth val="0"/>
          <c:extLst>
            <c:ext xmlns:c16="http://schemas.microsoft.com/office/drawing/2014/chart" uri="{C3380CC4-5D6E-409C-BE32-E72D297353CC}">
              <c16:uniqueId val="{00000000-C43A-4332-BC73-FC664D87EAA8}"/>
            </c:ext>
          </c:extLst>
        </c:ser>
        <c:ser>
          <c:idx val="1"/>
          <c:order val="1"/>
          <c:tx>
            <c:strRef>
              <c:f>'Commodities 2'!$L$112</c:f>
              <c:strCache>
                <c:ptCount val="1"/>
              </c:strCache>
            </c:strRef>
          </c:tx>
          <c:spPr>
            <a:ln w="22225" cap="rnd">
              <a:solidFill>
                <a:srgbClr val="EC008C"/>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2'!$L$114:$L$122</c:f>
              <c:numCache>
                <c:formatCode>0.0</c:formatCode>
                <c:ptCount val="9"/>
                <c:pt idx="0">
                  <c:v>100</c:v>
                </c:pt>
                <c:pt idx="1">
                  <c:v>103.46585870529117</c:v>
                </c:pt>
                <c:pt idx="2">
                  <c:v>151.79796039018626</c:v>
                </c:pt>
                <c:pt idx="3">
                  <c:v>143.28628436299144</c:v>
                </c:pt>
                <c:pt idx="4">
                  <c:v>139.33490984333432</c:v>
                </c:pt>
                <c:pt idx="5">
                  <c:v>136.88294413242684</c:v>
                </c:pt>
                <c:pt idx="6">
                  <c:v>133.37274608335795</c:v>
                </c:pt>
                <c:pt idx="7">
                  <c:v>131.21415903044635</c:v>
                </c:pt>
                <c:pt idx="8">
                  <c:v>131.31392255394621</c:v>
                </c:pt>
              </c:numCache>
            </c:numRef>
          </c:val>
          <c:smooth val="0"/>
          <c:extLst>
            <c:ext xmlns:c16="http://schemas.microsoft.com/office/drawing/2014/chart" uri="{C3380CC4-5D6E-409C-BE32-E72D297353CC}">
              <c16:uniqueId val="{00000001-C43A-4332-BC73-FC664D87EAA8}"/>
            </c:ext>
          </c:extLst>
        </c:ser>
        <c:ser>
          <c:idx val="2"/>
          <c:order val="2"/>
          <c:tx>
            <c:strRef>
              <c:f>'Commodities 2'!$M$112</c:f>
              <c:strCache>
                <c:ptCount val="1"/>
              </c:strCache>
            </c:strRef>
          </c:tx>
          <c:spPr>
            <a:ln w="22225" cap="rnd">
              <a:solidFill>
                <a:srgbClr val="003891"/>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2'!$M$114:$M$122</c:f>
              <c:numCache>
                <c:formatCode>0.0</c:formatCode>
                <c:ptCount val="9"/>
                <c:pt idx="0">
                  <c:v>100</c:v>
                </c:pt>
                <c:pt idx="1">
                  <c:v>67.984943361711103</c:v>
                </c:pt>
                <c:pt idx="2">
                  <c:v>112.70738056708647</c:v>
                </c:pt>
                <c:pt idx="3">
                  <c:v>156.808555547738</c:v>
                </c:pt>
                <c:pt idx="4">
                  <c:v>131.21156687539576</c:v>
                </c:pt>
                <c:pt idx="5">
                  <c:v>127.96876099345671</c:v>
                </c:pt>
                <c:pt idx="6">
                  <c:v>119.94512066418068</c:v>
                </c:pt>
                <c:pt idx="7">
                  <c:v>114.86807851966509</c:v>
                </c:pt>
                <c:pt idx="8">
                  <c:v>111.82579328783508</c:v>
                </c:pt>
              </c:numCache>
            </c:numRef>
          </c:val>
          <c:smooth val="0"/>
          <c:extLst>
            <c:ext xmlns:c16="http://schemas.microsoft.com/office/drawing/2014/chart" uri="{C3380CC4-5D6E-409C-BE32-E72D297353CC}">
              <c16:uniqueId val="{00000002-C43A-4332-BC73-FC664D87EAA8}"/>
            </c:ext>
          </c:extLst>
        </c:ser>
        <c:ser>
          <c:idx val="3"/>
          <c:order val="3"/>
          <c:tx>
            <c:strRef>
              <c:f>'Commodities 2'!$N$112</c:f>
              <c:strCache>
                <c:ptCount val="1"/>
              </c:strCache>
            </c:strRef>
          </c:tx>
          <c:spPr>
            <a:ln w="22225" cap="rnd">
              <a:solidFill>
                <a:srgbClr val="00A651"/>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2'!$N$114:$N$122</c:f>
              <c:numCache>
                <c:formatCode>0.0</c:formatCode>
                <c:ptCount val="9"/>
                <c:pt idx="0">
                  <c:v>100</c:v>
                </c:pt>
                <c:pt idx="1">
                  <c:v>101.73694273925733</c:v>
                </c:pt>
                <c:pt idx="2">
                  <c:v>129.16775686827012</c:v>
                </c:pt>
                <c:pt idx="3">
                  <c:v>148.3365200764818</c:v>
                </c:pt>
                <c:pt idx="4">
                  <c:v>138.31639327764918</c:v>
                </c:pt>
                <c:pt idx="5">
                  <c:v>131.0596759585388</c:v>
                </c:pt>
                <c:pt idx="6">
                  <c:v>125.12126396296668</c:v>
                </c:pt>
                <c:pt idx="7">
                  <c:v>125.49360974137062</c:v>
                </c:pt>
                <c:pt idx="8">
                  <c:v>125.69789674952199</c:v>
                </c:pt>
              </c:numCache>
            </c:numRef>
          </c:val>
          <c:smooth val="0"/>
          <c:extLst>
            <c:ext xmlns:c16="http://schemas.microsoft.com/office/drawing/2014/chart" uri="{C3380CC4-5D6E-409C-BE32-E72D297353CC}">
              <c16:uniqueId val="{00000003-C43A-4332-BC73-FC664D87EAA8}"/>
            </c:ext>
          </c:extLst>
        </c:ser>
        <c:ser>
          <c:idx val="4"/>
          <c:order val="4"/>
          <c:tx>
            <c:strRef>
              <c:f>'Commodities 2'!$O$112</c:f>
              <c:strCache>
                <c:ptCount val="1"/>
              </c:strCache>
            </c:strRef>
          </c:tx>
          <c:spPr>
            <a:ln w="22225" cap="rnd">
              <a:solidFill>
                <a:srgbClr val="EC008C"/>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2'!$O$114:$O$122</c:f>
              <c:numCache>
                <c:formatCode>0.0</c:formatCode>
                <c:ptCount val="9"/>
                <c:pt idx="0">
                  <c:v>100</c:v>
                </c:pt>
                <c:pt idx="1">
                  <c:v>103.46585870529117</c:v>
                </c:pt>
                <c:pt idx="2">
                  <c:v>151.79796039018626</c:v>
                </c:pt>
                <c:pt idx="3">
                  <c:v>143.28628436299144</c:v>
                </c:pt>
                <c:pt idx="4">
                  <c:v>139.33490984333432</c:v>
                </c:pt>
                <c:pt idx="5">
                  <c:v>138.98906296186817</c:v>
                </c:pt>
                <c:pt idx="6">
                  <c:v>136.36934673366835</c:v>
                </c:pt>
                <c:pt idx="7">
                  <c:v>136.73219036358265</c:v>
                </c:pt>
                <c:pt idx="8">
                  <c:v>137.18445167011529</c:v>
                </c:pt>
              </c:numCache>
            </c:numRef>
          </c:val>
          <c:smooth val="0"/>
          <c:extLst>
            <c:ext xmlns:c16="http://schemas.microsoft.com/office/drawing/2014/chart" uri="{C3380CC4-5D6E-409C-BE32-E72D297353CC}">
              <c16:uniqueId val="{00000004-C43A-4332-BC73-FC664D87EAA8}"/>
            </c:ext>
          </c:extLst>
        </c:ser>
        <c:ser>
          <c:idx val="5"/>
          <c:order val="5"/>
          <c:tx>
            <c:strRef>
              <c:f>'Commodities 2'!$P$112</c:f>
              <c:strCache>
                <c:ptCount val="1"/>
              </c:strCache>
            </c:strRef>
          </c:tx>
          <c:spPr>
            <a:ln w="22225" cap="rnd">
              <a:solidFill>
                <a:srgbClr val="003891"/>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2'!$P$114:$P$122</c:f>
              <c:numCache>
                <c:formatCode>0.0</c:formatCode>
                <c:ptCount val="9"/>
                <c:pt idx="0">
                  <c:v>100</c:v>
                </c:pt>
                <c:pt idx="1">
                  <c:v>67.984943361711103</c:v>
                </c:pt>
                <c:pt idx="2">
                  <c:v>112.70738056708647</c:v>
                </c:pt>
                <c:pt idx="3">
                  <c:v>156.808555547738</c:v>
                </c:pt>
                <c:pt idx="4">
                  <c:v>131.21156687539576</c:v>
                </c:pt>
                <c:pt idx="5">
                  <c:v>132.35910785900234</c:v>
                </c:pt>
                <c:pt idx="6">
                  <c:v>118.57524801238304</c:v>
                </c:pt>
                <c:pt idx="7">
                  <c:v>114.31576725532963</c:v>
                </c:pt>
                <c:pt idx="8">
                  <c:v>111.61049743192852</c:v>
                </c:pt>
              </c:numCache>
            </c:numRef>
          </c:val>
          <c:smooth val="0"/>
          <c:extLst>
            <c:ext xmlns:c16="http://schemas.microsoft.com/office/drawing/2014/chart" uri="{C3380CC4-5D6E-409C-BE32-E72D297353CC}">
              <c16:uniqueId val="{00000005-C43A-4332-BC73-FC664D87EAA8}"/>
            </c:ext>
          </c:extLst>
        </c:ser>
        <c:ser>
          <c:idx val="6"/>
          <c:order val="6"/>
          <c:tx>
            <c:strRef>
              <c:f>'Commodities 2'!$Q$112</c:f>
              <c:strCache>
                <c:ptCount val="1"/>
              </c:strCache>
            </c:strRef>
          </c:tx>
          <c:spPr>
            <a:ln w="28575" cap="rnd">
              <a:noFill/>
              <a:round/>
            </a:ln>
            <a:effectLst/>
          </c:spPr>
          <c:marker>
            <c:symbol val="square"/>
            <c:size val="2"/>
            <c:spPr>
              <a:solidFill>
                <a:schemeClr val="bg1"/>
              </a:solidFill>
              <a:ln w="9525">
                <a:noFill/>
              </a:ln>
              <a:effectLst/>
            </c:spPr>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2'!$Q$114:$Q$122</c:f>
              <c:numCache>
                <c:formatCode>General</c:formatCode>
                <c:ptCount val="9"/>
                <c:pt idx="0">
                  <c:v>60</c:v>
                </c:pt>
                <c:pt idx="1">
                  <c:v>60</c:v>
                </c:pt>
                <c:pt idx="2">
                  <c:v>60</c:v>
                </c:pt>
                <c:pt idx="3">
                  <c:v>60</c:v>
                </c:pt>
                <c:pt idx="4">
                  <c:v>60</c:v>
                </c:pt>
                <c:pt idx="5">
                  <c:v>60</c:v>
                </c:pt>
                <c:pt idx="6">
                  <c:v>60</c:v>
                </c:pt>
                <c:pt idx="7">
                  <c:v>60</c:v>
                </c:pt>
                <c:pt idx="8">
                  <c:v>60</c:v>
                </c:pt>
              </c:numCache>
            </c:numRef>
          </c:val>
          <c:smooth val="0"/>
          <c:extLst>
            <c:ext xmlns:c16="http://schemas.microsoft.com/office/drawing/2014/chart" uri="{C3380CC4-5D6E-409C-BE32-E72D297353CC}">
              <c16:uniqueId val="{00000006-C43A-4332-BC73-FC664D87EAA8}"/>
            </c:ext>
          </c:extLst>
        </c:ser>
        <c:dLbls>
          <c:showLegendKey val="0"/>
          <c:showVal val="0"/>
          <c:showCatName val="0"/>
          <c:showSerName val="0"/>
          <c:showPercent val="0"/>
          <c:showBubbleSize val="0"/>
        </c:dLbls>
        <c:smooth val="0"/>
        <c:axId val="1767812416"/>
        <c:axId val="1767804256"/>
      </c:lineChart>
      <c:catAx>
        <c:axId val="176781241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04256"/>
        <c:crosses val="autoZero"/>
        <c:auto val="1"/>
        <c:lblAlgn val="ctr"/>
        <c:lblOffset val="100"/>
        <c:noMultiLvlLbl val="0"/>
      </c:catAx>
      <c:valAx>
        <c:axId val="1767804256"/>
        <c:scaling>
          <c:orientation val="minMax"/>
          <c:min val="6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12416"/>
        <c:crosses val="autoZero"/>
        <c:crossBetween val="midCat"/>
        <c:majorUnit val="10"/>
      </c:valAx>
      <c:spPr>
        <a:noFill/>
        <a:ln>
          <a:noFill/>
        </a:ln>
        <a:effectLst/>
      </c:spPr>
    </c:plotArea>
    <c:legend>
      <c:legendPos val="b"/>
      <c:layout>
        <c:manualLayout>
          <c:xMode val="edge"/>
          <c:yMode val="edge"/>
          <c:x val="0.32921296296296299"/>
          <c:y val="0.87949164249205691"/>
          <c:w val="0.55453703703703705"/>
          <c:h val="0.1069415665147119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055612097101833E-2"/>
          <c:y val="5.8666642029756626E-2"/>
          <c:w val="0.86447596098653134"/>
          <c:h val="0.66094333333333333"/>
        </c:manualLayout>
      </c:layout>
      <c:lineChart>
        <c:grouping val="standard"/>
        <c:varyColors val="0"/>
        <c:ser>
          <c:idx val="0"/>
          <c:order val="0"/>
          <c:tx>
            <c:strRef>
              <c:f>'NBS kretanje referentne ks'!$J$10</c:f>
              <c:strCache>
                <c:ptCount val="1"/>
                <c:pt idx="0">
                  <c:v>САД</c:v>
                </c:pt>
              </c:strCache>
            </c:strRef>
          </c:tx>
          <c:spPr>
            <a:ln w="22225" cap="rnd">
              <a:solidFill>
                <a:srgbClr val="00A651"/>
              </a:solidFill>
              <a:round/>
            </a:ln>
            <a:effectLst/>
          </c:spPr>
          <c:marker>
            <c:symbol val="none"/>
          </c:marker>
          <c:cat>
            <c:multiLvlStrRef>
              <c:f>'NBS kretanje referentne ks'!$H$131:$I$176</c:f>
              <c:multiLvlStrCache>
                <c:ptCount val="4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pt idx="42">
                    <c:v>VII</c:v>
                  </c:pt>
                  <c:pt idx="43">
                    <c:v>VIII</c:v>
                  </c:pt>
                  <c:pt idx="44">
                    <c:v>IX</c:v>
                  </c:pt>
                  <c:pt idx="45">
                    <c:v>X</c:v>
                  </c:pt>
                </c:lvl>
                <c:lvl>
                  <c:pt idx="0">
                    <c:v>2021</c:v>
                  </c:pt>
                  <c:pt idx="12">
                    <c:v>2022</c:v>
                  </c:pt>
                  <c:pt idx="24">
                    <c:v>2023</c:v>
                  </c:pt>
                  <c:pt idx="36">
                    <c:v>2024</c:v>
                  </c:pt>
                </c:lvl>
              </c:multiLvlStrCache>
            </c:multiLvlStrRef>
          </c:cat>
          <c:val>
            <c:numRef>
              <c:f>'NBS kretanje referentne ks'!$J$131:$J$176</c:f>
              <c:numCache>
                <c:formatCode>0.00</c:formatCode>
                <c:ptCount val="46"/>
                <c:pt idx="0">
                  <c:v>0.25</c:v>
                </c:pt>
                <c:pt idx="1">
                  <c:v>0.25</c:v>
                </c:pt>
                <c:pt idx="2">
                  <c:v>0.25</c:v>
                </c:pt>
                <c:pt idx="3">
                  <c:v>0.25</c:v>
                </c:pt>
                <c:pt idx="4">
                  <c:v>0.25</c:v>
                </c:pt>
                <c:pt idx="5">
                  <c:v>0.25</c:v>
                </c:pt>
                <c:pt idx="6">
                  <c:v>0.25</c:v>
                </c:pt>
                <c:pt idx="7">
                  <c:v>0.25</c:v>
                </c:pt>
                <c:pt idx="8">
                  <c:v>0.25</c:v>
                </c:pt>
                <c:pt idx="9">
                  <c:v>0.25</c:v>
                </c:pt>
                <c:pt idx="10">
                  <c:v>0.25</c:v>
                </c:pt>
                <c:pt idx="11">
                  <c:v>0.25</c:v>
                </c:pt>
                <c:pt idx="12">
                  <c:v>0.25</c:v>
                </c:pt>
                <c:pt idx="13">
                  <c:v>0.25</c:v>
                </c:pt>
                <c:pt idx="14">
                  <c:v>0.5</c:v>
                </c:pt>
                <c:pt idx="15">
                  <c:v>0.5</c:v>
                </c:pt>
                <c:pt idx="16">
                  <c:v>1</c:v>
                </c:pt>
                <c:pt idx="17">
                  <c:v>1.75</c:v>
                </c:pt>
                <c:pt idx="18">
                  <c:v>2.5</c:v>
                </c:pt>
                <c:pt idx="19">
                  <c:v>2.5</c:v>
                </c:pt>
                <c:pt idx="20">
                  <c:v>3.25</c:v>
                </c:pt>
                <c:pt idx="21">
                  <c:v>3.25</c:v>
                </c:pt>
                <c:pt idx="22">
                  <c:v>4</c:v>
                </c:pt>
                <c:pt idx="23">
                  <c:v>4.5</c:v>
                </c:pt>
                <c:pt idx="24">
                  <c:v>4.5</c:v>
                </c:pt>
                <c:pt idx="25">
                  <c:v>4.75</c:v>
                </c:pt>
                <c:pt idx="26">
                  <c:v>5</c:v>
                </c:pt>
                <c:pt idx="27">
                  <c:v>5</c:v>
                </c:pt>
                <c:pt idx="28">
                  <c:v>5.25</c:v>
                </c:pt>
                <c:pt idx="29">
                  <c:v>5.25</c:v>
                </c:pt>
                <c:pt idx="30">
                  <c:v>5.5</c:v>
                </c:pt>
                <c:pt idx="31">
                  <c:v>5.5</c:v>
                </c:pt>
                <c:pt idx="32">
                  <c:v>5.5</c:v>
                </c:pt>
                <c:pt idx="33">
                  <c:v>5.5</c:v>
                </c:pt>
                <c:pt idx="34">
                  <c:v>5.5</c:v>
                </c:pt>
                <c:pt idx="35">
                  <c:v>5.5</c:v>
                </c:pt>
                <c:pt idx="36">
                  <c:v>5.5</c:v>
                </c:pt>
                <c:pt idx="37">
                  <c:v>5.5</c:v>
                </c:pt>
                <c:pt idx="38">
                  <c:v>5.5</c:v>
                </c:pt>
                <c:pt idx="39">
                  <c:v>5.5</c:v>
                </c:pt>
                <c:pt idx="40">
                  <c:v>5.5</c:v>
                </c:pt>
                <c:pt idx="41">
                  <c:v>5.5</c:v>
                </c:pt>
                <c:pt idx="42">
                  <c:v>5.5</c:v>
                </c:pt>
                <c:pt idx="43">
                  <c:v>5.5</c:v>
                </c:pt>
                <c:pt idx="44">
                  <c:v>5</c:v>
                </c:pt>
                <c:pt idx="45">
                  <c:v>5</c:v>
                </c:pt>
              </c:numCache>
            </c:numRef>
          </c:val>
          <c:smooth val="0"/>
          <c:extLst>
            <c:ext xmlns:c16="http://schemas.microsoft.com/office/drawing/2014/chart" uri="{C3380CC4-5D6E-409C-BE32-E72D297353CC}">
              <c16:uniqueId val="{00000000-DC7C-4175-81A4-5BBC7BB836F4}"/>
            </c:ext>
          </c:extLst>
        </c:ser>
        <c:ser>
          <c:idx val="1"/>
          <c:order val="1"/>
          <c:tx>
            <c:strRef>
              <c:f>'NBS kretanje referentne ks'!$K$10</c:f>
              <c:strCache>
                <c:ptCount val="1"/>
                <c:pt idx="0">
                  <c:v>Еврозона</c:v>
                </c:pt>
              </c:strCache>
            </c:strRef>
          </c:tx>
          <c:spPr>
            <a:ln w="22225" cap="rnd">
              <a:solidFill>
                <a:srgbClr val="7F3F98"/>
              </a:solidFill>
              <a:round/>
            </a:ln>
            <a:effectLst/>
          </c:spPr>
          <c:marker>
            <c:symbol val="none"/>
          </c:marker>
          <c:cat>
            <c:multiLvlStrRef>
              <c:f>'NBS kretanje referentne ks'!$H$131:$I$176</c:f>
              <c:multiLvlStrCache>
                <c:ptCount val="4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pt idx="42">
                    <c:v>VII</c:v>
                  </c:pt>
                  <c:pt idx="43">
                    <c:v>VIII</c:v>
                  </c:pt>
                  <c:pt idx="44">
                    <c:v>IX</c:v>
                  </c:pt>
                  <c:pt idx="45">
                    <c:v>X</c:v>
                  </c:pt>
                </c:lvl>
                <c:lvl>
                  <c:pt idx="0">
                    <c:v>2021</c:v>
                  </c:pt>
                  <c:pt idx="12">
                    <c:v>2022</c:v>
                  </c:pt>
                  <c:pt idx="24">
                    <c:v>2023</c:v>
                  </c:pt>
                  <c:pt idx="36">
                    <c:v>2024</c:v>
                  </c:pt>
                </c:lvl>
              </c:multiLvlStrCache>
            </c:multiLvlStrRef>
          </c:cat>
          <c:val>
            <c:numRef>
              <c:f>'NBS kretanje referentne ks'!$K$131:$K$176</c:f>
              <c:numCache>
                <c:formatCode>0.00</c:formatCode>
                <c:ptCount val="4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0.5</c:v>
                </c:pt>
                <c:pt idx="19">
                  <c:v>0.5</c:v>
                </c:pt>
                <c:pt idx="20">
                  <c:v>1.25</c:v>
                </c:pt>
                <c:pt idx="21">
                  <c:v>1.25</c:v>
                </c:pt>
                <c:pt idx="22">
                  <c:v>2</c:v>
                </c:pt>
                <c:pt idx="23">
                  <c:v>2.5</c:v>
                </c:pt>
                <c:pt idx="24">
                  <c:v>2.5</c:v>
                </c:pt>
                <c:pt idx="25">
                  <c:v>3</c:v>
                </c:pt>
                <c:pt idx="26">
                  <c:v>3.5</c:v>
                </c:pt>
                <c:pt idx="27">
                  <c:v>3.5</c:v>
                </c:pt>
                <c:pt idx="28">
                  <c:v>3.75</c:v>
                </c:pt>
                <c:pt idx="29">
                  <c:v>4</c:v>
                </c:pt>
                <c:pt idx="30">
                  <c:v>4.25</c:v>
                </c:pt>
                <c:pt idx="31">
                  <c:v>4.25</c:v>
                </c:pt>
                <c:pt idx="32">
                  <c:v>4.5</c:v>
                </c:pt>
                <c:pt idx="33">
                  <c:v>4.5</c:v>
                </c:pt>
                <c:pt idx="34">
                  <c:v>4.5</c:v>
                </c:pt>
                <c:pt idx="35">
                  <c:v>4.5</c:v>
                </c:pt>
                <c:pt idx="36">
                  <c:v>4.5</c:v>
                </c:pt>
                <c:pt idx="37">
                  <c:v>4.5</c:v>
                </c:pt>
                <c:pt idx="38">
                  <c:v>4.5</c:v>
                </c:pt>
                <c:pt idx="39">
                  <c:v>4.5</c:v>
                </c:pt>
                <c:pt idx="40">
                  <c:v>4.5</c:v>
                </c:pt>
                <c:pt idx="41">
                  <c:v>4.25</c:v>
                </c:pt>
                <c:pt idx="42">
                  <c:v>4.25</c:v>
                </c:pt>
                <c:pt idx="43">
                  <c:v>4.25</c:v>
                </c:pt>
                <c:pt idx="44">
                  <c:v>3.65</c:v>
                </c:pt>
                <c:pt idx="45">
                  <c:v>3.4</c:v>
                </c:pt>
              </c:numCache>
            </c:numRef>
          </c:val>
          <c:smooth val="0"/>
          <c:extLst>
            <c:ext xmlns:c16="http://schemas.microsoft.com/office/drawing/2014/chart" uri="{C3380CC4-5D6E-409C-BE32-E72D297353CC}">
              <c16:uniqueId val="{00000001-DC7C-4175-81A4-5BBC7BB836F4}"/>
            </c:ext>
          </c:extLst>
        </c:ser>
        <c:ser>
          <c:idx val="2"/>
          <c:order val="2"/>
          <c:tx>
            <c:strRef>
              <c:f>'NBS kretanje referentne ks'!$L$10</c:f>
              <c:strCache>
                <c:ptCount val="1"/>
                <c:pt idx="0">
                  <c:v>Велика Британија</c:v>
                </c:pt>
              </c:strCache>
            </c:strRef>
          </c:tx>
          <c:spPr>
            <a:ln w="22225" cap="rnd">
              <a:solidFill>
                <a:srgbClr val="EC008C"/>
              </a:solidFill>
              <a:round/>
            </a:ln>
            <a:effectLst/>
          </c:spPr>
          <c:marker>
            <c:symbol val="none"/>
          </c:marker>
          <c:cat>
            <c:multiLvlStrRef>
              <c:f>'NBS kretanje referentne ks'!$H$131:$I$176</c:f>
              <c:multiLvlStrCache>
                <c:ptCount val="4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pt idx="42">
                    <c:v>VII</c:v>
                  </c:pt>
                  <c:pt idx="43">
                    <c:v>VIII</c:v>
                  </c:pt>
                  <c:pt idx="44">
                    <c:v>IX</c:v>
                  </c:pt>
                  <c:pt idx="45">
                    <c:v>X</c:v>
                  </c:pt>
                </c:lvl>
                <c:lvl>
                  <c:pt idx="0">
                    <c:v>2021</c:v>
                  </c:pt>
                  <c:pt idx="12">
                    <c:v>2022</c:v>
                  </c:pt>
                  <c:pt idx="24">
                    <c:v>2023</c:v>
                  </c:pt>
                  <c:pt idx="36">
                    <c:v>2024</c:v>
                  </c:pt>
                </c:lvl>
              </c:multiLvlStrCache>
            </c:multiLvlStrRef>
          </c:cat>
          <c:val>
            <c:numRef>
              <c:f>'NBS kretanje referentne ks'!$L$131:$L$176</c:f>
              <c:numCache>
                <c:formatCode>0.00</c:formatCode>
                <c:ptCount val="46"/>
                <c:pt idx="0">
                  <c:v>0.1</c:v>
                </c:pt>
                <c:pt idx="1">
                  <c:v>0.1</c:v>
                </c:pt>
                <c:pt idx="2">
                  <c:v>0.1</c:v>
                </c:pt>
                <c:pt idx="3">
                  <c:v>0.1</c:v>
                </c:pt>
                <c:pt idx="4">
                  <c:v>0.1</c:v>
                </c:pt>
                <c:pt idx="5">
                  <c:v>0.1</c:v>
                </c:pt>
                <c:pt idx="6">
                  <c:v>0.1</c:v>
                </c:pt>
                <c:pt idx="7">
                  <c:v>0.1</c:v>
                </c:pt>
                <c:pt idx="8">
                  <c:v>0.1</c:v>
                </c:pt>
                <c:pt idx="9">
                  <c:v>0.1</c:v>
                </c:pt>
                <c:pt idx="10">
                  <c:v>0.1</c:v>
                </c:pt>
                <c:pt idx="11">
                  <c:v>0.25</c:v>
                </c:pt>
                <c:pt idx="12">
                  <c:v>0.25</c:v>
                </c:pt>
                <c:pt idx="13">
                  <c:v>0.5</c:v>
                </c:pt>
                <c:pt idx="14">
                  <c:v>0.75</c:v>
                </c:pt>
                <c:pt idx="15">
                  <c:v>0.75</c:v>
                </c:pt>
                <c:pt idx="16">
                  <c:v>1</c:v>
                </c:pt>
                <c:pt idx="17">
                  <c:v>1.25</c:v>
                </c:pt>
                <c:pt idx="18">
                  <c:v>1.25</c:v>
                </c:pt>
                <c:pt idx="19">
                  <c:v>1.75</c:v>
                </c:pt>
                <c:pt idx="20">
                  <c:v>2.25</c:v>
                </c:pt>
                <c:pt idx="21">
                  <c:v>2.25</c:v>
                </c:pt>
                <c:pt idx="22">
                  <c:v>3</c:v>
                </c:pt>
                <c:pt idx="23">
                  <c:v>3.5</c:v>
                </c:pt>
                <c:pt idx="24">
                  <c:v>3.5</c:v>
                </c:pt>
                <c:pt idx="25">
                  <c:v>4</c:v>
                </c:pt>
                <c:pt idx="26">
                  <c:v>4.25</c:v>
                </c:pt>
                <c:pt idx="27">
                  <c:v>4.25</c:v>
                </c:pt>
                <c:pt idx="28">
                  <c:v>4.5</c:v>
                </c:pt>
                <c:pt idx="29">
                  <c:v>5</c:v>
                </c:pt>
                <c:pt idx="30">
                  <c:v>5</c:v>
                </c:pt>
                <c:pt idx="31">
                  <c:v>5.25</c:v>
                </c:pt>
                <c:pt idx="32">
                  <c:v>5.25</c:v>
                </c:pt>
                <c:pt idx="33">
                  <c:v>5.25</c:v>
                </c:pt>
                <c:pt idx="34">
                  <c:v>5.25</c:v>
                </c:pt>
                <c:pt idx="35">
                  <c:v>5.25</c:v>
                </c:pt>
                <c:pt idx="36">
                  <c:v>5.25</c:v>
                </c:pt>
                <c:pt idx="37">
                  <c:v>5.25</c:v>
                </c:pt>
                <c:pt idx="38">
                  <c:v>5.25</c:v>
                </c:pt>
                <c:pt idx="39">
                  <c:v>5.25</c:v>
                </c:pt>
                <c:pt idx="40">
                  <c:v>5.25</c:v>
                </c:pt>
                <c:pt idx="41">
                  <c:v>5.25</c:v>
                </c:pt>
                <c:pt idx="42">
                  <c:v>5.25</c:v>
                </c:pt>
                <c:pt idx="43">
                  <c:v>5</c:v>
                </c:pt>
                <c:pt idx="44">
                  <c:v>5</c:v>
                </c:pt>
                <c:pt idx="45">
                  <c:v>5</c:v>
                </c:pt>
              </c:numCache>
            </c:numRef>
          </c:val>
          <c:smooth val="0"/>
          <c:extLst>
            <c:ext xmlns:c16="http://schemas.microsoft.com/office/drawing/2014/chart" uri="{C3380CC4-5D6E-409C-BE32-E72D297353CC}">
              <c16:uniqueId val="{00000002-DC7C-4175-81A4-5BBC7BB836F4}"/>
            </c:ext>
          </c:extLst>
        </c:ser>
        <c:dLbls>
          <c:showLegendKey val="0"/>
          <c:showVal val="0"/>
          <c:showCatName val="0"/>
          <c:showSerName val="0"/>
          <c:showPercent val="0"/>
          <c:showBubbleSize val="0"/>
        </c:dLbls>
        <c:smooth val="0"/>
        <c:axId val="1425258495"/>
        <c:axId val="1425258911"/>
      </c:lineChart>
      <c:catAx>
        <c:axId val="1425258495"/>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911"/>
        <c:crosses val="autoZero"/>
        <c:auto val="1"/>
        <c:lblAlgn val="ctr"/>
        <c:lblOffset val="100"/>
        <c:noMultiLvlLbl val="1"/>
      </c:catAx>
      <c:valAx>
        <c:axId val="142525891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495"/>
        <c:crosses val="autoZero"/>
        <c:crossBetween val="between"/>
      </c:valAx>
      <c:spPr>
        <a:noFill/>
        <a:ln>
          <a:noFill/>
        </a:ln>
        <a:effectLst/>
      </c:spPr>
    </c:plotArea>
    <c:legend>
      <c:legendPos val="b"/>
      <c:layout>
        <c:manualLayout>
          <c:xMode val="edge"/>
          <c:yMode val="edge"/>
          <c:x val="6.0106305519149555E-2"/>
          <c:y val="0.90279486428431943"/>
          <c:w val="0.89288044269695666"/>
          <c:h val="8.0338443952359492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pPr>
      <a:endParaRPr lang="sr-Latn-R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agregati'!$B$6</c:f>
              <c:strCache>
                <c:ptCount val="1"/>
                <c:pt idx="0">
                  <c:v>Реални раст БДП, %</c:v>
                </c:pt>
              </c:strCache>
            </c:strRef>
          </c:tx>
          <c:spPr>
            <a:solidFill>
              <a:srgbClr val="00389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372-49EB-A993-120E48E530E9}"/>
              </c:ext>
            </c:extLst>
          </c:dPt>
          <c:dPt>
            <c:idx val="1"/>
            <c:invertIfNegative val="0"/>
            <c:bubble3D val="0"/>
            <c:spPr>
              <a:solidFill>
                <a:srgbClr val="ED1C24"/>
              </a:solidFill>
              <a:ln>
                <a:noFill/>
              </a:ln>
              <a:effectLst/>
            </c:spPr>
            <c:extLst>
              <c:ext xmlns:c16="http://schemas.microsoft.com/office/drawing/2014/chart" uri="{C3380CC4-5D6E-409C-BE32-E72D297353CC}">
                <c16:uniqueId val="{00000003-3372-49EB-A993-120E48E530E9}"/>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3372-49EB-A993-120E48E530E9}"/>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3372-49EB-A993-120E48E530E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agregati'!$C$6,'Osn. makroekon. agregati'!$D$6)</c:f>
              <c:numCache>
                <c:formatCode>0.0</c:formatCode>
                <c:ptCount val="2"/>
                <c:pt idx="0">
                  <c:v>3.8</c:v>
                </c:pt>
                <c:pt idx="1">
                  <c:v>3.8</c:v>
                </c:pt>
              </c:numCache>
            </c:numRef>
          </c:val>
          <c:extLst>
            <c:ext xmlns:c16="http://schemas.microsoft.com/office/drawing/2014/chart" uri="{C3380CC4-5D6E-409C-BE32-E72D297353CC}">
              <c16:uniqueId val="{00000004-3372-49EB-A993-120E48E530E9}"/>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590421037E-2"/>
          <c:y val="0.11348336551369499"/>
          <c:w val="0.91418918918918923"/>
          <c:h val="0.73303303303303291"/>
        </c:manualLayout>
      </c:layout>
      <c:barChart>
        <c:barDir val="col"/>
        <c:grouping val="clustered"/>
        <c:varyColors val="0"/>
        <c:ser>
          <c:idx val="0"/>
          <c:order val="0"/>
          <c:tx>
            <c:strRef>
              <c:f>'Osn. makroekon. agregati'!$B$6</c:f>
              <c:strCache>
                <c:ptCount val="1"/>
                <c:pt idx="0">
                  <c:v>Реални раст БДП,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ABFC-464F-9C91-FD2BD0E5CAA3}"/>
              </c:ext>
            </c:extLst>
          </c:dPt>
          <c:dPt>
            <c:idx val="1"/>
            <c:invertIfNegative val="0"/>
            <c:bubble3D val="0"/>
            <c:spPr>
              <a:solidFill>
                <a:srgbClr val="ED1C24"/>
              </a:solidFill>
              <a:ln>
                <a:noFill/>
              </a:ln>
              <a:effectLst/>
            </c:spPr>
            <c:extLst>
              <c:ext xmlns:c16="http://schemas.microsoft.com/office/drawing/2014/chart" uri="{C3380CC4-5D6E-409C-BE32-E72D297353CC}">
                <c16:uniqueId val="{00000003-ABFC-464F-9C91-FD2BD0E5CAA3}"/>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BFC-464F-9C91-FD2BD0E5CAA3}"/>
                </c:ext>
              </c:extLst>
            </c:dLbl>
            <c:dLbl>
              <c:idx val="1"/>
              <c:layout>
                <c:manualLayout>
                  <c:x val="-8.7398890260461573E-17"/>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BFC-464F-9C91-FD2BD0E5CAA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agregati'!$E$6,'Osn. makroekon. agregati'!$F$6)</c:f>
              <c:numCache>
                <c:formatCode>0.0</c:formatCode>
                <c:ptCount val="2"/>
                <c:pt idx="0">
                  <c:v>4.2</c:v>
                </c:pt>
                <c:pt idx="1">
                  <c:v>4.2</c:v>
                </c:pt>
              </c:numCache>
            </c:numRef>
          </c:val>
          <c:extLst>
            <c:ext xmlns:c16="http://schemas.microsoft.com/office/drawing/2014/chart" uri="{C3380CC4-5D6E-409C-BE32-E72D297353CC}">
              <c16:uniqueId val="{00000004-ABFC-464F-9C91-FD2BD0E5CAA3}"/>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9F15-41F2-9F65-D185C65982B9}"/>
              </c:ext>
            </c:extLst>
          </c:dPt>
          <c:dPt>
            <c:idx val="1"/>
            <c:invertIfNegative val="0"/>
            <c:bubble3D val="0"/>
            <c:spPr>
              <a:solidFill>
                <a:srgbClr val="ED1C24"/>
              </a:solidFill>
              <a:ln>
                <a:noFill/>
              </a:ln>
              <a:effectLst/>
            </c:spPr>
            <c:extLst>
              <c:ext xmlns:c16="http://schemas.microsoft.com/office/drawing/2014/chart" uri="{C3380CC4-5D6E-409C-BE32-E72D297353CC}">
                <c16:uniqueId val="{00000003-9F15-41F2-9F65-D185C65982B9}"/>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F15-41F2-9F65-D185C65982B9}"/>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F15-41F2-9F65-D185C65982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agregati'!$C$7,'Osn. makroekon. agregati'!$D$7)</c:f>
              <c:numCache>
                <c:formatCode>0.0</c:formatCode>
                <c:ptCount val="2"/>
                <c:pt idx="0">
                  <c:v>-4.0999999999999996</c:v>
                </c:pt>
                <c:pt idx="1">
                  <c:v>-4.4000000000000004</c:v>
                </c:pt>
              </c:numCache>
            </c:numRef>
          </c:val>
          <c:extLst>
            <c:ext xmlns:c16="http://schemas.microsoft.com/office/drawing/2014/chart" uri="{C3380CC4-5D6E-409C-BE32-E72D297353CC}">
              <c16:uniqueId val="{00000004-9F15-41F2-9F65-D185C65982B9}"/>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BDAB-4612-AE74-594871C60174}"/>
              </c:ext>
            </c:extLst>
          </c:dPt>
          <c:dPt>
            <c:idx val="1"/>
            <c:invertIfNegative val="0"/>
            <c:bubble3D val="0"/>
            <c:spPr>
              <a:solidFill>
                <a:srgbClr val="ED1C24"/>
              </a:solidFill>
              <a:ln>
                <a:noFill/>
              </a:ln>
              <a:effectLst/>
            </c:spPr>
            <c:extLst>
              <c:ext xmlns:c16="http://schemas.microsoft.com/office/drawing/2014/chart" uri="{C3380CC4-5D6E-409C-BE32-E72D297353CC}">
                <c16:uniqueId val="{00000003-BDAB-4612-AE74-594871C60174}"/>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DAB-4612-AE74-594871C60174}"/>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DAB-4612-AE74-594871C6017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agregati'!$E$7,'Osn. makroekon. agregati'!$F$7)</c:f>
              <c:numCache>
                <c:formatCode>0.0</c:formatCode>
                <c:ptCount val="2"/>
                <c:pt idx="0">
                  <c:v>-4.7</c:v>
                </c:pt>
                <c:pt idx="1">
                  <c:v>-5.2</c:v>
                </c:pt>
              </c:numCache>
            </c:numRef>
          </c:val>
          <c:extLst>
            <c:ext xmlns:c16="http://schemas.microsoft.com/office/drawing/2014/chart" uri="{C3380CC4-5D6E-409C-BE32-E72D297353CC}">
              <c16:uniqueId val="{00000004-BDAB-4612-AE74-594871C60174}"/>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2FB5-4887-9DAE-ECD29FF338CE}"/>
              </c:ext>
            </c:extLst>
          </c:dPt>
          <c:dPt>
            <c:idx val="1"/>
            <c:invertIfNegative val="0"/>
            <c:bubble3D val="0"/>
            <c:spPr>
              <a:solidFill>
                <a:srgbClr val="ED1C24"/>
              </a:solidFill>
              <a:ln>
                <a:noFill/>
              </a:ln>
              <a:effectLst/>
            </c:spPr>
            <c:extLst>
              <c:ext xmlns:c16="http://schemas.microsoft.com/office/drawing/2014/chart" uri="{C3380CC4-5D6E-409C-BE32-E72D297353CC}">
                <c16:uniqueId val="{00000003-2FB5-4887-9DAE-ECD29FF338CE}"/>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2FB5-4887-9DAE-ECD29FF338CE}"/>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2FB5-4887-9DAE-ECD29FF338C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agregati'!$C$8,'Osn. makroekon. agregati'!$D$8)</c:f>
              <c:numCache>
                <c:formatCode>0.0</c:formatCode>
                <c:ptCount val="2"/>
                <c:pt idx="0">
                  <c:v>4.9000000000000004</c:v>
                </c:pt>
                <c:pt idx="1">
                  <c:v>4.7</c:v>
                </c:pt>
              </c:numCache>
            </c:numRef>
          </c:val>
          <c:extLst>
            <c:ext xmlns:c16="http://schemas.microsoft.com/office/drawing/2014/chart" uri="{C3380CC4-5D6E-409C-BE32-E72D297353CC}">
              <c16:uniqueId val="{00000004-2FB5-4887-9DAE-ECD29FF338CE}"/>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0"/>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7C48-4D19-8A0E-678646FA2ED3}"/>
              </c:ext>
            </c:extLst>
          </c:dPt>
          <c:dPt>
            <c:idx val="1"/>
            <c:invertIfNegative val="0"/>
            <c:bubble3D val="0"/>
            <c:spPr>
              <a:solidFill>
                <a:srgbClr val="ED1C24"/>
              </a:solidFill>
              <a:ln>
                <a:noFill/>
              </a:ln>
              <a:effectLst/>
            </c:spPr>
            <c:extLst>
              <c:ext xmlns:c16="http://schemas.microsoft.com/office/drawing/2014/chart" uri="{C3380CC4-5D6E-409C-BE32-E72D297353CC}">
                <c16:uniqueId val="{00000003-7C48-4D19-8A0E-678646FA2ED3}"/>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7C48-4D19-8A0E-678646FA2ED3}"/>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7C48-4D19-8A0E-678646FA2ED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agregati'!$E$8,'Osn. makroekon. agregati'!$F$8)</c:f>
              <c:numCache>
                <c:formatCode>0.0</c:formatCode>
                <c:ptCount val="2"/>
                <c:pt idx="0">
                  <c:v>3.5</c:v>
                </c:pt>
                <c:pt idx="1">
                  <c:v>3.5</c:v>
                </c:pt>
              </c:numCache>
            </c:numRef>
          </c:val>
          <c:extLst>
            <c:ext xmlns:c16="http://schemas.microsoft.com/office/drawing/2014/chart" uri="{C3380CC4-5D6E-409C-BE32-E72D297353CC}">
              <c16:uniqueId val="{00000004-7C48-4D19-8A0E-678646FA2ED3}"/>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0"/>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72D-4977-B748-DAC7058C05E5}"/>
              </c:ext>
            </c:extLst>
          </c:dPt>
          <c:dPt>
            <c:idx val="1"/>
            <c:invertIfNegative val="0"/>
            <c:bubble3D val="0"/>
            <c:spPr>
              <a:solidFill>
                <a:srgbClr val="ED1C24"/>
              </a:solidFill>
              <a:ln>
                <a:noFill/>
              </a:ln>
              <a:effectLst/>
            </c:spPr>
            <c:extLst>
              <c:ext xmlns:c16="http://schemas.microsoft.com/office/drawing/2014/chart" uri="{C3380CC4-5D6E-409C-BE32-E72D297353CC}">
                <c16:uniqueId val="{00000003-372D-4977-B748-DAC7058C05E5}"/>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372D-4977-B748-DAC7058C05E5}"/>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372D-4977-B748-DAC7058C05E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agregati'!$C$9,'Osn. makroekon. agregati'!$D$9)</c:f>
              <c:numCache>
                <c:formatCode>0.0</c:formatCode>
                <c:ptCount val="2"/>
                <c:pt idx="0">
                  <c:v>-2.2000000000000002</c:v>
                </c:pt>
                <c:pt idx="1">
                  <c:v>-2.7</c:v>
                </c:pt>
              </c:numCache>
            </c:numRef>
          </c:val>
          <c:extLst>
            <c:ext xmlns:c16="http://schemas.microsoft.com/office/drawing/2014/chart" uri="{C3380CC4-5D6E-409C-BE32-E72D297353CC}">
              <c16:uniqueId val="{00000004-372D-4977-B748-DAC7058C05E5}"/>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C036-4111-AE23-85382E6DA017}"/>
              </c:ext>
            </c:extLst>
          </c:dPt>
          <c:dPt>
            <c:idx val="1"/>
            <c:invertIfNegative val="0"/>
            <c:bubble3D val="0"/>
            <c:spPr>
              <a:solidFill>
                <a:srgbClr val="ED1C24"/>
              </a:solidFill>
              <a:ln>
                <a:noFill/>
              </a:ln>
              <a:effectLst/>
            </c:spPr>
            <c:extLst>
              <c:ext xmlns:c16="http://schemas.microsoft.com/office/drawing/2014/chart" uri="{C3380CC4-5D6E-409C-BE32-E72D297353CC}">
                <c16:uniqueId val="{00000003-C036-4111-AE23-85382E6DA017}"/>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C036-4111-AE23-85382E6DA01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agregati'!$E$9,'Osn. makroekon. agregati'!$F$9)</c:f>
              <c:numCache>
                <c:formatCode>0.0</c:formatCode>
                <c:ptCount val="2"/>
                <c:pt idx="0">
                  <c:v>-2.5</c:v>
                </c:pt>
                <c:pt idx="1">
                  <c:v>-3</c:v>
                </c:pt>
              </c:numCache>
            </c:numRef>
          </c:val>
          <c:extLst>
            <c:ext xmlns:c16="http://schemas.microsoft.com/office/drawing/2014/chart" uri="{C3380CC4-5D6E-409C-BE32-E72D297353CC}">
              <c16:uniqueId val="{00000004-C036-4111-AE23-85382E6DA017}"/>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122-4194-BA23-A9A58C46E470}"/>
              </c:ext>
            </c:extLst>
          </c:dPt>
          <c:dPt>
            <c:idx val="1"/>
            <c:invertIfNegative val="0"/>
            <c:bubble3D val="0"/>
            <c:spPr>
              <a:solidFill>
                <a:srgbClr val="ED1C24"/>
              </a:solidFill>
              <a:ln>
                <a:noFill/>
              </a:ln>
              <a:effectLst/>
            </c:spPr>
            <c:extLst>
              <c:ext xmlns:c16="http://schemas.microsoft.com/office/drawing/2014/chart" uri="{C3380CC4-5D6E-409C-BE32-E72D297353CC}">
                <c16:uniqueId val="{00000003-3122-4194-BA23-A9A58C46E470}"/>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3122-4194-BA23-A9A58C46E470}"/>
                </c:ext>
              </c:extLst>
            </c:dLbl>
            <c:dLbl>
              <c:idx val="1"/>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3122-4194-BA23-A9A58C46E470}"/>
                </c:ext>
              </c:extLst>
            </c:dLbl>
            <c:spPr>
              <a:noFill/>
              <a:ln>
                <a:noFill/>
              </a:ln>
              <a:effectLst/>
            </c:spPr>
            <c:txPr>
              <a:bodyPr rot="0" spcFirstLastPara="1" vertOverflow="ellipsis" vert="horz" wrap="non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agregati'!$C$10,'Osn. makroekon. agregati'!$D$10)</c:f>
              <c:numCache>
                <c:formatCode>0.0</c:formatCode>
                <c:ptCount val="2"/>
                <c:pt idx="0">
                  <c:v>52</c:v>
                </c:pt>
                <c:pt idx="1">
                  <c:v>47.9</c:v>
                </c:pt>
              </c:numCache>
            </c:numRef>
          </c:val>
          <c:extLst>
            <c:ext xmlns:c16="http://schemas.microsoft.com/office/drawing/2014/chart" uri="{C3380CC4-5D6E-409C-BE32-E72D297353CC}">
              <c16:uniqueId val="{00000004-3122-4194-BA23-A9A58C46E470}"/>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D5DE-492B-AAB9-2C12C9ED1065}"/>
              </c:ext>
            </c:extLst>
          </c:dPt>
          <c:dPt>
            <c:idx val="1"/>
            <c:invertIfNegative val="0"/>
            <c:bubble3D val="0"/>
            <c:spPr>
              <a:solidFill>
                <a:srgbClr val="ED1C24"/>
              </a:solidFill>
              <a:ln>
                <a:noFill/>
              </a:ln>
              <a:effectLst/>
            </c:spPr>
            <c:extLst>
              <c:ext xmlns:c16="http://schemas.microsoft.com/office/drawing/2014/chart" uri="{C3380CC4-5D6E-409C-BE32-E72D297353CC}">
                <c16:uniqueId val="{00000003-D5DE-492B-AAB9-2C12C9ED1065}"/>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D5DE-492B-AAB9-2C12C9ED1065}"/>
                </c:ext>
              </c:extLst>
            </c:dLbl>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agregati'!$E$10,'Osn. makroekon. agregati'!$F$10)</c:f>
              <c:numCache>
                <c:formatCode>0.0</c:formatCode>
                <c:ptCount val="2"/>
                <c:pt idx="0">
                  <c:v>51.6</c:v>
                </c:pt>
                <c:pt idx="1">
                  <c:v>47.5</c:v>
                </c:pt>
              </c:numCache>
            </c:numRef>
          </c:val>
          <c:extLst>
            <c:ext xmlns:c16="http://schemas.microsoft.com/office/drawing/2014/chart" uri="{C3380CC4-5D6E-409C-BE32-E72D297353CC}">
              <c16:uniqueId val="{00000004-D5DE-492B-AAB9-2C12C9ED1065}"/>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516695829687955"/>
          <c:y val="3.6837670273497873E-2"/>
          <c:w val="0.86483304170312048"/>
          <c:h val="0.75257956327393871"/>
        </c:manualLayout>
      </c:layout>
      <c:barChart>
        <c:barDir val="col"/>
        <c:grouping val="clustered"/>
        <c:varyColors val="0"/>
        <c:ser>
          <c:idx val="0"/>
          <c:order val="0"/>
          <c:tx>
            <c:strRef>
              <c:f>Sheet1!$A$3</c:f>
              <c:strCache>
                <c:ptCount val="1"/>
                <c:pt idx="0">
                  <c:v>БДП, пре ревизије</c:v>
                </c:pt>
              </c:strCache>
            </c:strRef>
          </c:tx>
          <c:spPr>
            <a:solidFill>
              <a:srgbClr val="4472C4">
                <a:lumMod val="75000"/>
              </a:srgbClr>
            </a:solidFill>
            <a:ln>
              <a:solidFill>
                <a:srgbClr val="4472C4"/>
              </a:solidFill>
            </a:ln>
            <a:effectLst/>
          </c:spPr>
          <c:invertIfNegative val="0"/>
          <c:dLbls>
            <c:dLbl>
              <c:idx val="0"/>
              <c:layout>
                <c:manualLayout>
                  <c:x val="-1.8518518518518538E-2"/>
                  <c:y val="1.314060446780545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37A-4BD4-891C-9E04428AFDE0}"/>
                </c:ext>
              </c:extLst>
            </c:dLbl>
            <c:dLbl>
              <c:idx val="1"/>
              <c:layout>
                <c:manualLayout>
                  <c:x val="-2.3148148148148192E-2"/>
                  <c:y val="6.570302233902759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37A-4BD4-891C-9E04428AFDE0}"/>
                </c:ext>
              </c:extLst>
            </c:dLbl>
            <c:dLbl>
              <c:idx val="2"/>
              <c:layout>
                <c:manualLayout>
                  <c:x val="-1.3888888888888888E-2"/>
                  <c:y val="1.31406044678054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37A-4BD4-891C-9E04428AFDE0}"/>
                </c:ext>
              </c:extLst>
            </c:dLbl>
            <c:dLbl>
              <c:idx val="3"/>
              <c:layout>
                <c:manualLayout>
                  <c:x val="-1.8518518518518517E-2"/>
                  <c:y val="1.31406044678055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37A-4BD4-891C-9E04428AFDE0}"/>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Sheet1!$B$2:$E$2</c:f>
              <c:numCache>
                <c:formatCode>General</c:formatCode>
                <c:ptCount val="3"/>
                <c:pt idx="0">
                  <c:v>2021</c:v>
                </c:pt>
                <c:pt idx="1">
                  <c:v>2022</c:v>
                </c:pt>
                <c:pt idx="2">
                  <c:v>2023</c:v>
                </c:pt>
              </c:numCache>
              <c:extLst/>
            </c:numRef>
          </c:cat>
          <c:val>
            <c:numRef>
              <c:f>Sheet1!$B$3:$E$3</c:f>
              <c:numCache>
                <c:formatCode>0.0</c:formatCode>
                <c:ptCount val="3"/>
                <c:pt idx="0">
                  <c:v>6271.987637022462</c:v>
                </c:pt>
                <c:pt idx="1">
                  <c:v>7097.6291516974752</c:v>
                </c:pt>
                <c:pt idx="2">
                  <c:v>8150.4864608748403</c:v>
                </c:pt>
              </c:numCache>
              <c:extLst/>
            </c:numRef>
          </c:val>
          <c:extLst>
            <c:ext xmlns:c16="http://schemas.microsoft.com/office/drawing/2014/chart" uri="{C3380CC4-5D6E-409C-BE32-E72D297353CC}">
              <c16:uniqueId val="{00000000-537A-4BD4-891C-9E04428AFDE0}"/>
            </c:ext>
          </c:extLst>
        </c:ser>
        <c:ser>
          <c:idx val="1"/>
          <c:order val="1"/>
          <c:tx>
            <c:strRef>
              <c:f>Sheet1!$A$4</c:f>
              <c:strCache>
                <c:ptCount val="1"/>
                <c:pt idx="0">
                  <c:v>БДП, после ревизије</c:v>
                </c:pt>
              </c:strCache>
            </c:strRef>
          </c:tx>
          <c:spPr>
            <a:solidFill>
              <a:srgbClr val="FF0000"/>
            </a:solidFill>
            <a:ln>
              <a:noFill/>
            </a:ln>
            <a:effectLst/>
          </c:spPr>
          <c:invertIfNegative val="0"/>
          <c:dLbls>
            <c:dLbl>
              <c:idx val="0"/>
              <c:layout>
                <c:manualLayout>
                  <c:x val="9.2592592592592587E-3"/>
                  <c:y val="-6.0227074729135318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37A-4BD4-891C-9E04428AFDE0}"/>
                </c:ext>
              </c:extLst>
            </c:dLbl>
            <c:dLbl>
              <c:idx val="1"/>
              <c:layout>
                <c:manualLayout>
                  <c:x val="1.8518518518518517E-2"/>
                  <c:y val="-6.57030223390278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37A-4BD4-891C-9E04428AFDE0}"/>
                </c:ext>
              </c:extLst>
            </c:dLbl>
            <c:dLbl>
              <c:idx val="2"/>
              <c:layout>
                <c:manualLayout>
                  <c:x val="4.6296296296296294E-3"/>
                  <c:y val="-3.011353736456765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37A-4BD4-891C-9E04428AFDE0}"/>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Sheet1!$B$2:$E$2</c:f>
              <c:numCache>
                <c:formatCode>General</c:formatCode>
                <c:ptCount val="3"/>
                <c:pt idx="0">
                  <c:v>2021</c:v>
                </c:pt>
                <c:pt idx="1">
                  <c:v>2022</c:v>
                </c:pt>
                <c:pt idx="2">
                  <c:v>2023</c:v>
                </c:pt>
              </c:numCache>
              <c:extLst/>
            </c:numRef>
          </c:cat>
          <c:val>
            <c:numRef>
              <c:f>Sheet1!$B$4:$E$4</c:f>
              <c:numCache>
                <c:formatCode>0.0</c:formatCode>
                <c:ptCount val="3"/>
                <c:pt idx="0">
                  <c:v>6576.0239953881801</c:v>
                </c:pt>
                <c:pt idx="1">
                  <c:v>7458.7619436555988</c:v>
                </c:pt>
                <c:pt idx="2">
                  <c:v>8817.7633678689817</c:v>
                </c:pt>
              </c:numCache>
              <c:extLst/>
            </c:numRef>
          </c:val>
          <c:extLst>
            <c:ext xmlns:c16="http://schemas.microsoft.com/office/drawing/2014/chart" uri="{C3380CC4-5D6E-409C-BE32-E72D297353CC}">
              <c16:uniqueId val="{00000001-537A-4BD4-891C-9E04428AFDE0}"/>
            </c:ext>
          </c:extLst>
        </c:ser>
        <c:dLbls>
          <c:showLegendKey val="0"/>
          <c:showVal val="0"/>
          <c:showCatName val="0"/>
          <c:showSerName val="0"/>
          <c:showPercent val="0"/>
          <c:showBubbleSize val="0"/>
        </c:dLbls>
        <c:gapWidth val="219"/>
        <c:overlap val="-27"/>
        <c:axId val="1156465743"/>
        <c:axId val="1156457423"/>
      </c:barChart>
      <c:catAx>
        <c:axId val="115646574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1156457423"/>
        <c:crosses val="autoZero"/>
        <c:auto val="1"/>
        <c:lblAlgn val="ctr"/>
        <c:lblOffset val="100"/>
        <c:noMultiLvlLbl val="0"/>
      </c:catAx>
      <c:valAx>
        <c:axId val="1156457423"/>
        <c:scaling>
          <c:orientation val="minMax"/>
          <c:min val="300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1156465743"/>
        <c:crosses val="autoZero"/>
        <c:crossBetween val="between"/>
      </c:valAx>
      <c:spPr>
        <a:noFill/>
        <a:ln>
          <a:noFill/>
        </a:ln>
        <a:effectLst/>
      </c:spPr>
    </c:plotArea>
    <c:legend>
      <c:legendPos val="b"/>
      <c:layout>
        <c:manualLayout>
          <c:xMode val="edge"/>
          <c:yMode val="edge"/>
          <c:x val="0.11479877515310587"/>
          <c:y val="0.91761988574957543"/>
          <c:w val="0.77966170895304754"/>
          <c:h val="6.353566186933933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4564377369495481E-2"/>
          <c:y val="7.7958894401133946E-2"/>
          <c:w val="0.85450969670457855"/>
          <c:h val="0.79884765491270116"/>
        </c:manualLayout>
      </c:layout>
      <c:barChart>
        <c:barDir val="col"/>
        <c:grouping val="clustered"/>
        <c:varyColors val="0"/>
        <c:ser>
          <c:idx val="0"/>
          <c:order val="0"/>
          <c:tx>
            <c:strRef>
              <c:f>Sheet1!$A$9</c:f>
              <c:strCache>
                <c:ptCount val="1"/>
                <c:pt idx="0">
                  <c:v>БДП, пре ревизије</c:v>
                </c:pt>
              </c:strCache>
            </c:strRef>
          </c:tx>
          <c:spPr>
            <a:solidFill>
              <a:schemeClr val="accent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Sheet1!$B$8:$E$8</c:f>
              <c:numCache>
                <c:formatCode>General</c:formatCode>
                <c:ptCount val="4"/>
                <c:pt idx="0">
                  <c:v>2020</c:v>
                </c:pt>
                <c:pt idx="1">
                  <c:v>2021</c:v>
                </c:pt>
                <c:pt idx="2">
                  <c:v>2022</c:v>
                </c:pt>
                <c:pt idx="3">
                  <c:v>2023</c:v>
                </c:pt>
              </c:numCache>
            </c:numRef>
          </c:cat>
          <c:val>
            <c:numRef>
              <c:f>Sheet1!$B$9:$E$9</c:f>
              <c:numCache>
                <c:formatCode>0.0</c:formatCode>
                <c:ptCount val="4"/>
                <c:pt idx="0">
                  <c:v>-0.90321970213580016</c:v>
                </c:pt>
                <c:pt idx="1">
                  <c:v>7.7259489642046475</c:v>
                </c:pt>
                <c:pt idx="2">
                  <c:v>2.5499543957190554</c:v>
                </c:pt>
                <c:pt idx="3">
                  <c:v>2.5277932260499227</c:v>
                </c:pt>
              </c:numCache>
            </c:numRef>
          </c:val>
          <c:extLst>
            <c:ext xmlns:c16="http://schemas.microsoft.com/office/drawing/2014/chart" uri="{C3380CC4-5D6E-409C-BE32-E72D297353CC}">
              <c16:uniqueId val="{00000000-35E9-4E94-96F0-8C7450AE6E50}"/>
            </c:ext>
          </c:extLst>
        </c:ser>
        <c:ser>
          <c:idx val="1"/>
          <c:order val="1"/>
          <c:tx>
            <c:strRef>
              <c:f>Sheet1!$A$10</c:f>
              <c:strCache>
                <c:ptCount val="1"/>
                <c:pt idx="0">
                  <c:v>БДП, после ревизије</c:v>
                </c:pt>
              </c:strCache>
            </c:strRef>
          </c:tx>
          <c:spPr>
            <a:solidFill>
              <a:srgbClr val="FF0000"/>
            </a:solidFill>
            <a:ln>
              <a:solidFill>
                <a:srgbClr val="FF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Sheet1!$B$8:$E$8</c:f>
              <c:numCache>
                <c:formatCode>General</c:formatCode>
                <c:ptCount val="4"/>
                <c:pt idx="0">
                  <c:v>2020</c:v>
                </c:pt>
                <c:pt idx="1">
                  <c:v>2021</c:v>
                </c:pt>
                <c:pt idx="2">
                  <c:v>2022</c:v>
                </c:pt>
                <c:pt idx="3">
                  <c:v>2023</c:v>
                </c:pt>
              </c:numCache>
            </c:numRef>
          </c:cat>
          <c:val>
            <c:numRef>
              <c:f>Sheet1!$B$10:$E$10</c:f>
              <c:numCache>
                <c:formatCode>0.0</c:formatCode>
                <c:ptCount val="4"/>
                <c:pt idx="0">
                  <c:v>-0.95002358986207014</c:v>
                </c:pt>
                <c:pt idx="1">
                  <c:v>7.9490568037111018</c:v>
                </c:pt>
                <c:pt idx="2">
                  <c:v>2.6309864215221368</c:v>
                </c:pt>
                <c:pt idx="3">
                  <c:v>3.8474719538126263</c:v>
                </c:pt>
              </c:numCache>
            </c:numRef>
          </c:val>
          <c:extLst>
            <c:ext xmlns:c16="http://schemas.microsoft.com/office/drawing/2014/chart" uri="{C3380CC4-5D6E-409C-BE32-E72D297353CC}">
              <c16:uniqueId val="{00000001-35E9-4E94-96F0-8C7450AE6E50}"/>
            </c:ext>
          </c:extLst>
        </c:ser>
        <c:dLbls>
          <c:showLegendKey val="0"/>
          <c:showVal val="0"/>
          <c:showCatName val="0"/>
          <c:showSerName val="0"/>
          <c:showPercent val="0"/>
          <c:showBubbleSize val="0"/>
        </c:dLbls>
        <c:gapWidth val="219"/>
        <c:overlap val="-27"/>
        <c:axId val="1156470319"/>
        <c:axId val="1156455343"/>
      </c:barChart>
      <c:catAx>
        <c:axId val="115647031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1156455343"/>
        <c:crosses val="autoZero"/>
        <c:auto val="1"/>
        <c:lblAlgn val="ctr"/>
        <c:lblOffset val="100"/>
        <c:noMultiLvlLbl val="0"/>
      </c:catAx>
      <c:valAx>
        <c:axId val="1156455343"/>
        <c:scaling>
          <c:orientation val="minMax"/>
          <c:max val="8"/>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1156470319"/>
        <c:crosses val="autoZero"/>
        <c:crossBetween val="between"/>
      </c:valAx>
      <c:spPr>
        <a:noFill/>
        <a:ln>
          <a:noFill/>
        </a:ln>
        <a:effectLst/>
      </c:spPr>
    </c:plotArea>
    <c:legend>
      <c:legendPos val="b"/>
      <c:layout>
        <c:manualLayout>
          <c:xMode val="edge"/>
          <c:yMode val="edge"/>
          <c:x val="0.11016914552347623"/>
          <c:y val="0.8855022252653203"/>
          <c:w val="0.77966170895304754"/>
          <c:h val="0.1067573675898592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6834989589248528"/>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BDP_doprinosi!$AF$34:$AL$34</c:f>
              <c:numCache>
                <c:formatCode>0.0</c:formatCode>
                <c:ptCount val="4"/>
                <c:pt idx="0">
                  <c:v>-0.12332786204156268</c:v>
                </c:pt>
                <c:pt idx="1">
                  <c:v>-0.3905003996335783</c:v>
                </c:pt>
                <c:pt idx="2">
                  <c:v>0.39724555358175428</c:v>
                </c:pt>
                <c:pt idx="3">
                  <c:v>5.0151276973439379E-2</c:v>
                </c:pt>
              </c:numCache>
              <c:extLst/>
            </c:numRef>
          </c:val>
          <c:extLst>
            <c:ext xmlns:c16="http://schemas.microsoft.com/office/drawing/2014/chart" uri="{C3380CC4-5D6E-409C-BE32-E72D297353CC}">
              <c16:uniqueId val="{00000000-4DC4-40C3-89D1-453FF19198DA}"/>
            </c:ext>
          </c:extLst>
        </c:ser>
        <c:ser>
          <c:idx val="1"/>
          <c:order val="1"/>
          <c:tx>
            <c:strRef>
              <c:f>BDP_doprinosi!$R$35</c:f>
              <c:strCache>
                <c:ptCount val="1"/>
                <c:pt idx="0">
                  <c:v>Индустрија</c:v>
                </c:pt>
              </c:strCache>
            </c:strRef>
          </c:tx>
          <c:spPr>
            <a:solidFill>
              <a:srgbClr val="29489A"/>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BDP_doprinosi!$AF$35:$AL$35</c:f>
              <c:numCache>
                <c:formatCode>0.0</c:formatCode>
                <c:ptCount val="4"/>
                <c:pt idx="0">
                  <c:v>1.2218163879079065</c:v>
                </c:pt>
                <c:pt idx="1">
                  <c:v>0.81446630973366285</c:v>
                </c:pt>
                <c:pt idx="2">
                  <c:v>0.42758436892858137</c:v>
                </c:pt>
                <c:pt idx="3">
                  <c:v>0.49122893044036031</c:v>
                </c:pt>
              </c:numCache>
              <c:extLst/>
            </c:numRef>
          </c:val>
          <c:extLst>
            <c:ext xmlns:c16="http://schemas.microsoft.com/office/drawing/2014/chart" uri="{C3380CC4-5D6E-409C-BE32-E72D297353CC}">
              <c16:uniqueId val="{00000001-4DC4-40C3-89D1-453FF19198DA}"/>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BDP_doprinosi!$AF$36:$AL$36</c:f>
              <c:numCache>
                <c:formatCode>0.0</c:formatCode>
                <c:ptCount val="4"/>
                <c:pt idx="0">
                  <c:v>0.8785132427906609</c:v>
                </c:pt>
                <c:pt idx="1">
                  <c:v>-0.51995400260096358</c:v>
                </c:pt>
                <c:pt idx="2">
                  <c:v>0.50184602353374486</c:v>
                </c:pt>
                <c:pt idx="3">
                  <c:v>0.52938811374067396</c:v>
                </c:pt>
              </c:numCache>
              <c:extLst/>
            </c:numRef>
          </c:val>
          <c:extLst>
            <c:ext xmlns:c16="http://schemas.microsoft.com/office/drawing/2014/chart" uri="{C3380CC4-5D6E-409C-BE32-E72D297353CC}">
              <c16:uniqueId val="{00000002-4DC4-40C3-89D1-453FF19198DA}"/>
            </c:ext>
          </c:extLst>
        </c:ser>
        <c:ser>
          <c:idx val="3"/>
          <c:order val="3"/>
          <c:tx>
            <c:strRef>
              <c:f>BDP_doprinosi!$R$37</c:f>
              <c:strCache>
                <c:ptCount val="1"/>
                <c:pt idx="0">
                  <c:v>Услуге</c:v>
                </c:pt>
              </c:strCache>
            </c:strRef>
          </c:tx>
          <c:spPr>
            <a:solidFill>
              <a:srgbClr val="51BBE7"/>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BDP_doprinosi!$AF$37:$AL$37</c:f>
              <c:numCache>
                <c:formatCode>0.0</c:formatCode>
                <c:ptCount val="4"/>
                <c:pt idx="0">
                  <c:v>4.6475232521804202</c:v>
                </c:pt>
                <c:pt idx="1">
                  <c:v>2.2070509475026205</c:v>
                </c:pt>
                <c:pt idx="2">
                  <c:v>2.7753935944784551</c:v>
                </c:pt>
                <c:pt idx="3">
                  <c:v>2.5716367621524419</c:v>
                </c:pt>
              </c:numCache>
              <c:extLst/>
            </c:numRef>
          </c:val>
          <c:extLst>
            <c:ext xmlns:c16="http://schemas.microsoft.com/office/drawing/2014/chart" uri="{C3380CC4-5D6E-409C-BE32-E72D297353CC}">
              <c16:uniqueId val="{00000003-4DC4-40C3-89D1-453FF19198DA}"/>
            </c:ext>
          </c:extLst>
        </c:ser>
        <c:ser>
          <c:idx val="4"/>
          <c:order val="4"/>
          <c:tx>
            <c:strRef>
              <c:f>BDP_doprinosi!$R$38</c:f>
              <c:strCache>
                <c:ptCount val="1"/>
                <c:pt idx="0">
                  <c:v>Нето порези</c:v>
                </c:pt>
              </c:strCache>
            </c:strRef>
          </c:tx>
          <c:spPr>
            <a:solidFill>
              <a:srgbClr val="9ED1E6"/>
            </a:solidFill>
            <a:ln>
              <a:noFill/>
            </a:ln>
            <a:effectLst/>
          </c:spPr>
          <c:invertIfNegative val="0"/>
          <c:cat>
            <c:strRef>
              <c:f>BDP_doprinosi!$AF$33:$AL$33</c:f>
              <c:strCache>
                <c:ptCount val="4"/>
                <c:pt idx="0">
                  <c:v>2021</c:v>
                </c:pt>
                <c:pt idx="1">
                  <c:v>2022</c:v>
                </c:pt>
                <c:pt idx="2">
                  <c:v>2023</c:v>
                </c:pt>
                <c:pt idx="3">
                  <c:v>П1 2024</c:v>
                </c:pt>
              </c:strCache>
              <c:extLst/>
            </c:strRef>
          </c:cat>
          <c:val>
            <c:numRef>
              <c:f>BDP_doprinosi!$AF$38:$AL$38</c:f>
              <c:numCache>
                <c:formatCode>0.0</c:formatCode>
                <c:ptCount val="4"/>
                <c:pt idx="0">
                  <c:v>1.3245271512478285</c:v>
                </c:pt>
                <c:pt idx="1">
                  <c:v>0.51992206841094535</c:v>
                </c:pt>
                <c:pt idx="2">
                  <c:v>-0.25460123616495017</c:v>
                </c:pt>
                <c:pt idx="3">
                  <c:v>0.63604428487059106</c:v>
                </c:pt>
              </c:numCache>
              <c:extLst/>
            </c:numRef>
          </c:val>
          <c:extLst>
            <c:ext xmlns:c16="http://schemas.microsoft.com/office/drawing/2014/chart" uri="{C3380CC4-5D6E-409C-BE32-E72D297353CC}">
              <c16:uniqueId val="{00000004-4DC4-40C3-89D1-453FF19198DA}"/>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BDP_doprinosi!$AF$33:$AL$33</c:f>
              <c:strCache>
                <c:ptCount val="4"/>
                <c:pt idx="0">
                  <c:v>2021</c:v>
                </c:pt>
                <c:pt idx="1">
                  <c:v>2022</c:v>
                </c:pt>
                <c:pt idx="2">
                  <c:v>2023</c:v>
                </c:pt>
                <c:pt idx="3">
                  <c:v>П1 2024</c:v>
                </c:pt>
              </c:strCache>
              <c:extLst/>
            </c:strRef>
          </c:cat>
          <c:val>
            <c:numRef>
              <c:f>BDP_doprinosi!$AF$39:$AL$39</c:f>
              <c:numCache>
                <c:formatCode>0.0</c:formatCode>
                <c:ptCount val="4"/>
                <c:pt idx="0">
                  <c:v>7.9490556418090472</c:v>
                </c:pt>
                <c:pt idx="1">
                  <c:v>2.6309864440884008</c:v>
                </c:pt>
                <c:pt idx="2">
                  <c:v>3.8474723264728401</c:v>
                </c:pt>
                <c:pt idx="3">
                  <c:v>4.2784493681774869</c:v>
                </c:pt>
              </c:numCache>
              <c:extLst/>
            </c:numRef>
          </c:val>
          <c:smooth val="0"/>
          <c:extLst>
            <c:ext xmlns:c16="http://schemas.microsoft.com/office/drawing/2014/chart" uri="{C3380CC4-5D6E-409C-BE32-E72D297353CC}">
              <c16:uniqueId val="{00000005-4DC4-40C3-89D1-453FF19198DA}"/>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100"/>
        <c:noMultiLvlLbl val="0"/>
      </c:catAx>
      <c:valAx>
        <c:axId val="1768858336"/>
        <c:scaling>
          <c:orientation val="minMax"/>
          <c:max val="9"/>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2.9349664625255175E-2"/>
          <c:y val="0.84945769449176611"/>
          <c:w val="0.93586103820355804"/>
          <c:h val="0.147572875260268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BDP_doprinosi!$R$8</c:f>
              <c:strCache>
                <c:ptCount val="1"/>
                <c:pt idx="0">
                  <c:v>Приватна потрошња</c:v>
                </c:pt>
              </c:strCache>
            </c:strRef>
          </c:tx>
          <c:spPr>
            <a:solidFill>
              <a:srgbClr val="10103C"/>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BDP_doprinosi!$AE$8:$AL$8</c:f>
              <c:numCache>
                <c:formatCode>0.0</c:formatCode>
                <c:ptCount val="4"/>
                <c:pt idx="0">
                  <c:v>4.9855144939129037</c:v>
                </c:pt>
                <c:pt idx="1">
                  <c:v>2.2066920500920113</c:v>
                </c:pt>
                <c:pt idx="2">
                  <c:v>0.33183102897687944</c:v>
                </c:pt>
                <c:pt idx="3">
                  <c:v>3.0920167813972759</c:v>
                </c:pt>
              </c:numCache>
              <c:extLst/>
            </c:numRef>
          </c:val>
          <c:extLst>
            <c:ext xmlns:c16="http://schemas.microsoft.com/office/drawing/2014/chart" uri="{C3380CC4-5D6E-409C-BE32-E72D297353CC}">
              <c16:uniqueId val="{00000000-E041-4655-8B8A-594EF5A5E981}"/>
            </c:ext>
          </c:extLst>
        </c:ser>
        <c:ser>
          <c:idx val="3"/>
          <c:order val="1"/>
          <c:tx>
            <c:strRef>
              <c:f>BDP_doprinosi!$R$9</c:f>
              <c:strCache>
                <c:ptCount val="1"/>
                <c:pt idx="0">
                  <c:v>Државна потрошња</c:v>
                </c:pt>
              </c:strCache>
            </c:strRef>
          </c:tx>
          <c:spPr>
            <a:solidFill>
              <a:srgbClr val="29489A"/>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BDP_doprinosi!$AE$9:$AL$9</c:f>
              <c:numCache>
                <c:formatCode>0.0</c:formatCode>
                <c:ptCount val="4"/>
                <c:pt idx="0">
                  <c:v>0.80633949006526828</c:v>
                </c:pt>
                <c:pt idx="1">
                  <c:v>0.24535717484312647</c:v>
                </c:pt>
                <c:pt idx="2">
                  <c:v>-0.44215128061637587</c:v>
                </c:pt>
                <c:pt idx="3">
                  <c:v>0.63957836496577025</c:v>
                </c:pt>
              </c:numCache>
              <c:extLst/>
            </c:numRef>
          </c:val>
          <c:extLst>
            <c:ext xmlns:c16="http://schemas.microsoft.com/office/drawing/2014/chart" uri="{C3380CC4-5D6E-409C-BE32-E72D297353CC}">
              <c16:uniqueId val="{00000001-E041-4655-8B8A-594EF5A5E981}"/>
            </c:ext>
          </c:extLst>
        </c:ser>
        <c:ser>
          <c:idx val="1"/>
          <c:order val="2"/>
          <c:tx>
            <c:strRef>
              <c:f>BDP_doprinosi!$R$10</c:f>
              <c:strCache>
                <c:ptCount val="1"/>
                <c:pt idx="0">
                  <c:v>Инвестиције</c:v>
                </c:pt>
              </c:strCache>
            </c:strRef>
          </c:tx>
          <c:spPr>
            <a:solidFill>
              <a:srgbClr val="2183C4"/>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BDP_doprinosi!$AE$10:$AL$10</c:f>
              <c:numCache>
                <c:formatCode>0.0</c:formatCode>
                <c:ptCount val="4"/>
                <c:pt idx="0">
                  <c:v>3.1469786984236165</c:v>
                </c:pt>
                <c:pt idx="1">
                  <c:v>0.5017158770996798</c:v>
                </c:pt>
                <c:pt idx="2">
                  <c:v>2.3213659464193923</c:v>
                </c:pt>
                <c:pt idx="3">
                  <c:v>1.8159644570321278</c:v>
                </c:pt>
              </c:numCache>
              <c:extLst/>
            </c:numRef>
          </c:val>
          <c:extLst>
            <c:ext xmlns:c16="http://schemas.microsoft.com/office/drawing/2014/chart" uri="{C3380CC4-5D6E-409C-BE32-E72D297353CC}">
              <c16:uniqueId val="{00000002-E041-4655-8B8A-594EF5A5E981}"/>
            </c:ext>
          </c:extLst>
        </c:ser>
        <c:ser>
          <c:idx val="0"/>
          <c:order val="3"/>
          <c:tx>
            <c:strRef>
              <c:f>BDP_doprinosi!$R$11</c:f>
              <c:strCache>
                <c:ptCount val="1"/>
                <c:pt idx="0">
                  <c:v>Нето извоз</c:v>
                </c:pt>
              </c:strCache>
            </c:strRef>
          </c:tx>
          <c:spPr>
            <a:solidFill>
              <a:srgbClr val="51BBE7"/>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BDP_doprinosi!$AE$11:$AL$11</c:f>
              <c:numCache>
                <c:formatCode>0.0</c:formatCode>
                <c:ptCount val="4"/>
                <c:pt idx="0">
                  <c:v>-0.16502558242154691</c:v>
                </c:pt>
                <c:pt idx="1">
                  <c:v>-0.77659463953919172</c:v>
                </c:pt>
                <c:pt idx="2">
                  <c:v>2.8186404350303107</c:v>
                </c:pt>
                <c:pt idx="3">
                  <c:v>-2.1771716846072104</c:v>
                </c:pt>
              </c:numCache>
              <c:extLst/>
            </c:numRef>
          </c:val>
          <c:extLst>
            <c:ext xmlns:c16="http://schemas.microsoft.com/office/drawing/2014/chart" uri="{C3380CC4-5D6E-409C-BE32-E72D297353CC}">
              <c16:uniqueId val="{00000003-E041-4655-8B8A-594EF5A5E981}"/>
            </c:ext>
          </c:extLst>
        </c:ser>
        <c:ser>
          <c:idx val="4"/>
          <c:order val="4"/>
          <c:tx>
            <c:strRef>
              <c:f>BDP_doprinosi!$R$12</c:f>
              <c:strCache>
                <c:ptCount val="1"/>
                <c:pt idx="0">
                  <c:v>Промена у залихама</c:v>
                </c:pt>
              </c:strCache>
            </c:strRef>
          </c:tx>
          <c:spPr>
            <a:solidFill>
              <a:srgbClr val="9ED1E6"/>
            </a:solidFill>
            <a:ln>
              <a:noFill/>
            </a:ln>
            <a:effectLst/>
          </c:spPr>
          <c:invertIfNegative val="0"/>
          <c:cat>
            <c:strRef>
              <c:f>BDP_doprinosi!$AE$6:$AL$6</c:f>
              <c:strCache>
                <c:ptCount val="4"/>
                <c:pt idx="0">
                  <c:v>2021</c:v>
                </c:pt>
                <c:pt idx="1">
                  <c:v>2022</c:v>
                </c:pt>
                <c:pt idx="2">
                  <c:v>2023</c:v>
                </c:pt>
                <c:pt idx="3">
                  <c:v> П1 2024</c:v>
                </c:pt>
              </c:strCache>
              <c:extLst/>
            </c:strRef>
          </c:cat>
          <c:val>
            <c:numRef>
              <c:f>BDP_doprinosi!$AE$12:$AL$12</c:f>
              <c:numCache>
                <c:formatCode>0.0</c:formatCode>
                <c:ptCount val="4"/>
                <c:pt idx="0">
                  <c:v>-0.82475029626915608</c:v>
                </c:pt>
                <c:pt idx="1">
                  <c:v>0.45381595902653044</c:v>
                </c:pt>
                <c:pt idx="2">
                  <c:v>-1.1822141759975731</c:v>
                </c:pt>
                <c:pt idx="3">
                  <c:v>0.90806144938952382</c:v>
                </c:pt>
              </c:numCache>
              <c:extLst/>
            </c:numRef>
          </c:val>
          <c:extLst>
            <c:ext xmlns:c16="http://schemas.microsoft.com/office/drawing/2014/chart" uri="{C3380CC4-5D6E-409C-BE32-E72D297353CC}">
              <c16:uniqueId val="{00000004-E041-4655-8B8A-594EF5A5E981}"/>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dLbl>
              <c:idx val="0"/>
              <c:layout>
                <c:manualLayout>
                  <c:x val="-6.0328887460496028E-2"/>
                  <c:y val="-0.10559452203051178"/>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041-4655-8B8A-594EF5A5E981}"/>
                </c:ext>
              </c:extLst>
            </c:dLbl>
            <c:dLbl>
              <c:idx val="2"/>
              <c:layout>
                <c:manualLayout>
                  <c:x val="-6.032888746049609E-2"/>
                  <c:y val="-0.1296240234467387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041-4655-8B8A-594EF5A5E981}"/>
                </c:ext>
              </c:extLst>
            </c:dLbl>
            <c:dLbl>
              <c:idx val="3"/>
              <c:layout>
                <c:manualLayout>
                  <c:x val="-6.0328887460496174E-2"/>
                  <c:y val="-0.1716756509251358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041-4655-8B8A-594EF5A5E981}"/>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BDP_doprinosi!$AE$6:$AL$6</c:f>
              <c:strCache>
                <c:ptCount val="4"/>
                <c:pt idx="0">
                  <c:v>2021</c:v>
                </c:pt>
                <c:pt idx="1">
                  <c:v>2022</c:v>
                </c:pt>
                <c:pt idx="2">
                  <c:v>2023</c:v>
                </c:pt>
                <c:pt idx="3">
                  <c:v> П1 2024</c:v>
                </c:pt>
              </c:strCache>
              <c:extLst/>
            </c:strRef>
          </c:cat>
          <c:val>
            <c:numRef>
              <c:f>BDP_doprinosi!$AE$13:$AL$13</c:f>
              <c:numCache>
                <c:formatCode>0.0</c:formatCode>
                <c:ptCount val="4"/>
                <c:pt idx="0">
                  <c:v>7.9490568037111009</c:v>
                </c:pt>
                <c:pt idx="1">
                  <c:v>2.6309864215221368</c:v>
                </c:pt>
                <c:pt idx="2">
                  <c:v>3.8474719538126321</c:v>
                </c:pt>
                <c:pt idx="3">
                  <c:v>4.3</c:v>
                </c:pt>
              </c:numCache>
              <c:extLst/>
            </c:numRef>
          </c:val>
          <c:smooth val="0"/>
          <c:extLst>
            <c:ext xmlns:c16="http://schemas.microsoft.com/office/drawing/2014/chart" uri="{C3380CC4-5D6E-409C-BE32-E72D297353CC}">
              <c16:uniqueId val="{00000008-E041-4655-8B8A-594EF5A5E981}"/>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100"/>
        <c:noMultiLvlLbl val="0"/>
      </c:catAx>
      <c:valAx>
        <c:axId val="1768855072"/>
        <c:scaling>
          <c:orientation val="minMax"/>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graf'!$G$7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789050592671942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682-4C76-918C-A50D9BD8F25F}"/>
                </c:ext>
              </c:extLst>
            </c:dLbl>
            <c:dLbl>
              <c:idx val="12"/>
              <c:layout>
                <c:manualLayout>
                  <c:x val="6.68223900225571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682-4C76-918C-A50D9BD8F25F}"/>
                </c:ext>
              </c:extLst>
            </c:dLbl>
            <c:dLbl>
              <c:idx val="24"/>
              <c:layout>
                <c:manualLayout>
                  <c:x val="6.76090194131633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682-4C76-918C-A50D9BD8F25F}"/>
                </c:ext>
              </c:extLst>
            </c:dLbl>
            <c:dLbl>
              <c:idx val="36"/>
              <c:layout>
                <c:manualLayout>
                  <c:x val="-8.848709708323698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682-4C76-918C-A50D9BD8F25F}"/>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graf'!$G$44:$G$87</c:f>
              <c:numCache>
                <c:formatCode>General</c:formatCode>
                <c:ptCount val="44"/>
                <c:pt idx="0">
                  <c:v>80</c:v>
                </c:pt>
                <c:pt idx="12">
                  <c:v>80</c:v>
                </c:pt>
                <c:pt idx="24">
                  <c:v>80</c:v>
                </c:pt>
                <c:pt idx="36">
                  <c:v>80</c:v>
                </c:pt>
              </c:numCache>
            </c:numRef>
          </c:val>
          <c:smooth val="0"/>
          <c:extLst>
            <c:ext xmlns:c16="http://schemas.microsoft.com/office/drawing/2014/chart" uri="{C3380CC4-5D6E-409C-BE32-E72D297353CC}">
              <c16:uniqueId val="{00000004-2682-4C76-918C-A50D9BD8F25F}"/>
            </c:ext>
          </c:extLst>
        </c:ser>
        <c:ser>
          <c:idx val="4"/>
          <c:order val="1"/>
          <c:tx>
            <c:strRef>
              <c:f>'Prerađivačka_FS graf'!$H$7</c:f>
              <c:strCache>
                <c:ptCount val="1"/>
                <c:pt idx="0">
                  <c:v>Series5</c:v>
                </c:pt>
              </c:strCache>
            </c:strRef>
          </c:tx>
          <c:spPr>
            <a:ln w="25400" cap="rnd">
              <a:noFill/>
              <a:round/>
            </a:ln>
            <a:effectLst/>
          </c:spPr>
          <c:marker>
            <c:symbol val="none"/>
          </c:marker>
          <c:dLbls>
            <c:dLbl>
              <c:idx val="0"/>
              <c:tx>
                <c:rich>
                  <a:bodyPr/>
                  <a:lstStyle/>
                  <a:p>
                    <a:fld id="{1180DA80-F057-4DEF-98D8-9B407282151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2682-4C76-918C-A50D9BD8F25F}"/>
                </c:ext>
              </c:extLst>
            </c:dLbl>
            <c:dLbl>
              <c:idx val="1"/>
              <c:tx>
                <c:rich>
                  <a:bodyPr/>
                  <a:lstStyle/>
                  <a:p>
                    <a:fld id="{2BB1C98F-C5EA-4B46-804B-75AB0B6E868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2682-4C76-918C-A50D9BD8F25F}"/>
                </c:ext>
              </c:extLst>
            </c:dLbl>
            <c:dLbl>
              <c:idx val="2"/>
              <c:tx>
                <c:rich>
                  <a:bodyPr/>
                  <a:lstStyle/>
                  <a:p>
                    <a:fld id="{DA837B94-2035-4F32-8E5E-BB3FAACCED1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2682-4C76-918C-A50D9BD8F25F}"/>
                </c:ext>
              </c:extLst>
            </c:dLbl>
            <c:dLbl>
              <c:idx val="3"/>
              <c:tx>
                <c:rich>
                  <a:bodyPr/>
                  <a:lstStyle/>
                  <a:p>
                    <a:fld id="{195CCE9E-6EA9-41F6-82C2-18674D564EE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682-4C76-918C-A50D9BD8F25F}"/>
                </c:ext>
              </c:extLst>
            </c:dLbl>
            <c:dLbl>
              <c:idx val="4"/>
              <c:tx>
                <c:rich>
                  <a:bodyPr/>
                  <a:lstStyle/>
                  <a:p>
                    <a:fld id="{7B0C6E15-D849-43D3-978A-7C3AB7B69D0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2682-4C76-918C-A50D9BD8F25F}"/>
                </c:ext>
              </c:extLst>
            </c:dLbl>
            <c:dLbl>
              <c:idx val="5"/>
              <c:tx>
                <c:rich>
                  <a:bodyPr/>
                  <a:lstStyle/>
                  <a:p>
                    <a:fld id="{A1270B82-1011-406D-930E-29ADE0BD3D2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2682-4C76-918C-A50D9BD8F25F}"/>
                </c:ext>
              </c:extLst>
            </c:dLbl>
            <c:dLbl>
              <c:idx val="6"/>
              <c:tx>
                <c:rich>
                  <a:bodyPr/>
                  <a:lstStyle/>
                  <a:p>
                    <a:fld id="{E24C8EBE-7D82-43EB-B076-6A01FFBBE36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682-4C76-918C-A50D9BD8F25F}"/>
                </c:ext>
              </c:extLst>
            </c:dLbl>
            <c:dLbl>
              <c:idx val="7"/>
              <c:tx>
                <c:rich>
                  <a:bodyPr/>
                  <a:lstStyle/>
                  <a:p>
                    <a:fld id="{EC6899F0-02D8-479E-9A48-1B868A7FC33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2682-4C76-918C-A50D9BD8F25F}"/>
                </c:ext>
              </c:extLst>
            </c:dLbl>
            <c:dLbl>
              <c:idx val="8"/>
              <c:tx>
                <c:rich>
                  <a:bodyPr/>
                  <a:lstStyle/>
                  <a:p>
                    <a:fld id="{F1F6EA9A-EB01-4F04-A0A3-E218AC36D7C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2682-4C76-918C-A50D9BD8F25F}"/>
                </c:ext>
              </c:extLst>
            </c:dLbl>
            <c:dLbl>
              <c:idx val="9"/>
              <c:tx>
                <c:rich>
                  <a:bodyPr/>
                  <a:lstStyle/>
                  <a:p>
                    <a:fld id="{B3ECAB98-C788-4E28-B521-F5C77BA2A08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682-4C76-918C-A50D9BD8F25F}"/>
                </c:ext>
              </c:extLst>
            </c:dLbl>
            <c:dLbl>
              <c:idx val="10"/>
              <c:tx>
                <c:rich>
                  <a:bodyPr/>
                  <a:lstStyle/>
                  <a:p>
                    <a:fld id="{2040F146-A38B-47C0-BA99-C7F2B52364B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2682-4C76-918C-A50D9BD8F25F}"/>
                </c:ext>
              </c:extLst>
            </c:dLbl>
            <c:dLbl>
              <c:idx val="11"/>
              <c:tx>
                <c:rich>
                  <a:bodyPr/>
                  <a:lstStyle/>
                  <a:p>
                    <a:fld id="{76C6CB64-B3B5-40E1-892C-C7841105EEB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2682-4C76-918C-A50D9BD8F25F}"/>
                </c:ext>
              </c:extLst>
            </c:dLbl>
            <c:dLbl>
              <c:idx val="12"/>
              <c:tx>
                <c:rich>
                  <a:bodyPr/>
                  <a:lstStyle/>
                  <a:p>
                    <a:fld id="{E215834F-1B3A-481D-B7C8-935C9F80C93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2682-4C76-918C-A50D9BD8F25F}"/>
                </c:ext>
              </c:extLst>
            </c:dLbl>
            <c:dLbl>
              <c:idx val="13"/>
              <c:tx>
                <c:rich>
                  <a:bodyPr/>
                  <a:lstStyle/>
                  <a:p>
                    <a:fld id="{E63332FA-8FD9-4B71-8F89-8901BAD3310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2682-4C76-918C-A50D9BD8F25F}"/>
                </c:ext>
              </c:extLst>
            </c:dLbl>
            <c:dLbl>
              <c:idx val="14"/>
              <c:tx>
                <c:rich>
                  <a:bodyPr/>
                  <a:lstStyle/>
                  <a:p>
                    <a:fld id="{7CB9EAFF-7D6B-45E7-A63E-297C7631F93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2682-4C76-918C-A50D9BD8F25F}"/>
                </c:ext>
              </c:extLst>
            </c:dLbl>
            <c:dLbl>
              <c:idx val="15"/>
              <c:tx>
                <c:rich>
                  <a:bodyPr/>
                  <a:lstStyle/>
                  <a:p>
                    <a:fld id="{17C61A2F-E665-4510-A244-3C6B65E2688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2682-4C76-918C-A50D9BD8F25F}"/>
                </c:ext>
              </c:extLst>
            </c:dLbl>
            <c:dLbl>
              <c:idx val="16"/>
              <c:tx>
                <c:rich>
                  <a:bodyPr/>
                  <a:lstStyle/>
                  <a:p>
                    <a:fld id="{DAC87133-FC99-4ABD-BE16-441ECC6C27D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2682-4C76-918C-A50D9BD8F25F}"/>
                </c:ext>
              </c:extLst>
            </c:dLbl>
            <c:dLbl>
              <c:idx val="17"/>
              <c:tx>
                <c:rich>
                  <a:bodyPr/>
                  <a:lstStyle/>
                  <a:p>
                    <a:fld id="{1F5B3C8C-3F07-4EF5-BD94-9AD58F17DB7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2682-4C76-918C-A50D9BD8F25F}"/>
                </c:ext>
              </c:extLst>
            </c:dLbl>
            <c:dLbl>
              <c:idx val="18"/>
              <c:tx>
                <c:rich>
                  <a:bodyPr/>
                  <a:lstStyle/>
                  <a:p>
                    <a:fld id="{98D0A9EF-A5ED-46DB-924F-0644793D314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2682-4C76-918C-A50D9BD8F25F}"/>
                </c:ext>
              </c:extLst>
            </c:dLbl>
            <c:dLbl>
              <c:idx val="19"/>
              <c:tx>
                <c:rich>
                  <a:bodyPr/>
                  <a:lstStyle/>
                  <a:p>
                    <a:fld id="{79745736-0841-4AB7-8BE9-875D004909A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2682-4C76-918C-A50D9BD8F25F}"/>
                </c:ext>
              </c:extLst>
            </c:dLbl>
            <c:dLbl>
              <c:idx val="20"/>
              <c:tx>
                <c:rich>
                  <a:bodyPr/>
                  <a:lstStyle/>
                  <a:p>
                    <a:fld id="{2323DD41-14FB-4B28-81AE-155FB3B659B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2682-4C76-918C-A50D9BD8F25F}"/>
                </c:ext>
              </c:extLst>
            </c:dLbl>
            <c:dLbl>
              <c:idx val="21"/>
              <c:tx>
                <c:rich>
                  <a:bodyPr/>
                  <a:lstStyle/>
                  <a:p>
                    <a:fld id="{91A74F4F-4174-4EB5-AB04-917FFC96240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2682-4C76-918C-A50D9BD8F25F}"/>
                </c:ext>
              </c:extLst>
            </c:dLbl>
            <c:dLbl>
              <c:idx val="22"/>
              <c:tx>
                <c:rich>
                  <a:bodyPr/>
                  <a:lstStyle/>
                  <a:p>
                    <a:fld id="{032A1D12-36FF-4387-AB12-096627D043F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2682-4C76-918C-A50D9BD8F25F}"/>
                </c:ext>
              </c:extLst>
            </c:dLbl>
            <c:dLbl>
              <c:idx val="23"/>
              <c:tx>
                <c:rich>
                  <a:bodyPr/>
                  <a:lstStyle/>
                  <a:p>
                    <a:fld id="{C50530CC-4413-4851-A5A4-4928B6E9516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2682-4C76-918C-A50D9BD8F25F}"/>
                </c:ext>
              </c:extLst>
            </c:dLbl>
            <c:dLbl>
              <c:idx val="24"/>
              <c:tx>
                <c:rich>
                  <a:bodyPr/>
                  <a:lstStyle/>
                  <a:p>
                    <a:fld id="{B1E3FF9D-7D2E-4540-8CE2-2EE26A83633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2682-4C76-918C-A50D9BD8F25F}"/>
                </c:ext>
              </c:extLst>
            </c:dLbl>
            <c:dLbl>
              <c:idx val="25"/>
              <c:tx>
                <c:rich>
                  <a:bodyPr/>
                  <a:lstStyle/>
                  <a:p>
                    <a:fld id="{08195EAB-1895-4105-8300-75CE9AF8240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2682-4C76-918C-A50D9BD8F25F}"/>
                </c:ext>
              </c:extLst>
            </c:dLbl>
            <c:dLbl>
              <c:idx val="26"/>
              <c:tx>
                <c:rich>
                  <a:bodyPr/>
                  <a:lstStyle/>
                  <a:p>
                    <a:fld id="{AD0BFA4C-F736-416C-B1B9-8E3A5C081F2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2682-4C76-918C-A50D9BD8F25F}"/>
                </c:ext>
              </c:extLst>
            </c:dLbl>
            <c:dLbl>
              <c:idx val="27"/>
              <c:tx>
                <c:rich>
                  <a:bodyPr/>
                  <a:lstStyle/>
                  <a:p>
                    <a:fld id="{7FE70600-120C-4120-B2EA-42D51FD0C46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2682-4C76-918C-A50D9BD8F25F}"/>
                </c:ext>
              </c:extLst>
            </c:dLbl>
            <c:dLbl>
              <c:idx val="28"/>
              <c:tx>
                <c:rich>
                  <a:bodyPr/>
                  <a:lstStyle/>
                  <a:p>
                    <a:fld id="{46E7711F-15A7-4156-B4F0-660BBEA8EBF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2682-4C76-918C-A50D9BD8F25F}"/>
                </c:ext>
              </c:extLst>
            </c:dLbl>
            <c:dLbl>
              <c:idx val="29"/>
              <c:tx>
                <c:rich>
                  <a:bodyPr/>
                  <a:lstStyle/>
                  <a:p>
                    <a:fld id="{43A7A68A-BA1E-4DFA-8C48-8FB2E422EEF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2682-4C76-918C-A50D9BD8F25F}"/>
                </c:ext>
              </c:extLst>
            </c:dLbl>
            <c:dLbl>
              <c:idx val="30"/>
              <c:tx>
                <c:rich>
                  <a:bodyPr/>
                  <a:lstStyle/>
                  <a:p>
                    <a:fld id="{AE01847B-5758-4333-BE10-DA4FB0850BB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2682-4C76-918C-A50D9BD8F25F}"/>
                </c:ext>
              </c:extLst>
            </c:dLbl>
            <c:dLbl>
              <c:idx val="31"/>
              <c:tx>
                <c:rich>
                  <a:bodyPr/>
                  <a:lstStyle/>
                  <a:p>
                    <a:fld id="{40A78EEB-8450-4359-BC13-D612E5EB2DA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2682-4C76-918C-A50D9BD8F25F}"/>
                </c:ext>
              </c:extLst>
            </c:dLbl>
            <c:dLbl>
              <c:idx val="32"/>
              <c:tx>
                <c:rich>
                  <a:bodyPr/>
                  <a:lstStyle/>
                  <a:p>
                    <a:fld id="{391D9F05-D3CC-4B82-AD4C-605C2434889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2682-4C76-918C-A50D9BD8F25F}"/>
                </c:ext>
              </c:extLst>
            </c:dLbl>
            <c:dLbl>
              <c:idx val="33"/>
              <c:tx>
                <c:rich>
                  <a:bodyPr/>
                  <a:lstStyle/>
                  <a:p>
                    <a:fld id="{23A70DF4-3B36-411B-A6D5-F8B90AE1014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2682-4C76-918C-A50D9BD8F25F}"/>
                </c:ext>
              </c:extLst>
            </c:dLbl>
            <c:dLbl>
              <c:idx val="34"/>
              <c:tx>
                <c:rich>
                  <a:bodyPr/>
                  <a:lstStyle/>
                  <a:p>
                    <a:fld id="{658663F2-FC4D-4512-8DF5-FFC2495FCB1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2682-4C76-918C-A50D9BD8F25F}"/>
                </c:ext>
              </c:extLst>
            </c:dLbl>
            <c:dLbl>
              <c:idx val="35"/>
              <c:tx>
                <c:rich>
                  <a:bodyPr/>
                  <a:lstStyle/>
                  <a:p>
                    <a:fld id="{F4C26FBA-7008-45AA-B06E-C213F8ED792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2682-4C76-918C-A50D9BD8F25F}"/>
                </c:ext>
              </c:extLst>
            </c:dLbl>
            <c:dLbl>
              <c:idx val="36"/>
              <c:tx>
                <c:rich>
                  <a:bodyPr/>
                  <a:lstStyle/>
                  <a:p>
                    <a:fld id="{3420ED6B-923E-4E1F-A15C-F755E990D4E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2682-4C76-918C-A50D9BD8F25F}"/>
                </c:ext>
              </c:extLst>
            </c:dLbl>
            <c:dLbl>
              <c:idx val="37"/>
              <c:tx>
                <c:rich>
                  <a:bodyPr/>
                  <a:lstStyle/>
                  <a:p>
                    <a:fld id="{A185BE07-34F7-485E-AE31-7085AB0DAA7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2682-4C76-918C-A50D9BD8F25F}"/>
                </c:ext>
              </c:extLst>
            </c:dLbl>
            <c:dLbl>
              <c:idx val="38"/>
              <c:tx>
                <c:rich>
                  <a:bodyPr/>
                  <a:lstStyle/>
                  <a:p>
                    <a:fld id="{91A1BFF2-1204-404A-A7CE-017C7B85374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2682-4C76-918C-A50D9BD8F25F}"/>
                </c:ext>
              </c:extLst>
            </c:dLbl>
            <c:dLbl>
              <c:idx val="39"/>
              <c:tx>
                <c:rich>
                  <a:bodyPr/>
                  <a:lstStyle/>
                  <a:p>
                    <a:fld id="{2A3FEE06-3BC5-491A-B1E5-B788E4FB9D9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2682-4C76-918C-A50D9BD8F25F}"/>
                </c:ext>
              </c:extLst>
            </c:dLbl>
            <c:dLbl>
              <c:idx val="40"/>
              <c:tx>
                <c:rich>
                  <a:bodyPr/>
                  <a:lstStyle/>
                  <a:p>
                    <a:fld id="{BEEE5234-A190-4319-AD93-E2130941B23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2682-4C76-918C-A50D9BD8F25F}"/>
                </c:ext>
              </c:extLst>
            </c:dLbl>
            <c:dLbl>
              <c:idx val="41"/>
              <c:tx>
                <c:rich>
                  <a:bodyPr/>
                  <a:lstStyle/>
                  <a:p>
                    <a:fld id="{BA0B2C2E-2CAD-4708-BE5B-4B4BC6FEF5D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2682-4C76-918C-A50D9BD8F25F}"/>
                </c:ext>
              </c:extLst>
            </c:dLbl>
            <c:dLbl>
              <c:idx val="42"/>
              <c:tx>
                <c:rich>
                  <a:bodyPr/>
                  <a:lstStyle/>
                  <a:p>
                    <a:fld id="{014E0C0F-D12A-4076-A634-19FCEAAF99C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2682-4C76-918C-A50D9BD8F25F}"/>
                </c:ext>
              </c:extLst>
            </c:dLbl>
            <c:dLbl>
              <c:idx val="43"/>
              <c:tx>
                <c:rich>
                  <a:bodyPr/>
                  <a:lstStyle/>
                  <a:p>
                    <a:fld id="{C2D29F9B-5B44-4C0C-9160-12963CEAE8C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2682-4C76-918C-A50D9BD8F25F}"/>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graf'!$H$44:$H$87</c:f>
              <c:numCache>
                <c:formatCode>General</c:formatCode>
                <c:ptCount val="44"/>
                <c:pt idx="0">
                  <c:v>80</c:v>
                </c:pt>
                <c:pt idx="1">
                  <c:v>80</c:v>
                </c:pt>
                <c:pt idx="2">
                  <c:v>80</c:v>
                </c:pt>
                <c:pt idx="3">
                  <c:v>80</c:v>
                </c:pt>
                <c:pt idx="4">
                  <c:v>80</c:v>
                </c:pt>
                <c:pt idx="5">
                  <c:v>80</c:v>
                </c:pt>
                <c:pt idx="6">
                  <c:v>80</c:v>
                </c:pt>
                <c:pt idx="7">
                  <c:v>80</c:v>
                </c:pt>
                <c:pt idx="8">
                  <c:v>80</c:v>
                </c:pt>
                <c:pt idx="9">
                  <c:v>80</c:v>
                </c:pt>
                <c:pt idx="10">
                  <c:v>80</c:v>
                </c:pt>
                <c:pt idx="11">
                  <c:v>80</c:v>
                </c:pt>
                <c:pt idx="12">
                  <c:v>80</c:v>
                </c:pt>
                <c:pt idx="13">
                  <c:v>80</c:v>
                </c:pt>
                <c:pt idx="14">
                  <c:v>80</c:v>
                </c:pt>
                <c:pt idx="15">
                  <c:v>80</c:v>
                </c:pt>
                <c:pt idx="16">
                  <c:v>80</c:v>
                </c:pt>
                <c:pt idx="17">
                  <c:v>80</c:v>
                </c:pt>
                <c:pt idx="18">
                  <c:v>80</c:v>
                </c:pt>
                <c:pt idx="19">
                  <c:v>80</c:v>
                </c:pt>
                <c:pt idx="20">
                  <c:v>80</c:v>
                </c:pt>
                <c:pt idx="21">
                  <c:v>80</c:v>
                </c:pt>
                <c:pt idx="22">
                  <c:v>80</c:v>
                </c:pt>
                <c:pt idx="23">
                  <c:v>80</c:v>
                </c:pt>
                <c:pt idx="24">
                  <c:v>80</c:v>
                </c:pt>
                <c:pt idx="25">
                  <c:v>80</c:v>
                </c:pt>
                <c:pt idx="26">
                  <c:v>80</c:v>
                </c:pt>
                <c:pt idx="27">
                  <c:v>80</c:v>
                </c:pt>
                <c:pt idx="28">
                  <c:v>80</c:v>
                </c:pt>
                <c:pt idx="29">
                  <c:v>80</c:v>
                </c:pt>
                <c:pt idx="30">
                  <c:v>80</c:v>
                </c:pt>
                <c:pt idx="31">
                  <c:v>80</c:v>
                </c:pt>
                <c:pt idx="32">
                  <c:v>80</c:v>
                </c:pt>
                <c:pt idx="33">
                  <c:v>80</c:v>
                </c:pt>
                <c:pt idx="34">
                  <c:v>80</c:v>
                </c:pt>
                <c:pt idx="35">
                  <c:v>80</c:v>
                </c:pt>
                <c:pt idx="36">
                  <c:v>80</c:v>
                </c:pt>
                <c:pt idx="37">
                  <c:v>80</c:v>
                </c:pt>
                <c:pt idx="38">
                  <c:v>80</c:v>
                </c:pt>
                <c:pt idx="39">
                  <c:v>80</c:v>
                </c:pt>
                <c:pt idx="40">
                  <c:v>80</c:v>
                </c:pt>
                <c:pt idx="41">
                  <c:v>80</c:v>
                </c:pt>
                <c:pt idx="42">
                  <c:v>80</c:v>
                </c:pt>
                <c:pt idx="43">
                  <c:v>80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2682-4C76-918C-A50D9BD8F25F}"/>
            </c:ext>
          </c:extLst>
        </c:ser>
        <c:ser>
          <c:idx val="0"/>
          <c:order val="2"/>
          <c:tx>
            <c:strRef>
              <c:f>'Prerađivačka_FS graf'!$I$7</c:f>
              <c:strCache>
                <c:ptCount val="1"/>
                <c:pt idx="0">
                  <c:v>y</c:v>
                </c:pt>
              </c:strCache>
            </c:strRef>
          </c:tx>
          <c:spPr>
            <a:ln w="12700" cap="rnd">
              <a:solidFill>
                <a:srgbClr val="7F3F98"/>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graf'!$I$44:$I$87</c:f>
              <c:numCache>
                <c:formatCode>0.0</c:formatCode>
                <c:ptCount val="44"/>
                <c:pt idx="0">
                  <c:v>81.438685002848104</c:v>
                </c:pt>
                <c:pt idx="1">
                  <c:v>90.324680608674441</c:v>
                </c:pt>
                <c:pt idx="2">
                  <c:v>98.820083001057881</c:v>
                </c:pt>
                <c:pt idx="3">
                  <c:v>98.136544877532771</c:v>
                </c:pt>
                <c:pt idx="4">
                  <c:v>94.035316136382136</c:v>
                </c:pt>
                <c:pt idx="5">
                  <c:v>102.14012531532266</c:v>
                </c:pt>
                <c:pt idx="6">
                  <c:v>98.527138090975683</c:v>
                </c:pt>
                <c:pt idx="7">
                  <c:v>92.961184799414127</c:v>
                </c:pt>
                <c:pt idx="8">
                  <c:v>102.04247701196194</c:v>
                </c:pt>
                <c:pt idx="9">
                  <c:v>105.85076084303037</c:v>
                </c:pt>
                <c:pt idx="10">
                  <c:v>104.28838798925869</c:v>
                </c:pt>
                <c:pt idx="11">
                  <c:v>103.31190495565141</c:v>
                </c:pt>
                <c:pt idx="12">
                  <c:v>81.926926519651744</c:v>
                </c:pt>
                <c:pt idx="13">
                  <c:v>92.08235006916756</c:v>
                </c:pt>
                <c:pt idx="14">
                  <c:v>106.92489217999838</c:v>
                </c:pt>
                <c:pt idx="15">
                  <c:v>98.038896574172043</c:v>
                </c:pt>
                <c:pt idx="16">
                  <c:v>104.58133289934088</c:v>
                </c:pt>
                <c:pt idx="17">
                  <c:v>105.46016762958746</c:v>
                </c:pt>
                <c:pt idx="18">
                  <c:v>95.01179916998943</c:v>
                </c:pt>
                <c:pt idx="19">
                  <c:v>94.621205956546532</c:v>
                </c:pt>
                <c:pt idx="20">
                  <c:v>101.65188379851901</c:v>
                </c:pt>
                <c:pt idx="21">
                  <c:v>104.09309138253724</c:v>
                </c:pt>
                <c:pt idx="22">
                  <c:v>103.40955325901216</c:v>
                </c:pt>
                <c:pt idx="23">
                  <c:v>100.67540076491173</c:v>
                </c:pt>
                <c:pt idx="24">
                  <c:v>83.684595980144863</c:v>
                </c:pt>
                <c:pt idx="25">
                  <c:v>90.031735698592257</c:v>
                </c:pt>
                <c:pt idx="26">
                  <c:v>106.14370575311256</c:v>
                </c:pt>
                <c:pt idx="27">
                  <c:v>95.890633900235997</c:v>
                </c:pt>
                <c:pt idx="28">
                  <c:v>103.8977947758158</c:v>
                </c:pt>
                <c:pt idx="29">
                  <c:v>105.06957441614453</c:v>
                </c:pt>
                <c:pt idx="30">
                  <c:v>95.695337293514541</c:v>
                </c:pt>
                <c:pt idx="31">
                  <c:v>97.550655057368402</c:v>
                </c:pt>
                <c:pt idx="32">
                  <c:v>105.26487102286599</c:v>
                </c:pt>
                <c:pt idx="33">
                  <c:v>107.80372691024496</c:v>
                </c:pt>
                <c:pt idx="34">
                  <c:v>105.65546423630892</c:v>
                </c:pt>
                <c:pt idx="35">
                  <c:v>103.31190495565141</c:v>
                </c:pt>
                <c:pt idx="36">
                  <c:v>89.5</c:v>
                </c:pt>
                <c:pt idx="37">
                  <c:v>99.9</c:v>
                </c:pt>
                <c:pt idx="38">
                  <c:v>99.2</c:v>
                </c:pt>
                <c:pt idx="39">
                  <c:v>102.4</c:v>
                </c:pt>
                <c:pt idx="40">
                  <c:v>101.9</c:v>
                </c:pt>
                <c:pt idx="41">
                  <c:v>108.1</c:v>
                </c:pt>
                <c:pt idx="42">
                  <c:v>104.6</c:v>
                </c:pt>
                <c:pt idx="43">
                  <c:v>102.7</c:v>
                </c:pt>
              </c:numCache>
            </c:numRef>
          </c:val>
          <c:smooth val="0"/>
          <c:extLst>
            <c:ext xmlns:c16="http://schemas.microsoft.com/office/drawing/2014/chart" uri="{C3380CC4-5D6E-409C-BE32-E72D297353CC}">
              <c16:uniqueId val="{00000032-2682-4C76-918C-A50D9BD8F25F}"/>
            </c:ext>
          </c:extLst>
        </c:ser>
        <c:ser>
          <c:idx val="1"/>
          <c:order val="3"/>
          <c:tx>
            <c:strRef>
              <c:f>'Prerađivačka_FS graf'!$J$7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graf'!$J$44:$J$87</c:f>
              <c:numCache>
                <c:formatCode>0.0</c:formatCode>
                <c:ptCount val="44"/>
                <c:pt idx="0">
                  <c:v>97.802553419999441</c:v>
                </c:pt>
                <c:pt idx="1">
                  <c:v>98.372535983947373</c:v>
                </c:pt>
                <c:pt idx="2">
                  <c:v>96.771219029313386</c:v>
                </c:pt>
                <c:pt idx="3">
                  <c:v>98.235505424739046</c:v>
                </c:pt>
                <c:pt idx="4">
                  <c:v>92.211307167145407</c:v>
                </c:pt>
                <c:pt idx="5">
                  <c:v>96.839616115963452</c:v>
                </c:pt>
                <c:pt idx="6">
                  <c:v>98.558747881390076</c:v>
                </c:pt>
                <c:pt idx="7">
                  <c:v>98.221314029635025</c:v>
                </c:pt>
                <c:pt idx="8">
                  <c:v>95.459493590094269</c:v>
                </c:pt>
                <c:pt idx="9">
                  <c:v>98.402960695877837</c:v>
                </c:pt>
                <c:pt idx="10">
                  <c:v>99.64949704643098</c:v>
                </c:pt>
                <c:pt idx="11">
                  <c:v>98.834566728014153</c:v>
                </c:pt>
                <c:pt idx="12">
                  <c:v>96.738565974055433</c:v>
                </c:pt>
                <c:pt idx="13">
                  <c:v>100.76816997723533</c:v>
                </c:pt>
                <c:pt idx="14">
                  <c:v>104.90896271129554</c:v>
                </c:pt>
                <c:pt idx="15">
                  <c:v>101.16657758784578</c:v>
                </c:pt>
                <c:pt idx="16">
                  <c:v>101.57858138717111</c:v>
                </c:pt>
                <c:pt idx="17">
                  <c:v>99.55257524902855</c:v>
                </c:pt>
                <c:pt idx="18">
                  <c:v>97.212252430302229</c:v>
                </c:pt>
                <c:pt idx="19">
                  <c:v>96.765716599879781</c:v>
                </c:pt>
                <c:pt idx="20">
                  <c:v>96.728913343587237</c:v>
                </c:pt>
                <c:pt idx="21">
                  <c:v>96.780944801053252</c:v>
                </c:pt>
                <c:pt idx="22">
                  <c:v>98.230488845662393</c:v>
                </c:pt>
                <c:pt idx="23">
                  <c:v>98.429801927735738</c:v>
                </c:pt>
                <c:pt idx="24">
                  <c:v>98.524217075013283</c:v>
                </c:pt>
                <c:pt idx="25">
                  <c:v>98.777689051819323</c:v>
                </c:pt>
                <c:pt idx="26">
                  <c:v>103.26331545008554</c:v>
                </c:pt>
                <c:pt idx="27">
                  <c:v>100.64695075042506</c:v>
                </c:pt>
                <c:pt idx="28">
                  <c:v>99.138839046692311</c:v>
                </c:pt>
                <c:pt idx="29">
                  <c:v>99.99612150037612</c:v>
                </c:pt>
                <c:pt idx="30">
                  <c:v>98.496987632709207</c:v>
                </c:pt>
                <c:pt idx="31">
                  <c:v>99.813004365314512</c:v>
                </c:pt>
                <c:pt idx="32">
                  <c:v>100.90319938261234</c:v>
                </c:pt>
                <c:pt idx="33">
                  <c:v>100.80236216055175</c:v>
                </c:pt>
                <c:pt idx="34">
                  <c:v>99.570595785285747</c:v>
                </c:pt>
                <c:pt idx="35">
                  <c:v>102.23355460248885</c:v>
                </c:pt>
                <c:pt idx="36">
                  <c:v>101.53200261929777</c:v>
                </c:pt>
                <c:pt idx="37">
                  <c:v>102.7557233142638</c:v>
                </c:pt>
                <c:pt idx="38">
                  <c:v>99.347802292228906</c:v>
                </c:pt>
                <c:pt idx="39">
                  <c:v>100.57487475634082</c:v>
                </c:pt>
                <c:pt idx="40">
                  <c:v>103.14054112540231</c:v>
                </c:pt>
                <c:pt idx="41">
                  <c:v>104.8232392001407</c:v>
                </c:pt>
                <c:pt idx="42">
                  <c:v>104.79324138263205</c:v>
                </c:pt>
                <c:pt idx="43">
                  <c:v>106.13238558049872</c:v>
                </c:pt>
              </c:numCache>
            </c:numRef>
          </c:val>
          <c:smooth val="0"/>
          <c:extLst>
            <c:ext xmlns:c16="http://schemas.microsoft.com/office/drawing/2014/chart" uri="{C3380CC4-5D6E-409C-BE32-E72D297353CC}">
              <c16:uniqueId val="{00000033-2682-4C76-918C-A50D9BD8F25F}"/>
            </c:ext>
          </c:extLst>
        </c:ser>
        <c:ser>
          <c:idx val="2"/>
          <c:order val="4"/>
          <c:tx>
            <c:strRef>
              <c:f>'Prerađivačka_FS graf'!$K$7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graf'!$K$44:$K$87</c:f>
              <c:numCache>
                <c:formatCode>0.0</c:formatCode>
                <c:ptCount val="44"/>
                <c:pt idx="0">
                  <c:v>97.191289321083431</c:v>
                </c:pt>
                <c:pt idx="1">
                  <c:v>97.411607874368926</c:v>
                </c:pt>
                <c:pt idx="2">
                  <c:v>97.609751049275133</c:v>
                </c:pt>
                <c:pt idx="3">
                  <c:v>97.670277579849568</c:v>
                </c:pt>
                <c:pt idx="4">
                  <c:v>97.583068399876382</c:v>
                </c:pt>
                <c:pt idx="5">
                  <c:v>97.497694219603744</c:v>
                </c:pt>
                <c:pt idx="6">
                  <c:v>97.544654751463185</c:v>
                </c:pt>
                <c:pt idx="7">
                  <c:v>97.688629204699794</c:v>
                </c:pt>
                <c:pt idx="8">
                  <c:v>97.900754221733962</c:v>
                </c:pt>
                <c:pt idx="9">
                  <c:v>98.201415972977799</c:v>
                </c:pt>
                <c:pt idx="10">
                  <c:v>98.626778471106377</c:v>
                </c:pt>
                <c:pt idx="11">
                  <c:v>99.18295254764125</c:v>
                </c:pt>
                <c:pt idx="12">
                  <c:v>99.879656138796108</c:v>
                </c:pt>
                <c:pt idx="13">
                  <c:v>100.54619260727367</c:v>
                </c:pt>
                <c:pt idx="14">
                  <c:v>100.91539014888612</c:v>
                </c:pt>
                <c:pt idx="15">
                  <c:v>100.84144414315912</c:v>
                </c:pt>
                <c:pt idx="16">
                  <c:v>100.28588235177834</c:v>
                </c:pt>
                <c:pt idx="17">
                  <c:v>99.31900960279259</c:v>
                </c:pt>
                <c:pt idx="18">
                  <c:v>98.229784944739762</c:v>
                </c:pt>
                <c:pt idx="19">
                  <c:v>97.391466087861133</c:v>
                </c:pt>
                <c:pt idx="20">
                  <c:v>97.009109129557956</c:v>
                </c:pt>
                <c:pt idx="21">
                  <c:v>97.081923741653227</c:v>
                </c:pt>
                <c:pt idx="22">
                  <c:v>97.537909230978002</c:v>
                </c:pt>
                <c:pt idx="23">
                  <c:v>98.166036732768347</c:v>
                </c:pt>
                <c:pt idx="24">
                  <c:v>98.784151385625478</c:v>
                </c:pt>
                <c:pt idx="25">
                  <c:v>99.270838083259221</c:v>
                </c:pt>
                <c:pt idx="26">
                  <c:v>99.558397467250771</c:v>
                </c:pt>
                <c:pt idx="27">
                  <c:v>99.655539805050338</c:v>
                </c:pt>
                <c:pt idx="28">
                  <c:v>99.674181658873863</c:v>
                </c:pt>
                <c:pt idx="29">
                  <c:v>99.656367405587446</c:v>
                </c:pt>
                <c:pt idx="30">
                  <c:v>99.670127597958228</c:v>
                </c:pt>
                <c:pt idx="31">
                  <c:v>99.788785572132781</c:v>
                </c:pt>
                <c:pt idx="32">
                  <c:v>100.10084512702508</c:v>
                </c:pt>
                <c:pt idx="33">
                  <c:v>100.575776325893</c:v>
                </c:pt>
                <c:pt idx="34">
                  <c:v>101.01429679413023</c:v>
                </c:pt>
                <c:pt idx="35">
                  <c:v>101.26842463075221</c:v>
                </c:pt>
                <c:pt idx="36">
                  <c:v>101.38743402458299</c:v>
                </c:pt>
                <c:pt idx="37">
                  <c:v>101.47697897492304</c:v>
                </c:pt>
                <c:pt idx="38">
                  <c:v>101.72619688938683</c:v>
                </c:pt>
                <c:pt idx="39">
                  <c:v>102.21902450596544</c:v>
                </c:pt>
                <c:pt idx="40">
                  <c:v>102.96633453509419</c:v>
                </c:pt>
                <c:pt idx="41">
                  <c:v>103.92083866761553</c:v>
                </c:pt>
                <c:pt idx="42">
                  <c:v>104.91759011121363</c:v>
                </c:pt>
                <c:pt idx="43">
                  <c:v>105.70774321360874</c:v>
                </c:pt>
              </c:numCache>
            </c:numRef>
          </c:val>
          <c:smooth val="0"/>
          <c:extLst>
            <c:ext xmlns:c16="http://schemas.microsoft.com/office/drawing/2014/chart" uri="{C3380CC4-5D6E-409C-BE32-E72D297353CC}">
              <c16:uniqueId val="{00000034-2682-4C76-918C-A50D9BD8F25F}"/>
            </c:ext>
          </c:extLst>
        </c:ser>
        <c:dLbls>
          <c:showLegendKey val="0"/>
          <c:showVal val="0"/>
          <c:showCatName val="0"/>
          <c:showSerName val="0"/>
          <c:showPercent val="0"/>
          <c:showBubbleSize val="0"/>
        </c:dLbls>
        <c:marker val="1"/>
        <c:smooth val="0"/>
        <c:axId val="2092180112"/>
        <c:axId val="2092170320"/>
      </c:lineChart>
      <c:dateAx>
        <c:axId val="20921801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0320"/>
        <c:crosses val="autoZero"/>
        <c:auto val="1"/>
        <c:lblOffset val="0"/>
        <c:baseTimeUnit val="months"/>
        <c:majorUnit val="12"/>
        <c:majorTimeUnit val="months"/>
      </c:dateAx>
      <c:valAx>
        <c:axId val="2092170320"/>
        <c:scaling>
          <c:orientation val="minMax"/>
          <c:max val="110"/>
          <c:min val="8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112"/>
        <c:crosses val="autoZero"/>
        <c:crossBetween val="midCat"/>
        <c:majorUnit val="5"/>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F35-42B5-BC55-C5A2C2067293}"/>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F35-42B5-BC55-C5A2C2067293}"/>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F35-42B5-BC55-C5A2C2067293}"/>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F35-42B5-BC55-C5A2C206729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graf'!$BV$44:$BV$87</c:f>
              <c:numCache>
                <c:formatCode>General</c:formatCode>
                <c:ptCount val="44"/>
                <c:pt idx="0">
                  <c:v>40</c:v>
                </c:pt>
                <c:pt idx="12">
                  <c:v>40</c:v>
                </c:pt>
                <c:pt idx="24">
                  <c:v>40</c:v>
                </c:pt>
                <c:pt idx="36">
                  <c:v>40</c:v>
                </c:pt>
              </c:numCache>
            </c:numRef>
          </c:val>
          <c:smooth val="0"/>
          <c:extLst>
            <c:ext xmlns:c16="http://schemas.microsoft.com/office/drawing/2014/chart" uri="{C3380CC4-5D6E-409C-BE32-E72D297353CC}">
              <c16:uniqueId val="{00000004-CF35-42B5-BC55-C5A2C2067293}"/>
            </c:ext>
          </c:extLst>
        </c:ser>
        <c:ser>
          <c:idx val="4"/>
          <c:order val="1"/>
          <c:tx>
            <c:strRef>
              <c:f>'Prerađivačka_FS graf'!$BW$7</c:f>
              <c:strCache>
                <c:ptCount val="1"/>
                <c:pt idx="0">
                  <c:v>Series5</c:v>
                </c:pt>
              </c:strCache>
            </c:strRef>
          </c:tx>
          <c:spPr>
            <a:ln w="25400" cap="rnd">
              <a:noFill/>
              <a:round/>
            </a:ln>
            <a:effectLst/>
          </c:spPr>
          <c:marker>
            <c:symbol val="none"/>
          </c:marker>
          <c:dLbls>
            <c:dLbl>
              <c:idx val="0"/>
              <c:tx>
                <c:rich>
                  <a:bodyPr/>
                  <a:lstStyle/>
                  <a:p>
                    <a:fld id="{240227AF-063B-4C8A-812C-04773C0AAE5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CF35-42B5-BC55-C5A2C2067293}"/>
                </c:ext>
              </c:extLst>
            </c:dLbl>
            <c:dLbl>
              <c:idx val="1"/>
              <c:tx>
                <c:rich>
                  <a:bodyPr/>
                  <a:lstStyle/>
                  <a:p>
                    <a:fld id="{B8CED983-0D9F-4F36-A662-AEA04085E36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CF35-42B5-BC55-C5A2C2067293}"/>
                </c:ext>
              </c:extLst>
            </c:dLbl>
            <c:dLbl>
              <c:idx val="2"/>
              <c:tx>
                <c:rich>
                  <a:bodyPr/>
                  <a:lstStyle/>
                  <a:p>
                    <a:fld id="{C795BA43-2364-4390-B5B6-C87C6EC72E1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CF35-42B5-BC55-C5A2C2067293}"/>
                </c:ext>
              </c:extLst>
            </c:dLbl>
            <c:dLbl>
              <c:idx val="3"/>
              <c:tx>
                <c:rich>
                  <a:bodyPr/>
                  <a:lstStyle/>
                  <a:p>
                    <a:fld id="{0A50E9A2-F104-4229-9DFC-52C8C417FA7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CF35-42B5-BC55-C5A2C2067293}"/>
                </c:ext>
              </c:extLst>
            </c:dLbl>
            <c:dLbl>
              <c:idx val="4"/>
              <c:tx>
                <c:rich>
                  <a:bodyPr/>
                  <a:lstStyle/>
                  <a:p>
                    <a:fld id="{24915D29-3F62-4136-88BB-E28BE70A456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F35-42B5-BC55-C5A2C2067293}"/>
                </c:ext>
              </c:extLst>
            </c:dLbl>
            <c:dLbl>
              <c:idx val="5"/>
              <c:tx>
                <c:rich>
                  <a:bodyPr/>
                  <a:lstStyle/>
                  <a:p>
                    <a:fld id="{ABA777D6-0B24-437E-AA91-7D5F7FC3609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F35-42B5-BC55-C5A2C2067293}"/>
                </c:ext>
              </c:extLst>
            </c:dLbl>
            <c:dLbl>
              <c:idx val="6"/>
              <c:tx>
                <c:rich>
                  <a:bodyPr/>
                  <a:lstStyle/>
                  <a:p>
                    <a:fld id="{4022E42A-CBC4-4EF9-B86C-90740A2B9CF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CF35-42B5-BC55-C5A2C2067293}"/>
                </c:ext>
              </c:extLst>
            </c:dLbl>
            <c:dLbl>
              <c:idx val="7"/>
              <c:tx>
                <c:rich>
                  <a:bodyPr/>
                  <a:lstStyle/>
                  <a:p>
                    <a:fld id="{9D5EFB3C-CECE-4463-AC08-23D1D192083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F35-42B5-BC55-C5A2C2067293}"/>
                </c:ext>
              </c:extLst>
            </c:dLbl>
            <c:dLbl>
              <c:idx val="8"/>
              <c:tx>
                <c:rich>
                  <a:bodyPr/>
                  <a:lstStyle/>
                  <a:p>
                    <a:fld id="{DCC75FB9-465F-4982-920C-DB7E9FA1FC1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F35-42B5-BC55-C5A2C2067293}"/>
                </c:ext>
              </c:extLst>
            </c:dLbl>
            <c:dLbl>
              <c:idx val="9"/>
              <c:tx>
                <c:rich>
                  <a:bodyPr/>
                  <a:lstStyle/>
                  <a:p>
                    <a:fld id="{F1C50EA6-D436-49AD-A4C7-5A268D3BAB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CF35-42B5-BC55-C5A2C2067293}"/>
                </c:ext>
              </c:extLst>
            </c:dLbl>
            <c:dLbl>
              <c:idx val="10"/>
              <c:tx>
                <c:rich>
                  <a:bodyPr/>
                  <a:lstStyle/>
                  <a:p>
                    <a:fld id="{58704432-949C-4185-8EBD-E7918AA4129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F35-42B5-BC55-C5A2C2067293}"/>
                </c:ext>
              </c:extLst>
            </c:dLbl>
            <c:dLbl>
              <c:idx val="11"/>
              <c:tx>
                <c:rich>
                  <a:bodyPr/>
                  <a:lstStyle/>
                  <a:p>
                    <a:fld id="{BE85DC6E-183C-4BD9-B992-7EDD3946F25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F35-42B5-BC55-C5A2C2067293}"/>
                </c:ext>
              </c:extLst>
            </c:dLbl>
            <c:dLbl>
              <c:idx val="12"/>
              <c:tx>
                <c:rich>
                  <a:bodyPr/>
                  <a:lstStyle/>
                  <a:p>
                    <a:fld id="{0AAB39F0-FFB7-46BE-887F-F373C788772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CF35-42B5-BC55-C5A2C2067293}"/>
                </c:ext>
              </c:extLst>
            </c:dLbl>
            <c:dLbl>
              <c:idx val="13"/>
              <c:tx>
                <c:rich>
                  <a:bodyPr/>
                  <a:lstStyle/>
                  <a:p>
                    <a:fld id="{76F0322E-E378-4090-A73F-235A57DFCCB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F35-42B5-BC55-C5A2C2067293}"/>
                </c:ext>
              </c:extLst>
            </c:dLbl>
            <c:dLbl>
              <c:idx val="14"/>
              <c:tx>
                <c:rich>
                  <a:bodyPr/>
                  <a:lstStyle/>
                  <a:p>
                    <a:fld id="{69231D00-2EEF-4D5B-8905-C0792EE3779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F35-42B5-BC55-C5A2C2067293}"/>
                </c:ext>
              </c:extLst>
            </c:dLbl>
            <c:dLbl>
              <c:idx val="15"/>
              <c:tx>
                <c:rich>
                  <a:bodyPr/>
                  <a:lstStyle/>
                  <a:p>
                    <a:fld id="{DD85BBBF-95E6-42B4-B191-FD5A38F143A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CF35-42B5-BC55-C5A2C2067293}"/>
                </c:ext>
              </c:extLst>
            </c:dLbl>
            <c:dLbl>
              <c:idx val="16"/>
              <c:tx>
                <c:rich>
                  <a:bodyPr/>
                  <a:lstStyle/>
                  <a:p>
                    <a:fld id="{74460724-35D4-4DD3-9901-61D1BB2EDA6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F35-42B5-BC55-C5A2C2067293}"/>
                </c:ext>
              </c:extLst>
            </c:dLbl>
            <c:dLbl>
              <c:idx val="17"/>
              <c:tx>
                <c:rich>
                  <a:bodyPr/>
                  <a:lstStyle/>
                  <a:p>
                    <a:fld id="{3D76BEE0-15E5-4B5F-96C5-84AE338772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F35-42B5-BC55-C5A2C2067293}"/>
                </c:ext>
              </c:extLst>
            </c:dLbl>
            <c:dLbl>
              <c:idx val="18"/>
              <c:tx>
                <c:rich>
                  <a:bodyPr/>
                  <a:lstStyle/>
                  <a:p>
                    <a:fld id="{65DA19CB-798A-46B0-914B-C7DD2CEE7CB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CF35-42B5-BC55-C5A2C2067293}"/>
                </c:ext>
              </c:extLst>
            </c:dLbl>
            <c:dLbl>
              <c:idx val="19"/>
              <c:tx>
                <c:rich>
                  <a:bodyPr/>
                  <a:lstStyle/>
                  <a:p>
                    <a:fld id="{EA4278A8-4337-4762-921D-040E7430BE9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F35-42B5-BC55-C5A2C2067293}"/>
                </c:ext>
              </c:extLst>
            </c:dLbl>
            <c:dLbl>
              <c:idx val="20"/>
              <c:tx>
                <c:rich>
                  <a:bodyPr/>
                  <a:lstStyle/>
                  <a:p>
                    <a:fld id="{3FAD1488-71F1-46B8-A0E3-CF81F3F08C3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F35-42B5-BC55-C5A2C2067293}"/>
                </c:ext>
              </c:extLst>
            </c:dLbl>
            <c:dLbl>
              <c:idx val="21"/>
              <c:tx>
                <c:rich>
                  <a:bodyPr/>
                  <a:lstStyle/>
                  <a:p>
                    <a:fld id="{3D4D99C3-B594-45DC-B317-A2D9DA2EF76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CF35-42B5-BC55-C5A2C2067293}"/>
                </c:ext>
              </c:extLst>
            </c:dLbl>
            <c:dLbl>
              <c:idx val="22"/>
              <c:tx>
                <c:rich>
                  <a:bodyPr/>
                  <a:lstStyle/>
                  <a:p>
                    <a:fld id="{FACC5308-4C64-440F-9CEE-6700E55653D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CF35-42B5-BC55-C5A2C2067293}"/>
                </c:ext>
              </c:extLst>
            </c:dLbl>
            <c:dLbl>
              <c:idx val="23"/>
              <c:tx>
                <c:rich>
                  <a:bodyPr/>
                  <a:lstStyle/>
                  <a:p>
                    <a:fld id="{69472244-B2FC-4AA8-8456-BD8E44CB65D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CF35-42B5-BC55-C5A2C2067293}"/>
                </c:ext>
              </c:extLst>
            </c:dLbl>
            <c:dLbl>
              <c:idx val="24"/>
              <c:tx>
                <c:rich>
                  <a:bodyPr/>
                  <a:lstStyle/>
                  <a:p>
                    <a:fld id="{849027E4-97F9-4716-819C-FAE79976140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CF35-42B5-BC55-C5A2C2067293}"/>
                </c:ext>
              </c:extLst>
            </c:dLbl>
            <c:dLbl>
              <c:idx val="25"/>
              <c:tx>
                <c:rich>
                  <a:bodyPr/>
                  <a:lstStyle/>
                  <a:p>
                    <a:fld id="{5AA916CA-B6AD-49BA-8694-C3A6383A92E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CF35-42B5-BC55-C5A2C2067293}"/>
                </c:ext>
              </c:extLst>
            </c:dLbl>
            <c:dLbl>
              <c:idx val="26"/>
              <c:tx>
                <c:rich>
                  <a:bodyPr/>
                  <a:lstStyle/>
                  <a:p>
                    <a:fld id="{6D2907D6-768F-4297-91E8-30A82740885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CF35-42B5-BC55-C5A2C2067293}"/>
                </c:ext>
              </c:extLst>
            </c:dLbl>
            <c:dLbl>
              <c:idx val="27"/>
              <c:tx>
                <c:rich>
                  <a:bodyPr/>
                  <a:lstStyle/>
                  <a:p>
                    <a:fld id="{15C7D342-D9AA-4701-9026-C49EFEB862A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CF35-42B5-BC55-C5A2C2067293}"/>
                </c:ext>
              </c:extLst>
            </c:dLbl>
            <c:dLbl>
              <c:idx val="28"/>
              <c:tx>
                <c:rich>
                  <a:bodyPr/>
                  <a:lstStyle/>
                  <a:p>
                    <a:fld id="{2D37D223-1EEA-4960-B9B0-A013BA48FF8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CF35-42B5-BC55-C5A2C2067293}"/>
                </c:ext>
              </c:extLst>
            </c:dLbl>
            <c:dLbl>
              <c:idx val="29"/>
              <c:tx>
                <c:rich>
                  <a:bodyPr/>
                  <a:lstStyle/>
                  <a:p>
                    <a:fld id="{74FB1BB8-D73A-4CF7-9773-7A10D007CDE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CF35-42B5-BC55-C5A2C2067293}"/>
                </c:ext>
              </c:extLst>
            </c:dLbl>
            <c:dLbl>
              <c:idx val="30"/>
              <c:tx>
                <c:rich>
                  <a:bodyPr/>
                  <a:lstStyle/>
                  <a:p>
                    <a:fld id="{88F6CCB8-2DA2-4FAB-85EF-4456FAA4666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CF35-42B5-BC55-C5A2C2067293}"/>
                </c:ext>
              </c:extLst>
            </c:dLbl>
            <c:dLbl>
              <c:idx val="31"/>
              <c:tx>
                <c:rich>
                  <a:bodyPr/>
                  <a:lstStyle/>
                  <a:p>
                    <a:fld id="{98A8A9AD-8542-49B7-9BEB-44E66E11BEA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CF35-42B5-BC55-C5A2C2067293}"/>
                </c:ext>
              </c:extLst>
            </c:dLbl>
            <c:dLbl>
              <c:idx val="32"/>
              <c:tx>
                <c:rich>
                  <a:bodyPr/>
                  <a:lstStyle/>
                  <a:p>
                    <a:fld id="{8CFAD7B2-92F1-4486-A6AE-C98B4B6D65E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CF35-42B5-BC55-C5A2C2067293}"/>
                </c:ext>
              </c:extLst>
            </c:dLbl>
            <c:dLbl>
              <c:idx val="33"/>
              <c:tx>
                <c:rich>
                  <a:bodyPr/>
                  <a:lstStyle/>
                  <a:p>
                    <a:fld id="{140F8634-0A4E-4DBD-A456-98713F472AF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CF35-42B5-BC55-C5A2C2067293}"/>
                </c:ext>
              </c:extLst>
            </c:dLbl>
            <c:dLbl>
              <c:idx val="34"/>
              <c:tx>
                <c:rich>
                  <a:bodyPr/>
                  <a:lstStyle/>
                  <a:p>
                    <a:fld id="{F15C6308-C455-44D9-8CAA-FFC201B959C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CF35-42B5-BC55-C5A2C2067293}"/>
                </c:ext>
              </c:extLst>
            </c:dLbl>
            <c:dLbl>
              <c:idx val="35"/>
              <c:tx>
                <c:rich>
                  <a:bodyPr/>
                  <a:lstStyle/>
                  <a:p>
                    <a:fld id="{347FEFF8-9D84-4E9F-8D74-34F34A6FC93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CF35-42B5-BC55-C5A2C2067293}"/>
                </c:ext>
              </c:extLst>
            </c:dLbl>
            <c:dLbl>
              <c:idx val="36"/>
              <c:tx>
                <c:rich>
                  <a:bodyPr/>
                  <a:lstStyle/>
                  <a:p>
                    <a:fld id="{A3D0E23C-05B8-4C27-BA04-75E505C6F0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CF35-42B5-BC55-C5A2C2067293}"/>
                </c:ext>
              </c:extLst>
            </c:dLbl>
            <c:dLbl>
              <c:idx val="37"/>
              <c:tx>
                <c:rich>
                  <a:bodyPr/>
                  <a:lstStyle/>
                  <a:p>
                    <a:fld id="{FE33D19D-179E-4788-AD56-7AA3EA99E90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CF35-42B5-BC55-C5A2C2067293}"/>
                </c:ext>
              </c:extLst>
            </c:dLbl>
            <c:dLbl>
              <c:idx val="38"/>
              <c:tx>
                <c:rich>
                  <a:bodyPr/>
                  <a:lstStyle/>
                  <a:p>
                    <a:fld id="{8789AE25-CE84-4DB6-BBE7-87D6C690FCF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CF35-42B5-BC55-C5A2C2067293}"/>
                </c:ext>
              </c:extLst>
            </c:dLbl>
            <c:dLbl>
              <c:idx val="39"/>
              <c:tx>
                <c:rich>
                  <a:bodyPr/>
                  <a:lstStyle/>
                  <a:p>
                    <a:fld id="{AC28EDE8-EF20-41EB-BBCF-03356E1EA3A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CF35-42B5-BC55-C5A2C2067293}"/>
                </c:ext>
              </c:extLst>
            </c:dLbl>
            <c:dLbl>
              <c:idx val="40"/>
              <c:tx>
                <c:rich>
                  <a:bodyPr/>
                  <a:lstStyle/>
                  <a:p>
                    <a:fld id="{DFEAB303-16E9-43EF-95CA-A7C6EDC0F3C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CF35-42B5-BC55-C5A2C2067293}"/>
                </c:ext>
              </c:extLst>
            </c:dLbl>
            <c:dLbl>
              <c:idx val="41"/>
              <c:tx>
                <c:rich>
                  <a:bodyPr/>
                  <a:lstStyle/>
                  <a:p>
                    <a:fld id="{1ECB562C-79D3-491F-A629-C08082ED79E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CF35-42B5-BC55-C5A2C2067293}"/>
                </c:ext>
              </c:extLst>
            </c:dLbl>
            <c:dLbl>
              <c:idx val="42"/>
              <c:tx>
                <c:rich>
                  <a:bodyPr/>
                  <a:lstStyle/>
                  <a:p>
                    <a:fld id="{6991CA02-D2B1-4F6B-A686-906DC9B118F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CF35-42B5-BC55-C5A2C2067293}"/>
                </c:ext>
              </c:extLst>
            </c:dLbl>
            <c:dLbl>
              <c:idx val="43"/>
              <c:tx>
                <c:rich>
                  <a:bodyPr/>
                  <a:lstStyle/>
                  <a:p>
                    <a:fld id="{44BDB553-DC23-4594-B407-99CDB1BB7A8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CF35-42B5-BC55-C5A2C2067293}"/>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graf'!$BW$44:$BW$87</c:f>
              <c:numCache>
                <c:formatCode>General</c:formatCode>
                <c:ptCount val="44"/>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pt idx="43">
                  <c:v>40</c:v>
                </c:pt>
              </c:numCache>
            </c:numRef>
          </c:val>
          <c:smooth val="0"/>
          <c:extLst>
            <c:ext xmlns:c15="http://schemas.microsoft.com/office/drawing/2012/chart" uri="{02D57815-91ED-43cb-92C2-25804820EDAC}">
              <c15:datalabelsRange>
                <c15:f>'Prerađivačka_FS graf'!$B$32:$B$87</c15:f>
                <c15:dlblRangeCache>
                  <c:ptCount val="56"/>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pt idx="54">
                    <c:v>VII</c:v>
                  </c:pt>
                </c15:dlblRangeCache>
              </c15:datalabelsRange>
            </c:ext>
            <c:ext xmlns:c16="http://schemas.microsoft.com/office/drawing/2014/chart" uri="{C3380CC4-5D6E-409C-BE32-E72D297353CC}">
              <c16:uniqueId val="{00000031-CF35-42B5-BC55-C5A2C2067293}"/>
            </c:ext>
          </c:extLst>
        </c:ser>
        <c:ser>
          <c:idx val="0"/>
          <c:order val="2"/>
          <c:tx>
            <c:strRef>
              <c:f>'Prerađivačka_FS graf'!$BX$7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graf'!$BX$44:$BX$87</c:f>
              <c:numCache>
                <c:formatCode>0.0</c:formatCode>
                <c:ptCount val="44"/>
                <c:pt idx="0">
                  <c:v>65.54255108113469</c:v>
                </c:pt>
                <c:pt idx="1">
                  <c:v>63.400119024003189</c:v>
                </c:pt>
                <c:pt idx="2">
                  <c:v>70.541559214441591</c:v>
                </c:pt>
                <c:pt idx="3">
                  <c:v>65.145804403888121</c:v>
                </c:pt>
                <c:pt idx="4">
                  <c:v>61.813132315016873</c:v>
                </c:pt>
                <c:pt idx="5">
                  <c:v>81.253719500099194</c:v>
                </c:pt>
                <c:pt idx="6">
                  <c:v>79.190636778416973</c:v>
                </c:pt>
                <c:pt idx="7">
                  <c:v>89.902797064074591</c:v>
                </c:pt>
                <c:pt idx="8">
                  <c:v>94.425709184685587</c:v>
                </c:pt>
                <c:pt idx="9">
                  <c:v>92.283277127554058</c:v>
                </c:pt>
                <c:pt idx="10">
                  <c:v>97.282285260860945</c:v>
                </c:pt>
                <c:pt idx="11">
                  <c:v>91.410434437611599</c:v>
                </c:pt>
                <c:pt idx="12">
                  <c:v>88.077762348740336</c:v>
                </c:pt>
                <c:pt idx="13">
                  <c:v>94.901805197381478</c:v>
                </c:pt>
                <c:pt idx="14">
                  <c:v>103.31283475500892</c:v>
                </c:pt>
                <c:pt idx="15">
                  <c:v>101.56714937512399</c:v>
                </c:pt>
                <c:pt idx="16">
                  <c:v>81.888514183693715</c:v>
                </c:pt>
                <c:pt idx="17">
                  <c:v>100.13886133703632</c:v>
                </c:pt>
                <c:pt idx="18">
                  <c:v>99.821463995239043</c:v>
                </c:pt>
                <c:pt idx="19">
                  <c:v>94.981154532830786</c:v>
                </c:pt>
                <c:pt idx="20">
                  <c:v>97.996429279904788</c:v>
                </c:pt>
                <c:pt idx="21">
                  <c:v>112.43800833168022</c:v>
                </c:pt>
                <c:pt idx="22">
                  <c:v>102.91608807776235</c:v>
                </c:pt>
                <c:pt idx="23">
                  <c:v>121.08708589565562</c:v>
                </c:pt>
                <c:pt idx="24">
                  <c:v>105.21721880579251</c:v>
                </c:pt>
                <c:pt idx="25">
                  <c:v>94.663757191033525</c:v>
                </c:pt>
                <c:pt idx="26">
                  <c:v>105.77266415393774</c:v>
                </c:pt>
                <c:pt idx="27">
                  <c:v>102.20194405871852</c:v>
                </c:pt>
                <c:pt idx="28">
                  <c:v>78.317794088474514</c:v>
                </c:pt>
                <c:pt idx="29">
                  <c:v>84.903788930767703</c:v>
                </c:pt>
                <c:pt idx="30">
                  <c:v>99.26601864709383</c:v>
                </c:pt>
                <c:pt idx="31">
                  <c:v>113.07280301527476</c:v>
                </c:pt>
                <c:pt idx="32">
                  <c:v>98.075778615354096</c:v>
                </c:pt>
                <c:pt idx="33">
                  <c:v>114.10434437611588</c:v>
                </c:pt>
                <c:pt idx="34">
                  <c:v>104.18567744495142</c:v>
                </c:pt>
                <c:pt idx="35">
                  <c:v>100.21821067248563</c:v>
                </c:pt>
                <c:pt idx="36">
                  <c:v>104.1</c:v>
                </c:pt>
                <c:pt idx="37">
                  <c:v>109</c:v>
                </c:pt>
                <c:pt idx="38">
                  <c:v>112.1</c:v>
                </c:pt>
                <c:pt idx="39">
                  <c:v>107.7</c:v>
                </c:pt>
                <c:pt idx="40">
                  <c:v>100.9</c:v>
                </c:pt>
                <c:pt idx="41">
                  <c:v>97.9</c:v>
                </c:pt>
                <c:pt idx="42">
                  <c:v>104.5</c:v>
                </c:pt>
                <c:pt idx="43">
                  <c:v>107.4</c:v>
                </c:pt>
              </c:numCache>
            </c:numRef>
          </c:val>
          <c:smooth val="0"/>
          <c:extLst>
            <c:ext xmlns:c16="http://schemas.microsoft.com/office/drawing/2014/chart" uri="{C3380CC4-5D6E-409C-BE32-E72D297353CC}">
              <c16:uniqueId val="{00000032-CF35-42B5-BC55-C5A2C2067293}"/>
            </c:ext>
          </c:extLst>
        </c:ser>
        <c:ser>
          <c:idx val="1"/>
          <c:order val="3"/>
          <c:tx>
            <c:strRef>
              <c:f>'Prerađivačka_FS graf'!$BY$7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graf'!$BY$44:$BY$87</c:f>
              <c:numCache>
                <c:formatCode>0.0</c:formatCode>
                <c:ptCount val="44"/>
                <c:pt idx="0">
                  <c:v>65.853512139157559</c:v>
                </c:pt>
                <c:pt idx="1">
                  <c:v>64.52034543521296</c:v>
                </c:pt>
                <c:pt idx="2">
                  <c:v>66.243463717546362</c:v>
                </c:pt>
                <c:pt idx="3">
                  <c:v>64.197154400666165</c:v>
                </c:pt>
                <c:pt idx="4">
                  <c:v>72.732475243975983</c:v>
                </c:pt>
                <c:pt idx="5">
                  <c:v>90.361098622194447</c:v>
                </c:pt>
                <c:pt idx="6">
                  <c:v>80.408778756338805</c:v>
                </c:pt>
                <c:pt idx="7">
                  <c:v>87.625732182448019</c:v>
                </c:pt>
                <c:pt idx="8">
                  <c:v>92.834624751454797</c:v>
                </c:pt>
                <c:pt idx="9">
                  <c:v>85.285020883061037</c:v>
                </c:pt>
                <c:pt idx="10">
                  <c:v>93.386643667385414</c:v>
                </c:pt>
                <c:pt idx="11">
                  <c:v>88.789468659939047</c:v>
                </c:pt>
                <c:pt idx="12">
                  <c:v>87.918544779062458</c:v>
                </c:pt>
                <c:pt idx="13">
                  <c:v>95.87571194785194</c:v>
                </c:pt>
                <c:pt idx="14">
                  <c:v>96.615393141718613</c:v>
                </c:pt>
                <c:pt idx="15">
                  <c:v>99.746232823032017</c:v>
                </c:pt>
                <c:pt idx="16">
                  <c:v>96.610545727057968</c:v>
                </c:pt>
                <c:pt idx="17">
                  <c:v>111.6391057986464</c:v>
                </c:pt>
                <c:pt idx="18">
                  <c:v>101.21726931381211</c:v>
                </c:pt>
                <c:pt idx="19">
                  <c:v>93.494992744327135</c:v>
                </c:pt>
                <c:pt idx="20">
                  <c:v>96.876305344152527</c:v>
                </c:pt>
                <c:pt idx="21">
                  <c:v>103.35847156538816</c:v>
                </c:pt>
                <c:pt idx="22">
                  <c:v>98.71307845784311</c:v>
                </c:pt>
                <c:pt idx="23">
                  <c:v>118.14013865935627</c:v>
                </c:pt>
                <c:pt idx="24">
                  <c:v>104.66003333119951</c:v>
                </c:pt>
                <c:pt idx="25">
                  <c:v>94.946246309270322</c:v>
                </c:pt>
                <c:pt idx="26">
                  <c:v>98.94761741463067</c:v>
                </c:pt>
                <c:pt idx="27">
                  <c:v>100.27555555832296</c:v>
                </c:pt>
                <c:pt idx="28">
                  <c:v>92.332360497672838</c:v>
                </c:pt>
                <c:pt idx="29">
                  <c:v>94.84296690289591</c:v>
                </c:pt>
                <c:pt idx="30">
                  <c:v>100.51846610730605</c:v>
                </c:pt>
                <c:pt idx="31">
                  <c:v>112.24833156102528</c:v>
                </c:pt>
                <c:pt idx="32">
                  <c:v>97.420740220767854</c:v>
                </c:pt>
                <c:pt idx="33">
                  <c:v>104.20276155060898</c:v>
                </c:pt>
                <c:pt idx="34">
                  <c:v>99.796366770127719</c:v>
                </c:pt>
                <c:pt idx="35">
                  <c:v>97.779687021974439</c:v>
                </c:pt>
                <c:pt idx="36">
                  <c:v>103.24780189340994</c:v>
                </c:pt>
                <c:pt idx="37">
                  <c:v>109.52364101339762</c:v>
                </c:pt>
                <c:pt idx="38">
                  <c:v>104.84585878046283</c:v>
                </c:pt>
                <c:pt idx="39">
                  <c:v>105.65802009080038</c:v>
                </c:pt>
                <c:pt idx="40">
                  <c:v>118.5558468450612</c:v>
                </c:pt>
                <c:pt idx="41">
                  <c:v>109.72784068626905</c:v>
                </c:pt>
                <c:pt idx="42">
                  <c:v>105.81318389717021</c:v>
                </c:pt>
                <c:pt idx="43">
                  <c:v>106.95391690770467</c:v>
                </c:pt>
              </c:numCache>
            </c:numRef>
          </c:val>
          <c:smooth val="0"/>
          <c:extLst>
            <c:ext xmlns:c16="http://schemas.microsoft.com/office/drawing/2014/chart" uri="{C3380CC4-5D6E-409C-BE32-E72D297353CC}">
              <c16:uniqueId val="{00000033-CF35-42B5-BC55-C5A2C2067293}"/>
            </c:ext>
          </c:extLst>
        </c:ser>
        <c:ser>
          <c:idx val="2"/>
          <c:order val="4"/>
          <c:tx>
            <c:strRef>
              <c:f>'Prerađivačka_FS graf'!$BZ$7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graf'!$BZ$44:$BZ$87</c:f>
              <c:numCache>
                <c:formatCode>0.0</c:formatCode>
                <c:ptCount val="44"/>
                <c:pt idx="0">
                  <c:v>64.571936549393243</c:v>
                </c:pt>
                <c:pt idx="1">
                  <c:v>65.191533763450039</c:v>
                </c:pt>
                <c:pt idx="2">
                  <c:v>65.853988086930968</c:v>
                </c:pt>
                <c:pt idx="3">
                  <c:v>66.643428932393434</c:v>
                </c:pt>
                <c:pt idx="4">
                  <c:v>67.475775596374376</c:v>
                </c:pt>
                <c:pt idx="5">
                  <c:v>87.911654926695363</c:v>
                </c:pt>
                <c:pt idx="6">
                  <c:v>88.799232779866315</c:v>
                </c:pt>
                <c:pt idx="7">
                  <c:v>89.272702539904742</c:v>
                </c:pt>
                <c:pt idx="8">
                  <c:v>89.314325985068493</c:v>
                </c:pt>
                <c:pt idx="9">
                  <c:v>89.229397977696678</c:v>
                </c:pt>
                <c:pt idx="10">
                  <c:v>89.511136001247991</c:v>
                </c:pt>
                <c:pt idx="11">
                  <c:v>90.458195215092118</c:v>
                </c:pt>
                <c:pt idx="12">
                  <c:v>91.924415192152551</c:v>
                </c:pt>
                <c:pt idx="13">
                  <c:v>93.805490306191771</c:v>
                </c:pt>
                <c:pt idx="14">
                  <c:v>95.888563396135439</c:v>
                </c:pt>
                <c:pt idx="15">
                  <c:v>97.597324817916345</c:v>
                </c:pt>
                <c:pt idx="16">
                  <c:v>98.656048849711496</c:v>
                </c:pt>
                <c:pt idx="17">
                  <c:v>99.123213727317435</c:v>
                </c:pt>
                <c:pt idx="18">
                  <c:v>99.070470293157015</c:v>
                </c:pt>
                <c:pt idx="19">
                  <c:v>99.203036166263416</c:v>
                </c:pt>
                <c:pt idx="20">
                  <c:v>99.752203936063339</c:v>
                </c:pt>
                <c:pt idx="21">
                  <c:v>100.42889252556438</c:v>
                </c:pt>
                <c:pt idx="22">
                  <c:v>101.10975474039589</c:v>
                </c:pt>
                <c:pt idx="23">
                  <c:v>101.47844483006629</c:v>
                </c:pt>
                <c:pt idx="24">
                  <c:v>101.19192612689567</c:v>
                </c:pt>
                <c:pt idx="25">
                  <c:v>100.13771918852773</c:v>
                </c:pt>
                <c:pt idx="26">
                  <c:v>98.74620854452975</c:v>
                </c:pt>
                <c:pt idx="27">
                  <c:v>97.515565044423681</c:v>
                </c:pt>
                <c:pt idx="28">
                  <c:v>96.913390917440097</c:v>
                </c:pt>
                <c:pt idx="29">
                  <c:v>97.115639223292632</c:v>
                </c:pt>
                <c:pt idx="30">
                  <c:v>97.950396404430919</c:v>
                </c:pt>
                <c:pt idx="31">
                  <c:v>98.787940881779448</c:v>
                </c:pt>
                <c:pt idx="32">
                  <c:v>99.504590372106605</c:v>
                </c:pt>
                <c:pt idx="33">
                  <c:v>100.27164643611972</c:v>
                </c:pt>
                <c:pt idx="34">
                  <c:v>101.0251385587616</c:v>
                </c:pt>
                <c:pt idx="35">
                  <c:v>101.91445609401443</c:v>
                </c:pt>
                <c:pt idx="36">
                  <c:v>103.28052004210653</c:v>
                </c:pt>
                <c:pt idx="37">
                  <c:v>104.93124289534565</c:v>
                </c:pt>
                <c:pt idx="38">
                  <c:v>106.37152409004115</c:v>
                </c:pt>
                <c:pt idx="39">
                  <c:v>107.41888571217982</c:v>
                </c:pt>
                <c:pt idx="40">
                  <c:v>107.96265761900582</c:v>
                </c:pt>
                <c:pt idx="41">
                  <c:v>107.98055442192052</c:v>
                </c:pt>
                <c:pt idx="42">
                  <c:v>108.01255477276924</c:v>
                </c:pt>
                <c:pt idx="43">
                  <c:v>108.39053717313071</c:v>
                </c:pt>
              </c:numCache>
            </c:numRef>
          </c:val>
          <c:smooth val="0"/>
          <c:extLst>
            <c:ext xmlns:c16="http://schemas.microsoft.com/office/drawing/2014/chart" uri="{C3380CC4-5D6E-409C-BE32-E72D297353CC}">
              <c16:uniqueId val="{00000034-CF35-42B5-BC55-C5A2C2067293}"/>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2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graf'!$CA$7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E7B-4FD2-9629-2E126683502C}"/>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E7B-4FD2-9629-2E126683502C}"/>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E7B-4FD2-9629-2E126683502C}"/>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7B-4FD2-9629-2E126683502C}"/>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graf'!$CA$44:$CA$87</c:f>
              <c:numCache>
                <c:formatCode>General</c:formatCode>
                <c:ptCount val="44"/>
                <c:pt idx="0">
                  <c:v>60</c:v>
                </c:pt>
                <c:pt idx="12">
                  <c:v>60</c:v>
                </c:pt>
                <c:pt idx="24">
                  <c:v>60</c:v>
                </c:pt>
                <c:pt idx="36">
                  <c:v>60</c:v>
                </c:pt>
              </c:numCache>
            </c:numRef>
          </c:val>
          <c:smooth val="0"/>
          <c:extLst>
            <c:ext xmlns:c16="http://schemas.microsoft.com/office/drawing/2014/chart" uri="{C3380CC4-5D6E-409C-BE32-E72D297353CC}">
              <c16:uniqueId val="{00000004-6E7B-4FD2-9629-2E126683502C}"/>
            </c:ext>
          </c:extLst>
        </c:ser>
        <c:ser>
          <c:idx val="4"/>
          <c:order val="1"/>
          <c:tx>
            <c:strRef>
              <c:f>'Prerađivačka_FS graf'!$CB$7</c:f>
              <c:strCache>
                <c:ptCount val="1"/>
                <c:pt idx="0">
                  <c:v>Series5</c:v>
                </c:pt>
              </c:strCache>
            </c:strRef>
          </c:tx>
          <c:spPr>
            <a:ln w="25400" cap="rnd">
              <a:noFill/>
              <a:round/>
            </a:ln>
            <a:effectLst/>
          </c:spPr>
          <c:marker>
            <c:symbol val="none"/>
          </c:marker>
          <c:dLbls>
            <c:dLbl>
              <c:idx val="0"/>
              <c:tx>
                <c:rich>
                  <a:bodyPr/>
                  <a:lstStyle/>
                  <a:p>
                    <a:fld id="{2E9DC401-0106-465A-B7DE-64D8C63CB13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6E7B-4FD2-9629-2E126683502C}"/>
                </c:ext>
              </c:extLst>
            </c:dLbl>
            <c:dLbl>
              <c:idx val="1"/>
              <c:tx>
                <c:rich>
                  <a:bodyPr/>
                  <a:lstStyle/>
                  <a:p>
                    <a:fld id="{52FEDDA6-23CA-4FEB-A3ED-74DB5B1885A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6E7B-4FD2-9629-2E126683502C}"/>
                </c:ext>
              </c:extLst>
            </c:dLbl>
            <c:dLbl>
              <c:idx val="2"/>
              <c:tx>
                <c:rich>
                  <a:bodyPr/>
                  <a:lstStyle/>
                  <a:p>
                    <a:fld id="{7CBE8B2E-295E-4E98-8A7E-47ABB3E8B5A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6E7B-4FD2-9629-2E126683502C}"/>
                </c:ext>
              </c:extLst>
            </c:dLbl>
            <c:dLbl>
              <c:idx val="3"/>
              <c:tx>
                <c:rich>
                  <a:bodyPr/>
                  <a:lstStyle/>
                  <a:p>
                    <a:fld id="{1B504F87-C076-4961-8655-AD40CCD6894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6E7B-4FD2-9629-2E126683502C}"/>
                </c:ext>
              </c:extLst>
            </c:dLbl>
            <c:dLbl>
              <c:idx val="4"/>
              <c:tx>
                <c:rich>
                  <a:bodyPr/>
                  <a:lstStyle/>
                  <a:p>
                    <a:fld id="{DA3A3858-90F9-44C6-A9EA-1DF98AD9E92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6E7B-4FD2-9629-2E126683502C}"/>
                </c:ext>
              </c:extLst>
            </c:dLbl>
            <c:dLbl>
              <c:idx val="5"/>
              <c:tx>
                <c:rich>
                  <a:bodyPr/>
                  <a:lstStyle/>
                  <a:p>
                    <a:fld id="{8968F8C4-1740-4BF2-AAA7-CA9B56ACA9A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6E7B-4FD2-9629-2E126683502C}"/>
                </c:ext>
              </c:extLst>
            </c:dLbl>
            <c:dLbl>
              <c:idx val="6"/>
              <c:tx>
                <c:rich>
                  <a:bodyPr/>
                  <a:lstStyle/>
                  <a:p>
                    <a:fld id="{99B3EDE6-FB1D-442B-897C-7B348F8FF95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6E7B-4FD2-9629-2E126683502C}"/>
                </c:ext>
              </c:extLst>
            </c:dLbl>
            <c:dLbl>
              <c:idx val="7"/>
              <c:tx>
                <c:rich>
                  <a:bodyPr/>
                  <a:lstStyle/>
                  <a:p>
                    <a:fld id="{4700BC29-A847-4F7E-AFD3-73222FE506F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6E7B-4FD2-9629-2E126683502C}"/>
                </c:ext>
              </c:extLst>
            </c:dLbl>
            <c:dLbl>
              <c:idx val="8"/>
              <c:tx>
                <c:rich>
                  <a:bodyPr/>
                  <a:lstStyle/>
                  <a:p>
                    <a:fld id="{DBB6A093-59CC-4AAC-8C45-3DF7DDE6B40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6E7B-4FD2-9629-2E126683502C}"/>
                </c:ext>
              </c:extLst>
            </c:dLbl>
            <c:dLbl>
              <c:idx val="9"/>
              <c:tx>
                <c:rich>
                  <a:bodyPr/>
                  <a:lstStyle/>
                  <a:p>
                    <a:fld id="{F76A086A-EF6E-41BB-82AE-6AFCEFFEC6C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6E7B-4FD2-9629-2E126683502C}"/>
                </c:ext>
              </c:extLst>
            </c:dLbl>
            <c:dLbl>
              <c:idx val="10"/>
              <c:tx>
                <c:rich>
                  <a:bodyPr/>
                  <a:lstStyle/>
                  <a:p>
                    <a:fld id="{61A8A36B-C123-4E27-AD4F-A64285852D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6E7B-4FD2-9629-2E126683502C}"/>
                </c:ext>
              </c:extLst>
            </c:dLbl>
            <c:dLbl>
              <c:idx val="11"/>
              <c:tx>
                <c:rich>
                  <a:bodyPr/>
                  <a:lstStyle/>
                  <a:p>
                    <a:fld id="{05236435-F472-457F-9566-6DBFD9E3B3B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6E7B-4FD2-9629-2E126683502C}"/>
                </c:ext>
              </c:extLst>
            </c:dLbl>
            <c:dLbl>
              <c:idx val="12"/>
              <c:tx>
                <c:rich>
                  <a:bodyPr/>
                  <a:lstStyle/>
                  <a:p>
                    <a:fld id="{07F27EEE-FF08-4D77-8C23-51814B36F0B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6E7B-4FD2-9629-2E126683502C}"/>
                </c:ext>
              </c:extLst>
            </c:dLbl>
            <c:dLbl>
              <c:idx val="13"/>
              <c:tx>
                <c:rich>
                  <a:bodyPr/>
                  <a:lstStyle/>
                  <a:p>
                    <a:fld id="{B29B416D-49B7-4A23-888B-42994F0EECD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6E7B-4FD2-9629-2E126683502C}"/>
                </c:ext>
              </c:extLst>
            </c:dLbl>
            <c:dLbl>
              <c:idx val="14"/>
              <c:tx>
                <c:rich>
                  <a:bodyPr/>
                  <a:lstStyle/>
                  <a:p>
                    <a:fld id="{8B1B347F-998C-4D97-85FF-CBCDC156BBC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6E7B-4FD2-9629-2E126683502C}"/>
                </c:ext>
              </c:extLst>
            </c:dLbl>
            <c:dLbl>
              <c:idx val="15"/>
              <c:tx>
                <c:rich>
                  <a:bodyPr/>
                  <a:lstStyle/>
                  <a:p>
                    <a:fld id="{EDA66D86-D882-484F-86E5-F12DCCEC8F2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6E7B-4FD2-9629-2E126683502C}"/>
                </c:ext>
              </c:extLst>
            </c:dLbl>
            <c:dLbl>
              <c:idx val="16"/>
              <c:tx>
                <c:rich>
                  <a:bodyPr/>
                  <a:lstStyle/>
                  <a:p>
                    <a:fld id="{8E7D5687-D727-4F7D-9401-3B013CB8C72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6E7B-4FD2-9629-2E126683502C}"/>
                </c:ext>
              </c:extLst>
            </c:dLbl>
            <c:dLbl>
              <c:idx val="17"/>
              <c:tx>
                <c:rich>
                  <a:bodyPr/>
                  <a:lstStyle/>
                  <a:p>
                    <a:fld id="{B83620FE-E670-4116-AF37-10A52B78C08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6E7B-4FD2-9629-2E126683502C}"/>
                </c:ext>
              </c:extLst>
            </c:dLbl>
            <c:dLbl>
              <c:idx val="18"/>
              <c:tx>
                <c:rich>
                  <a:bodyPr/>
                  <a:lstStyle/>
                  <a:p>
                    <a:fld id="{EA5C2BB6-674C-4EA7-A77A-DCD11BE6608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6E7B-4FD2-9629-2E126683502C}"/>
                </c:ext>
              </c:extLst>
            </c:dLbl>
            <c:dLbl>
              <c:idx val="19"/>
              <c:tx>
                <c:rich>
                  <a:bodyPr/>
                  <a:lstStyle/>
                  <a:p>
                    <a:fld id="{8D2F63C9-8CC7-43EF-BE38-91F5D87407D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6E7B-4FD2-9629-2E126683502C}"/>
                </c:ext>
              </c:extLst>
            </c:dLbl>
            <c:dLbl>
              <c:idx val="20"/>
              <c:tx>
                <c:rich>
                  <a:bodyPr/>
                  <a:lstStyle/>
                  <a:p>
                    <a:fld id="{7F295518-FDA8-4C8A-97E3-2BCBDA6ED13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6E7B-4FD2-9629-2E126683502C}"/>
                </c:ext>
              </c:extLst>
            </c:dLbl>
            <c:dLbl>
              <c:idx val="21"/>
              <c:tx>
                <c:rich>
                  <a:bodyPr/>
                  <a:lstStyle/>
                  <a:p>
                    <a:fld id="{9D8BEACB-A64E-4AC7-BA16-118E45C2FAB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6E7B-4FD2-9629-2E126683502C}"/>
                </c:ext>
              </c:extLst>
            </c:dLbl>
            <c:dLbl>
              <c:idx val="22"/>
              <c:tx>
                <c:rich>
                  <a:bodyPr/>
                  <a:lstStyle/>
                  <a:p>
                    <a:fld id="{4D9B7285-657B-447F-AFAD-360300EBA45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6E7B-4FD2-9629-2E126683502C}"/>
                </c:ext>
              </c:extLst>
            </c:dLbl>
            <c:dLbl>
              <c:idx val="23"/>
              <c:tx>
                <c:rich>
                  <a:bodyPr/>
                  <a:lstStyle/>
                  <a:p>
                    <a:fld id="{7D23D70F-D5CA-41A6-A2A6-E261665A0CF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6E7B-4FD2-9629-2E126683502C}"/>
                </c:ext>
              </c:extLst>
            </c:dLbl>
            <c:dLbl>
              <c:idx val="24"/>
              <c:tx>
                <c:rich>
                  <a:bodyPr/>
                  <a:lstStyle/>
                  <a:p>
                    <a:fld id="{981DC17F-B86D-46F9-A330-1394B7EBC03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6E7B-4FD2-9629-2E126683502C}"/>
                </c:ext>
              </c:extLst>
            </c:dLbl>
            <c:dLbl>
              <c:idx val="25"/>
              <c:tx>
                <c:rich>
                  <a:bodyPr/>
                  <a:lstStyle/>
                  <a:p>
                    <a:fld id="{9AA2B35B-D961-44CA-92BD-C8501572AC5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6E7B-4FD2-9629-2E126683502C}"/>
                </c:ext>
              </c:extLst>
            </c:dLbl>
            <c:dLbl>
              <c:idx val="26"/>
              <c:tx>
                <c:rich>
                  <a:bodyPr/>
                  <a:lstStyle/>
                  <a:p>
                    <a:fld id="{F3D5908A-96AB-4CE0-9991-E90AC7456D0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6E7B-4FD2-9629-2E126683502C}"/>
                </c:ext>
              </c:extLst>
            </c:dLbl>
            <c:dLbl>
              <c:idx val="27"/>
              <c:tx>
                <c:rich>
                  <a:bodyPr/>
                  <a:lstStyle/>
                  <a:p>
                    <a:fld id="{FDEA2DB7-44B4-4A11-8DAA-8095971F6C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6E7B-4FD2-9629-2E126683502C}"/>
                </c:ext>
              </c:extLst>
            </c:dLbl>
            <c:dLbl>
              <c:idx val="28"/>
              <c:tx>
                <c:rich>
                  <a:bodyPr/>
                  <a:lstStyle/>
                  <a:p>
                    <a:fld id="{047FF024-EB9C-413B-B824-EEBDB91E4B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6E7B-4FD2-9629-2E126683502C}"/>
                </c:ext>
              </c:extLst>
            </c:dLbl>
            <c:dLbl>
              <c:idx val="29"/>
              <c:tx>
                <c:rich>
                  <a:bodyPr/>
                  <a:lstStyle/>
                  <a:p>
                    <a:fld id="{C61D5023-75A8-430C-AB64-116FDFCD169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6E7B-4FD2-9629-2E126683502C}"/>
                </c:ext>
              </c:extLst>
            </c:dLbl>
            <c:dLbl>
              <c:idx val="30"/>
              <c:tx>
                <c:rich>
                  <a:bodyPr/>
                  <a:lstStyle/>
                  <a:p>
                    <a:fld id="{FDCC2FEA-FD25-4105-A904-108D05F01E0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6E7B-4FD2-9629-2E126683502C}"/>
                </c:ext>
              </c:extLst>
            </c:dLbl>
            <c:dLbl>
              <c:idx val="31"/>
              <c:tx>
                <c:rich>
                  <a:bodyPr/>
                  <a:lstStyle/>
                  <a:p>
                    <a:fld id="{EF3A9F7B-4C15-4C2E-A280-C51A41B06AF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6E7B-4FD2-9629-2E126683502C}"/>
                </c:ext>
              </c:extLst>
            </c:dLbl>
            <c:dLbl>
              <c:idx val="32"/>
              <c:tx>
                <c:rich>
                  <a:bodyPr/>
                  <a:lstStyle/>
                  <a:p>
                    <a:fld id="{32859CCB-1668-47A6-8689-3750FE7C890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6E7B-4FD2-9629-2E126683502C}"/>
                </c:ext>
              </c:extLst>
            </c:dLbl>
            <c:dLbl>
              <c:idx val="33"/>
              <c:tx>
                <c:rich>
                  <a:bodyPr/>
                  <a:lstStyle/>
                  <a:p>
                    <a:fld id="{3BC223FD-1534-40DA-8C72-D075E4A1604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6E7B-4FD2-9629-2E126683502C}"/>
                </c:ext>
              </c:extLst>
            </c:dLbl>
            <c:dLbl>
              <c:idx val="34"/>
              <c:tx>
                <c:rich>
                  <a:bodyPr/>
                  <a:lstStyle/>
                  <a:p>
                    <a:fld id="{214DB1EA-65F7-4918-A549-B97842C72BD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6E7B-4FD2-9629-2E126683502C}"/>
                </c:ext>
              </c:extLst>
            </c:dLbl>
            <c:dLbl>
              <c:idx val="35"/>
              <c:tx>
                <c:rich>
                  <a:bodyPr/>
                  <a:lstStyle/>
                  <a:p>
                    <a:fld id="{EC11E2F4-A32C-434A-B478-3108526E92E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6E7B-4FD2-9629-2E126683502C}"/>
                </c:ext>
              </c:extLst>
            </c:dLbl>
            <c:dLbl>
              <c:idx val="36"/>
              <c:tx>
                <c:rich>
                  <a:bodyPr/>
                  <a:lstStyle/>
                  <a:p>
                    <a:fld id="{ECF4182D-DAB3-4612-A112-454896BE31E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6E7B-4FD2-9629-2E126683502C}"/>
                </c:ext>
              </c:extLst>
            </c:dLbl>
            <c:dLbl>
              <c:idx val="37"/>
              <c:tx>
                <c:rich>
                  <a:bodyPr/>
                  <a:lstStyle/>
                  <a:p>
                    <a:fld id="{CFA50849-9FDE-4C3E-9122-3D9B43C7FFC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6E7B-4FD2-9629-2E126683502C}"/>
                </c:ext>
              </c:extLst>
            </c:dLbl>
            <c:dLbl>
              <c:idx val="38"/>
              <c:tx>
                <c:rich>
                  <a:bodyPr/>
                  <a:lstStyle/>
                  <a:p>
                    <a:fld id="{E6922946-F2FD-4883-8338-2DF2E9EB783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6E7B-4FD2-9629-2E126683502C}"/>
                </c:ext>
              </c:extLst>
            </c:dLbl>
            <c:dLbl>
              <c:idx val="39"/>
              <c:tx>
                <c:rich>
                  <a:bodyPr/>
                  <a:lstStyle/>
                  <a:p>
                    <a:fld id="{C67D1EFA-3B72-4F24-AD22-07FC563A5BA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6E7B-4FD2-9629-2E126683502C}"/>
                </c:ext>
              </c:extLst>
            </c:dLbl>
            <c:dLbl>
              <c:idx val="40"/>
              <c:tx>
                <c:rich>
                  <a:bodyPr/>
                  <a:lstStyle/>
                  <a:p>
                    <a:fld id="{90C9FE29-D608-4CF5-9557-00D2137A7E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6E7B-4FD2-9629-2E126683502C}"/>
                </c:ext>
              </c:extLst>
            </c:dLbl>
            <c:dLbl>
              <c:idx val="41"/>
              <c:tx>
                <c:rich>
                  <a:bodyPr/>
                  <a:lstStyle/>
                  <a:p>
                    <a:fld id="{2B9EFD32-CA5A-473B-930E-308616C0177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6E7B-4FD2-9629-2E126683502C}"/>
                </c:ext>
              </c:extLst>
            </c:dLbl>
            <c:dLbl>
              <c:idx val="42"/>
              <c:tx>
                <c:rich>
                  <a:bodyPr/>
                  <a:lstStyle/>
                  <a:p>
                    <a:fld id="{F7B806C6-5FBA-4276-9B32-F37B8EA19B9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6E7B-4FD2-9629-2E126683502C}"/>
                </c:ext>
              </c:extLst>
            </c:dLbl>
            <c:dLbl>
              <c:idx val="43"/>
              <c:tx>
                <c:rich>
                  <a:bodyPr/>
                  <a:lstStyle/>
                  <a:p>
                    <a:fld id="{494AB872-6AE4-4952-BF25-63E442B29E4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6E7B-4FD2-9629-2E126683502C}"/>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graf'!$CB$44:$CB$87</c:f>
              <c:numCache>
                <c:formatCode>General</c:formatCode>
                <c:ptCount val="44"/>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pt idx="43">
                  <c:v>60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6E7B-4FD2-9629-2E126683502C}"/>
            </c:ext>
          </c:extLst>
        </c:ser>
        <c:ser>
          <c:idx val="0"/>
          <c:order val="2"/>
          <c:tx>
            <c:strRef>
              <c:f>'Prerađivačka_FS graf'!$CC$7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graf'!$CC$44:$CC$87</c:f>
              <c:numCache>
                <c:formatCode>0.0</c:formatCode>
                <c:ptCount val="44"/>
                <c:pt idx="0">
                  <c:v>120.65009560229444</c:v>
                </c:pt>
                <c:pt idx="1">
                  <c:v>115.00956022944548</c:v>
                </c:pt>
                <c:pt idx="2">
                  <c:v>116.82600382409176</c:v>
                </c:pt>
                <c:pt idx="3">
                  <c:v>97.609942638623309</c:v>
                </c:pt>
                <c:pt idx="4">
                  <c:v>84.703632887189286</c:v>
                </c:pt>
                <c:pt idx="5">
                  <c:v>78.680688336520063</c:v>
                </c:pt>
                <c:pt idx="6">
                  <c:v>86.520076481835559</c:v>
                </c:pt>
                <c:pt idx="7">
                  <c:v>85.65965583173994</c:v>
                </c:pt>
                <c:pt idx="8">
                  <c:v>79.923518164435933</c:v>
                </c:pt>
                <c:pt idx="9">
                  <c:v>90.630975143403433</c:v>
                </c:pt>
                <c:pt idx="10">
                  <c:v>90.726577437858509</c:v>
                </c:pt>
                <c:pt idx="11">
                  <c:v>100.2868068833652</c:v>
                </c:pt>
                <c:pt idx="12">
                  <c:v>98.183556405353727</c:v>
                </c:pt>
                <c:pt idx="13">
                  <c:v>85.372848948374752</c:v>
                </c:pt>
                <c:pt idx="14">
                  <c:v>101.52963671128106</c:v>
                </c:pt>
                <c:pt idx="15">
                  <c:v>89.961759082217966</c:v>
                </c:pt>
                <c:pt idx="16">
                  <c:v>74.091778202676863</c:v>
                </c:pt>
                <c:pt idx="17">
                  <c:v>75.430210325047796</c:v>
                </c:pt>
                <c:pt idx="18">
                  <c:v>81.644359464627144</c:v>
                </c:pt>
                <c:pt idx="19">
                  <c:v>79.923518164435933</c:v>
                </c:pt>
                <c:pt idx="20">
                  <c:v>79.923518164435933</c:v>
                </c:pt>
                <c:pt idx="21">
                  <c:v>89.579349904397702</c:v>
                </c:pt>
                <c:pt idx="22">
                  <c:v>97.992351816443588</c:v>
                </c:pt>
                <c:pt idx="23">
                  <c:v>111.66347992351815</c:v>
                </c:pt>
                <c:pt idx="24">
                  <c:v>110.4206500956023</c:v>
                </c:pt>
                <c:pt idx="25">
                  <c:v>110.70745697896749</c:v>
                </c:pt>
                <c:pt idx="26">
                  <c:v>116.73040152963669</c:v>
                </c:pt>
                <c:pt idx="27">
                  <c:v>103.05927342256214</c:v>
                </c:pt>
                <c:pt idx="28">
                  <c:v>86.902485659655824</c:v>
                </c:pt>
                <c:pt idx="29">
                  <c:v>85.086042065009551</c:v>
                </c:pt>
                <c:pt idx="30">
                  <c:v>91.969407265774379</c:v>
                </c:pt>
                <c:pt idx="31">
                  <c:v>93.307839388145297</c:v>
                </c:pt>
                <c:pt idx="32">
                  <c:v>82.98279158699809</c:v>
                </c:pt>
                <c:pt idx="33">
                  <c:v>91.300191204588899</c:v>
                </c:pt>
                <c:pt idx="34">
                  <c:v>108.12619502868068</c:v>
                </c:pt>
                <c:pt idx="35">
                  <c:v>119.40726577437859</c:v>
                </c:pt>
                <c:pt idx="36">
                  <c:v>123.9</c:v>
                </c:pt>
                <c:pt idx="37">
                  <c:v>107.4</c:v>
                </c:pt>
                <c:pt idx="38">
                  <c:v>107.4</c:v>
                </c:pt>
                <c:pt idx="39">
                  <c:v>87.6</c:v>
                </c:pt>
                <c:pt idx="40">
                  <c:v>78.900000000000006</c:v>
                </c:pt>
                <c:pt idx="41">
                  <c:v>78.5</c:v>
                </c:pt>
                <c:pt idx="42">
                  <c:v>78.2</c:v>
                </c:pt>
                <c:pt idx="43">
                  <c:v>77.900000000000006</c:v>
                </c:pt>
              </c:numCache>
            </c:numRef>
          </c:val>
          <c:smooth val="0"/>
          <c:extLst>
            <c:ext xmlns:c16="http://schemas.microsoft.com/office/drawing/2014/chart" uri="{C3380CC4-5D6E-409C-BE32-E72D297353CC}">
              <c16:uniqueId val="{00000032-6E7B-4FD2-9629-2E126683502C}"/>
            </c:ext>
          </c:extLst>
        </c:ser>
        <c:ser>
          <c:idx val="1"/>
          <c:order val="3"/>
          <c:tx>
            <c:strRef>
              <c:f>'Prerađivačka_FS graf'!$CD$7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graf'!$CD$44:$CD$87</c:f>
              <c:numCache>
                <c:formatCode>0.0</c:formatCode>
                <c:ptCount val="44"/>
                <c:pt idx="0">
                  <c:v>105.16583284144461</c:v>
                </c:pt>
                <c:pt idx="1">
                  <c:v>103.65141031427527</c:v>
                </c:pt>
                <c:pt idx="2">
                  <c:v>99.979556898868168</c:v>
                </c:pt>
                <c:pt idx="3">
                  <c:v>99.720737815783338</c:v>
                </c:pt>
                <c:pt idx="4">
                  <c:v>97.086443341710975</c:v>
                </c:pt>
                <c:pt idx="5">
                  <c:v>92.126557556313642</c:v>
                </c:pt>
                <c:pt idx="6">
                  <c:v>96.508902099908823</c:v>
                </c:pt>
                <c:pt idx="7">
                  <c:v>94.859263546029439</c:v>
                </c:pt>
                <c:pt idx="8">
                  <c:v>92.990628023996237</c:v>
                </c:pt>
                <c:pt idx="9">
                  <c:v>91.749169338376376</c:v>
                </c:pt>
                <c:pt idx="10">
                  <c:v>87.715778931945408</c:v>
                </c:pt>
                <c:pt idx="11">
                  <c:v>84.866543564052876</c:v>
                </c:pt>
                <c:pt idx="12">
                  <c:v>82.553991109870111</c:v>
                </c:pt>
                <c:pt idx="13">
                  <c:v>73.748224303796576</c:v>
                </c:pt>
                <c:pt idx="14">
                  <c:v>85.235449547110335</c:v>
                </c:pt>
                <c:pt idx="15">
                  <c:v>92.158691264439767</c:v>
                </c:pt>
                <c:pt idx="16">
                  <c:v>87.017991037848518</c:v>
                </c:pt>
                <c:pt idx="17">
                  <c:v>89.688488237699829</c:v>
                </c:pt>
                <c:pt idx="18">
                  <c:v>91.567985335633566</c:v>
                </c:pt>
                <c:pt idx="19">
                  <c:v>89.235442525534808</c:v>
                </c:pt>
                <c:pt idx="20">
                  <c:v>93.06358853410444</c:v>
                </c:pt>
                <c:pt idx="21">
                  <c:v>90.608064221125431</c:v>
                </c:pt>
                <c:pt idx="22">
                  <c:v>94.032216906229266</c:v>
                </c:pt>
                <c:pt idx="23">
                  <c:v>95.539444783133234</c:v>
                </c:pt>
                <c:pt idx="24">
                  <c:v>94.535518088732204</c:v>
                </c:pt>
                <c:pt idx="25">
                  <c:v>99.252633157852131</c:v>
                </c:pt>
                <c:pt idx="26">
                  <c:v>101.13449241302392</c:v>
                </c:pt>
                <c:pt idx="27">
                  <c:v>105.42662845954264</c:v>
                </c:pt>
                <c:pt idx="28">
                  <c:v>100.04515091974447</c:v>
                </c:pt>
                <c:pt idx="29">
                  <c:v>99.450532159838517</c:v>
                </c:pt>
                <c:pt idx="30">
                  <c:v>101.88210900734202</c:v>
                </c:pt>
                <c:pt idx="31">
                  <c:v>103.11817115601086</c:v>
                </c:pt>
                <c:pt idx="32">
                  <c:v>95.989448394021537</c:v>
                </c:pt>
                <c:pt idx="33">
                  <c:v>92.304626469022864</c:v>
                </c:pt>
                <c:pt idx="34">
                  <c:v>103.42364988303297</c:v>
                </c:pt>
                <c:pt idx="35">
                  <c:v>102.99009872679473</c:v>
                </c:pt>
                <c:pt idx="36">
                  <c:v>107.72432671364217</c:v>
                </c:pt>
                <c:pt idx="37">
                  <c:v>96.168281324946747</c:v>
                </c:pt>
                <c:pt idx="38">
                  <c:v>92.35014888999757</c:v>
                </c:pt>
                <c:pt idx="39">
                  <c:v>90.022784683064344</c:v>
                </c:pt>
                <c:pt idx="40">
                  <c:v>91.821959726369812</c:v>
                </c:pt>
                <c:pt idx="41">
                  <c:v>92.832845556874574</c:v>
                </c:pt>
                <c:pt idx="42">
                  <c:v>88.30871755425504</c:v>
                </c:pt>
                <c:pt idx="43">
                  <c:v>88.070089516475036</c:v>
                </c:pt>
              </c:numCache>
            </c:numRef>
          </c:val>
          <c:smooth val="0"/>
          <c:extLst>
            <c:ext xmlns:c16="http://schemas.microsoft.com/office/drawing/2014/chart" uri="{C3380CC4-5D6E-409C-BE32-E72D297353CC}">
              <c16:uniqueId val="{00000033-6E7B-4FD2-9629-2E126683502C}"/>
            </c:ext>
          </c:extLst>
        </c:ser>
        <c:ser>
          <c:idx val="2"/>
          <c:order val="4"/>
          <c:tx>
            <c:strRef>
              <c:f>'Prerađivačka_FS graf'!$CE$7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graf'!$CE$44:$CE$87</c:f>
              <c:numCache>
                <c:formatCode>0.0</c:formatCode>
                <c:ptCount val="44"/>
                <c:pt idx="0">
                  <c:v>102.83796350700776</c:v>
                </c:pt>
                <c:pt idx="1">
                  <c:v>102.23806186227164</c:v>
                </c:pt>
                <c:pt idx="2">
                  <c:v>100.97308049722758</c:v>
                </c:pt>
                <c:pt idx="3">
                  <c:v>99.254400879881274</c:v>
                </c:pt>
                <c:pt idx="4">
                  <c:v>97.544934064906045</c:v>
                </c:pt>
                <c:pt idx="5">
                  <c:v>96.129599948626748</c:v>
                </c:pt>
                <c:pt idx="6">
                  <c:v>95.091901614498468</c:v>
                </c:pt>
                <c:pt idx="7">
                  <c:v>94.004765652736268</c:v>
                </c:pt>
                <c:pt idx="8">
                  <c:v>92.425015598365363</c:v>
                </c:pt>
                <c:pt idx="9">
                  <c:v>90.295962792021555</c:v>
                </c:pt>
                <c:pt idx="10">
                  <c:v>87.914216261287351</c:v>
                </c:pt>
                <c:pt idx="11">
                  <c:v>85.716599428347408</c:v>
                </c:pt>
                <c:pt idx="12">
                  <c:v>84.244659295436421</c:v>
                </c:pt>
                <c:pt idx="13">
                  <c:v>83.912532258139635</c:v>
                </c:pt>
                <c:pt idx="14">
                  <c:v>84.548564160137815</c:v>
                </c:pt>
                <c:pt idx="15">
                  <c:v>85.901378843652395</c:v>
                </c:pt>
                <c:pt idx="16">
                  <c:v>87.485580665875972</c:v>
                </c:pt>
                <c:pt idx="17">
                  <c:v>88.882043066614173</c:v>
                </c:pt>
                <c:pt idx="18">
                  <c:v>90.01014020918474</c:v>
                </c:pt>
                <c:pt idx="19">
                  <c:v>90.871380567008714</c:v>
                </c:pt>
                <c:pt idx="20">
                  <c:v>91.60251541974479</c:v>
                </c:pt>
                <c:pt idx="21">
                  <c:v>92.354334471883945</c:v>
                </c:pt>
                <c:pt idx="22">
                  <c:v>93.4537824813019</c:v>
                </c:pt>
                <c:pt idx="23">
                  <c:v>95.07415472448379</c:v>
                </c:pt>
                <c:pt idx="24">
                  <c:v>96.993539866208096</c:v>
                </c:pt>
                <c:pt idx="25">
                  <c:v>98.787854968949858</c:v>
                </c:pt>
                <c:pt idx="26">
                  <c:v>100.24775846020859</c:v>
                </c:pt>
                <c:pt idx="27">
                  <c:v>101.21733026230393</c:v>
                </c:pt>
                <c:pt idx="28">
                  <c:v>101.54614882080942</c:v>
                </c:pt>
                <c:pt idx="29">
                  <c:v>101.4389996787292</c:v>
                </c:pt>
                <c:pt idx="30">
                  <c:v>101.22696164177437</c:v>
                </c:pt>
                <c:pt idx="31">
                  <c:v>101.26562863765892</c:v>
                </c:pt>
                <c:pt idx="32">
                  <c:v>101.65490884844282</c:v>
                </c:pt>
                <c:pt idx="33">
                  <c:v>102.02121797660453</c:v>
                </c:pt>
                <c:pt idx="34">
                  <c:v>101.80184732159357</c:v>
                </c:pt>
                <c:pt idx="35">
                  <c:v>100.62435535417998</c:v>
                </c:pt>
                <c:pt idx="36">
                  <c:v>98.732595968884596</c:v>
                </c:pt>
                <c:pt idx="37">
                  <c:v>96.465132797726199</c:v>
                </c:pt>
                <c:pt idx="38">
                  <c:v>94.127237255534098</c:v>
                </c:pt>
                <c:pt idx="39">
                  <c:v>92.130845625492213</c:v>
                </c:pt>
                <c:pt idx="40">
                  <c:v>90.8345818729575</c:v>
                </c:pt>
                <c:pt idx="41">
                  <c:v>90.18024867425936</c:v>
                </c:pt>
                <c:pt idx="42">
                  <c:v>89.785557626584691</c:v>
                </c:pt>
                <c:pt idx="43">
                  <c:v>89.47714382685804</c:v>
                </c:pt>
              </c:numCache>
            </c:numRef>
          </c:val>
          <c:smooth val="0"/>
          <c:extLst>
            <c:ext xmlns:c16="http://schemas.microsoft.com/office/drawing/2014/chart" uri="{C3380CC4-5D6E-409C-BE32-E72D297353CC}">
              <c16:uniqueId val="{00000034-6E7B-4FD2-9629-2E126683502C}"/>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graf'!$AK$7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335153589562704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9AE-48DB-BAA9-59E7F053E8C2}"/>
                </c:ext>
              </c:extLst>
            </c:dLbl>
            <c:dLbl>
              <c:idx val="12"/>
              <c:layout>
                <c:manualLayout>
                  <c:x val="7.529659725306779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9AE-48DB-BAA9-59E7F053E8C2}"/>
                </c:ext>
              </c:extLst>
            </c:dLbl>
            <c:dLbl>
              <c:idx val="24"/>
              <c:layout>
                <c:manualLayout>
                  <c:x val="7.6443097396772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9AE-48DB-BAA9-59E7F053E8C2}"/>
                </c:ext>
              </c:extLst>
            </c:dLbl>
            <c:dLbl>
              <c:idx val="36"/>
              <c:layout>
                <c:manualLayout>
                  <c:x val="-8.848709708323698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9AE-48DB-BAA9-59E7F053E8C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graf'!$AK$44:$AK$87</c:f>
              <c:numCache>
                <c:formatCode>General</c:formatCode>
                <c:ptCount val="44"/>
                <c:pt idx="0">
                  <c:v>40</c:v>
                </c:pt>
                <c:pt idx="12">
                  <c:v>40</c:v>
                </c:pt>
                <c:pt idx="24">
                  <c:v>40</c:v>
                </c:pt>
                <c:pt idx="36">
                  <c:v>40</c:v>
                </c:pt>
              </c:numCache>
            </c:numRef>
          </c:val>
          <c:smooth val="0"/>
          <c:extLst>
            <c:ext xmlns:c16="http://schemas.microsoft.com/office/drawing/2014/chart" uri="{C3380CC4-5D6E-409C-BE32-E72D297353CC}">
              <c16:uniqueId val="{00000004-09AE-48DB-BAA9-59E7F053E8C2}"/>
            </c:ext>
          </c:extLst>
        </c:ser>
        <c:ser>
          <c:idx val="4"/>
          <c:order val="1"/>
          <c:tx>
            <c:strRef>
              <c:f>'Prerađivačka_FS graf'!$AL$7</c:f>
              <c:strCache>
                <c:ptCount val="1"/>
                <c:pt idx="0">
                  <c:v>Series5</c:v>
                </c:pt>
              </c:strCache>
            </c:strRef>
          </c:tx>
          <c:spPr>
            <a:ln w="25400" cap="rnd">
              <a:noFill/>
              <a:round/>
            </a:ln>
            <a:effectLst/>
          </c:spPr>
          <c:marker>
            <c:symbol val="none"/>
          </c:marker>
          <c:dLbls>
            <c:dLbl>
              <c:idx val="0"/>
              <c:tx>
                <c:rich>
                  <a:bodyPr/>
                  <a:lstStyle/>
                  <a:p>
                    <a:fld id="{FDD6DACF-6694-4C24-AD39-01B009A21DA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09AE-48DB-BAA9-59E7F053E8C2}"/>
                </c:ext>
              </c:extLst>
            </c:dLbl>
            <c:dLbl>
              <c:idx val="1"/>
              <c:tx>
                <c:rich>
                  <a:bodyPr/>
                  <a:lstStyle/>
                  <a:p>
                    <a:fld id="{970460E3-9ED6-4975-B4AE-A31FF00E41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09AE-48DB-BAA9-59E7F053E8C2}"/>
                </c:ext>
              </c:extLst>
            </c:dLbl>
            <c:dLbl>
              <c:idx val="2"/>
              <c:tx>
                <c:rich>
                  <a:bodyPr/>
                  <a:lstStyle/>
                  <a:p>
                    <a:fld id="{CC1F8BE7-28A2-4FED-8C41-304D8C9E9D8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09AE-48DB-BAA9-59E7F053E8C2}"/>
                </c:ext>
              </c:extLst>
            </c:dLbl>
            <c:dLbl>
              <c:idx val="3"/>
              <c:tx>
                <c:rich>
                  <a:bodyPr/>
                  <a:lstStyle/>
                  <a:p>
                    <a:fld id="{EC1000EC-3B7B-4BED-8F59-F410698F3F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9AE-48DB-BAA9-59E7F053E8C2}"/>
                </c:ext>
              </c:extLst>
            </c:dLbl>
            <c:dLbl>
              <c:idx val="4"/>
              <c:tx>
                <c:rich>
                  <a:bodyPr/>
                  <a:lstStyle/>
                  <a:p>
                    <a:fld id="{E13AAF5F-5F20-47EC-A833-3687CE26E36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9AE-48DB-BAA9-59E7F053E8C2}"/>
                </c:ext>
              </c:extLst>
            </c:dLbl>
            <c:dLbl>
              <c:idx val="5"/>
              <c:tx>
                <c:rich>
                  <a:bodyPr/>
                  <a:lstStyle/>
                  <a:p>
                    <a:fld id="{3A5F386B-5A54-4B5D-852F-304EB315405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9AE-48DB-BAA9-59E7F053E8C2}"/>
                </c:ext>
              </c:extLst>
            </c:dLbl>
            <c:dLbl>
              <c:idx val="6"/>
              <c:tx>
                <c:rich>
                  <a:bodyPr/>
                  <a:lstStyle/>
                  <a:p>
                    <a:fld id="{68119D6D-6BE7-43BD-B01D-27BD5EFABB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9AE-48DB-BAA9-59E7F053E8C2}"/>
                </c:ext>
              </c:extLst>
            </c:dLbl>
            <c:dLbl>
              <c:idx val="7"/>
              <c:tx>
                <c:rich>
                  <a:bodyPr/>
                  <a:lstStyle/>
                  <a:p>
                    <a:fld id="{48FB186F-0661-436B-9D89-2CECC6B66E1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9AE-48DB-BAA9-59E7F053E8C2}"/>
                </c:ext>
              </c:extLst>
            </c:dLbl>
            <c:dLbl>
              <c:idx val="8"/>
              <c:tx>
                <c:rich>
                  <a:bodyPr/>
                  <a:lstStyle/>
                  <a:p>
                    <a:fld id="{D7A40661-32A6-4579-A5D5-29E6337598F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9AE-48DB-BAA9-59E7F053E8C2}"/>
                </c:ext>
              </c:extLst>
            </c:dLbl>
            <c:dLbl>
              <c:idx val="9"/>
              <c:tx>
                <c:rich>
                  <a:bodyPr/>
                  <a:lstStyle/>
                  <a:p>
                    <a:fld id="{024AC133-FB49-40D5-9985-EEF2856A553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9AE-48DB-BAA9-59E7F053E8C2}"/>
                </c:ext>
              </c:extLst>
            </c:dLbl>
            <c:dLbl>
              <c:idx val="10"/>
              <c:tx>
                <c:rich>
                  <a:bodyPr/>
                  <a:lstStyle/>
                  <a:p>
                    <a:fld id="{D1541ABB-6805-43D4-9BFC-379FCCE24FE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9AE-48DB-BAA9-59E7F053E8C2}"/>
                </c:ext>
              </c:extLst>
            </c:dLbl>
            <c:dLbl>
              <c:idx val="11"/>
              <c:tx>
                <c:rich>
                  <a:bodyPr/>
                  <a:lstStyle/>
                  <a:p>
                    <a:fld id="{8D3D3BE4-EF96-44B3-BCDC-F6477BB35E4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9AE-48DB-BAA9-59E7F053E8C2}"/>
                </c:ext>
              </c:extLst>
            </c:dLbl>
            <c:dLbl>
              <c:idx val="12"/>
              <c:tx>
                <c:rich>
                  <a:bodyPr/>
                  <a:lstStyle/>
                  <a:p>
                    <a:fld id="{B51D2DD4-24C1-4E4C-9267-10E6C315B48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9AE-48DB-BAA9-59E7F053E8C2}"/>
                </c:ext>
              </c:extLst>
            </c:dLbl>
            <c:dLbl>
              <c:idx val="13"/>
              <c:tx>
                <c:rich>
                  <a:bodyPr/>
                  <a:lstStyle/>
                  <a:p>
                    <a:fld id="{4CC6744F-ABEA-49E0-BA62-C4B44BE63F5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9AE-48DB-BAA9-59E7F053E8C2}"/>
                </c:ext>
              </c:extLst>
            </c:dLbl>
            <c:dLbl>
              <c:idx val="14"/>
              <c:tx>
                <c:rich>
                  <a:bodyPr/>
                  <a:lstStyle/>
                  <a:p>
                    <a:fld id="{4454CD8E-0F98-4968-ACE1-E05B6FB58D0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9AE-48DB-BAA9-59E7F053E8C2}"/>
                </c:ext>
              </c:extLst>
            </c:dLbl>
            <c:dLbl>
              <c:idx val="15"/>
              <c:tx>
                <c:rich>
                  <a:bodyPr/>
                  <a:lstStyle/>
                  <a:p>
                    <a:fld id="{426483AA-606E-4B7B-9682-975BB15E66F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9AE-48DB-BAA9-59E7F053E8C2}"/>
                </c:ext>
              </c:extLst>
            </c:dLbl>
            <c:dLbl>
              <c:idx val="16"/>
              <c:tx>
                <c:rich>
                  <a:bodyPr/>
                  <a:lstStyle/>
                  <a:p>
                    <a:fld id="{46A89E2E-F93A-45D0-836C-7763A127C0A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9AE-48DB-BAA9-59E7F053E8C2}"/>
                </c:ext>
              </c:extLst>
            </c:dLbl>
            <c:dLbl>
              <c:idx val="17"/>
              <c:tx>
                <c:rich>
                  <a:bodyPr/>
                  <a:lstStyle/>
                  <a:p>
                    <a:fld id="{CAEE0B5C-67E0-4379-B7DD-294B7E61401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9AE-48DB-BAA9-59E7F053E8C2}"/>
                </c:ext>
              </c:extLst>
            </c:dLbl>
            <c:dLbl>
              <c:idx val="18"/>
              <c:tx>
                <c:rich>
                  <a:bodyPr/>
                  <a:lstStyle/>
                  <a:p>
                    <a:fld id="{D85D1740-CEE1-4114-8BC5-F7733B675A9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9AE-48DB-BAA9-59E7F053E8C2}"/>
                </c:ext>
              </c:extLst>
            </c:dLbl>
            <c:dLbl>
              <c:idx val="19"/>
              <c:tx>
                <c:rich>
                  <a:bodyPr/>
                  <a:lstStyle/>
                  <a:p>
                    <a:fld id="{12C5FF38-8EA6-483E-8365-5AB31F986AC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9AE-48DB-BAA9-59E7F053E8C2}"/>
                </c:ext>
              </c:extLst>
            </c:dLbl>
            <c:dLbl>
              <c:idx val="20"/>
              <c:tx>
                <c:rich>
                  <a:bodyPr/>
                  <a:lstStyle/>
                  <a:p>
                    <a:fld id="{5F89D4AF-65FF-49F3-A68D-334384F4AEC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9AE-48DB-BAA9-59E7F053E8C2}"/>
                </c:ext>
              </c:extLst>
            </c:dLbl>
            <c:dLbl>
              <c:idx val="21"/>
              <c:tx>
                <c:rich>
                  <a:bodyPr/>
                  <a:lstStyle/>
                  <a:p>
                    <a:fld id="{E3A3CDCC-9CC7-4E07-A560-CD1F8834E32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9AE-48DB-BAA9-59E7F053E8C2}"/>
                </c:ext>
              </c:extLst>
            </c:dLbl>
            <c:dLbl>
              <c:idx val="22"/>
              <c:tx>
                <c:rich>
                  <a:bodyPr/>
                  <a:lstStyle/>
                  <a:p>
                    <a:fld id="{679CA536-07A2-42B3-A8C6-0E18DD10ED1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9AE-48DB-BAA9-59E7F053E8C2}"/>
                </c:ext>
              </c:extLst>
            </c:dLbl>
            <c:dLbl>
              <c:idx val="23"/>
              <c:tx>
                <c:rich>
                  <a:bodyPr/>
                  <a:lstStyle/>
                  <a:p>
                    <a:fld id="{603BFD0B-9FCB-4103-8759-2BDB25AE931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9AE-48DB-BAA9-59E7F053E8C2}"/>
                </c:ext>
              </c:extLst>
            </c:dLbl>
            <c:dLbl>
              <c:idx val="24"/>
              <c:tx>
                <c:rich>
                  <a:bodyPr/>
                  <a:lstStyle/>
                  <a:p>
                    <a:fld id="{28FE3DCA-20D3-4B0A-BB3C-943DEC9F787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9AE-48DB-BAA9-59E7F053E8C2}"/>
                </c:ext>
              </c:extLst>
            </c:dLbl>
            <c:dLbl>
              <c:idx val="25"/>
              <c:tx>
                <c:rich>
                  <a:bodyPr/>
                  <a:lstStyle/>
                  <a:p>
                    <a:fld id="{2BBF19E3-D60E-4A05-A1B5-F06876DADC8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9AE-48DB-BAA9-59E7F053E8C2}"/>
                </c:ext>
              </c:extLst>
            </c:dLbl>
            <c:dLbl>
              <c:idx val="26"/>
              <c:tx>
                <c:rich>
                  <a:bodyPr/>
                  <a:lstStyle/>
                  <a:p>
                    <a:fld id="{78ABDE80-196E-4F1F-AA86-793B7E4E867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9AE-48DB-BAA9-59E7F053E8C2}"/>
                </c:ext>
              </c:extLst>
            </c:dLbl>
            <c:dLbl>
              <c:idx val="27"/>
              <c:tx>
                <c:rich>
                  <a:bodyPr/>
                  <a:lstStyle/>
                  <a:p>
                    <a:fld id="{9823195F-FDB9-4398-9159-B4236567E2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9AE-48DB-BAA9-59E7F053E8C2}"/>
                </c:ext>
              </c:extLst>
            </c:dLbl>
            <c:dLbl>
              <c:idx val="28"/>
              <c:tx>
                <c:rich>
                  <a:bodyPr/>
                  <a:lstStyle/>
                  <a:p>
                    <a:fld id="{988B03EF-A309-4535-B51B-E657FAFC623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9AE-48DB-BAA9-59E7F053E8C2}"/>
                </c:ext>
              </c:extLst>
            </c:dLbl>
            <c:dLbl>
              <c:idx val="29"/>
              <c:tx>
                <c:rich>
                  <a:bodyPr/>
                  <a:lstStyle/>
                  <a:p>
                    <a:fld id="{5F02D138-70DA-464D-9A6F-26DC9DD1FA7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9AE-48DB-BAA9-59E7F053E8C2}"/>
                </c:ext>
              </c:extLst>
            </c:dLbl>
            <c:dLbl>
              <c:idx val="30"/>
              <c:tx>
                <c:rich>
                  <a:bodyPr/>
                  <a:lstStyle/>
                  <a:p>
                    <a:fld id="{F81D117B-CF37-428D-B092-7E541A2532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9AE-48DB-BAA9-59E7F053E8C2}"/>
                </c:ext>
              </c:extLst>
            </c:dLbl>
            <c:dLbl>
              <c:idx val="31"/>
              <c:tx>
                <c:rich>
                  <a:bodyPr/>
                  <a:lstStyle/>
                  <a:p>
                    <a:fld id="{0C92EED4-98BE-4309-A91D-0D82D4927FC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9AE-48DB-BAA9-59E7F053E8C2}"/>
                </c:ext>
              </c:extLst>
            </c:dLbl>
            <c:dLbl>
              <c:idx val="32"/>
              <c:tx>
                <c:rich>
                  <a:bodyPr/>
                  <a:lstStyle/>
                  <a:p>
                    <a:fld id="{DD26D51C-67AC-45B9-8A9A-9616A3AFBBB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9AE-48DB-BAA9-59E7F053E8C2}"/>
                </c:ext>
              </c:extLst>
            </c:dLbl>
            <c:dLbl>
              <c:idx val="33"/>
              <c:tx>
                <c:rich>
                  <a:bodyPr/>
                  <a:lstStyle/>
                  <a:p>
                    <a:fld id="{F09DC70E-1711-41D2-8436-C586429809B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9AE-48DB-BAA9-59E7F053E8C2}"/>
                </c:ext>
              </c:extLst>
            </c:dLbl>
            <c:dLbl>
              <c:idx val="34"/>
              <c:tx>
                <c:rich>
                  <a:bodyPr/>
                  <a:lstStyle/>
                  <a:p>
                    <a:fld id="{E753C4BD-5C5A-499E-A225-7DB7057C968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9AE-48DB-BAA9-59E7F053E8C2}"/>
                </c:ext>
              </c:extLst>
            </c:dLbl>
            <c:dLbl>
              <c:idx val="35"/>
              <c:tx>
                <c:rich>
                  <a:bodyPr/>
                  <a:lstStyle/>
                  <a:p>
                    <a:fld id="{7EBCE8A9-C287-4D9C-87A4-E2FBFE4AA37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9AE-48DB-BAA9-59E7F053E8C2}"/>
                </c:ext>
              </c:extLst>
            </c:dLbl>
            <c:dLbl>
              <c:idx val="36"/>
              <c:tx>
                <c:rich>
                  <a:bodyPr/>
                  <a:lstStyle/>
                  <a:p>
                    <a:fld id="{DBD44C6D-6349-4995-9F8E-8C2FC5431AA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9AE-48DB-BAA9-59E7F053E8C2}"/>
                </c:ext>
              </c:extLst>
            </c:dLbl>
            <c:dLbl>
              <c:idx val="37"/>
              <c:tx>
                <c:rich>
                  <a:bodyPr/>
                  <a:lstStyle/>
                  <a:p>
                    <a:fld id="{A4AA6128-6795-42C9-A240-981B7B8F83C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9AE-48DB-BAA9-59E7F053E8C2}"/>
                </c:ext>
              </c:extLst>
            </c:dLbl>
            <c:dLbl>
              <c:idx val="38"/>
              <c:tx>
                <c:rich>
                  <a:bodyPr/>
                  <a:lstStyle/>
                  <a:p>
                    <a:fld id="{A3E23173-9114-4F81-B88E-D5699B4453E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9AE-48DB-BAA9-59E7F053E8C2}"/>
                </c:ext>
              </c:extLst>
            </c:dLbl>
            <c:dLbl>
              <c:idx val="39"/>
              <c:tx>
                <c:rich>
                  <a:bodyPr/>
                  <a:lstStyle/>
                  <a:p>
                    <a:fld id="{F23C998D-A988-4B2A-ACE1-F5ADF71494A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09AE-48DB-BAA9-59E7F053E8C2}"/>
                </c:ext>
              </c:extLst>
            </c:dLbl>
            <c:dLbl>
              <c:idx val="40"/>
              <c:tx>
                <c:rich>
                  <a:bodyPr/>
                  <a:lstStyle/>
                  <a:p>
                    <a:fld id="{C4169EE7-544B-4B0C-8C91-FE9DEB757D6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09AE-48DB-BAA9-59E7F053E8C2}"/>
                </c:ext>
              </c:extLst>
            </c:dLbl>
            <c:dLbl>
              <c:idx val="41"/>
              <c:tx>
                <c:rich>
                  <a:bodyPr/>
                  <a:lstStyle/>
                  <a:p>
                    <a:fld id="{90E5AFEF-2FEF-4C3E-9416-7E8A038EFF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09AE-48DB-BAA9-59E7F053E8C2}"/>
                </c:ext>
              </c:extLst>
            </c:dLbl>
            <c:dLbl>
              <c:idx val="42"/>
              <c:tx>
                <c:rich>
                  <a:bodyPr/>
                  <a:lstStyle/>
                  <a:p>
                    <a:fld id="{AD7C77E5-F112-40BD-A1E3-88D55EE024C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09AE-48DB-BAA9-59E7F053E8C2}"/>
                </c:ext>
              </c:extLst>
            </c:dLbl>
            <c:dLbl>
              <c:idx val="43"/>
              <c:tx>
                <c:rich>
                  <a:bodyPr/>
                  <a:lstStyle/>
                  <a:p>
                    <a:fld id="{99BBF504-9AA3-44ED-8DB7-C5DCDDD30AC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09AE-48DB-BAA9-59E7F053E8C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graf'!$AL$44:$AL$87</c:f>
              <c:numCache>
                <c:formatCode>General</c:formatCode>
                <c:ptCount val="44"/>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pt idx="43">
                  <c:v>40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09AE-48DB-BAA9-59E7F053E8C2}"/>
            </c:ext>
          </c:extLst>
        </c:ser>
        <c:ser>
          <c:idx val="0"/>
          <c:order val="2"/>
          <c:tx>
            <c:strRef>
              <c:f>'Prerađivačka_FS graf'!$AM$7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graf'!$AM$44:$AM$87</c:f>
              <c:numCache>
                <c:formatCode>0.0</c:formatCode>
                <c:ptCount val="44"/>
                <c:pt idx="0">
                  <c:v>104.5665358544417</c:v>
                </c:pt>
                <c:pt idx="1">
                  <c:v>98.465929361398508</c:v>
                </c:pt>
                <c:pt idx="2">
                  <c:v>113.44987513378524</c:v>
                </c:pt>
                <c:pt idx="3">
                  <c:v>104.24545130217626</c:v>
                </c:pt>
                <c:pt idx="4">
                  <c:v>104.88762040670711</c:v>
                </c:pt>
                <c:pt idx="5">
                  <c:v>104.03139493399931</c:v>
                </c:pt>
                <c:pt idx="6">
                  <c:v>109.48983232251159</c:v>
                </c:pt>
                <c:pt idx="7">
                  <c:v>112.16553692472353</c:v>
                </c:pt>
                <c:pt idx="8">
                  <c:v>113.87798787013917</c:v>
                </c:pt>
                <c:pt idx="9">
                  <c:v>101.99785943631822</c:v>
                </c:pt>
                <c:pt idx="10">
                  <c:v>100.49946485907957</c:v>
                </c:pt>
                <c:pt idx="11">
                  <c:v>116.55369247235107</c:v>
                </c:pt>
                <c:pt idx="12">
                  <c:v>110.77417053157332</c:v>
                </c:pt>
                <c:pt idx="13">
                  <c:v>108.52657866571533</c:v>
                </c:pt>
                <c:pt idx="14">
                  <c:v>117.83803068141279</c:v>
                </c:pt>
                <c:pt idx="15">
                  <c:v>107.77738137709598</c:v>
                </c:pt>
                <c:pt idx="16">
                  <c:v>99.215126650017851</c:v>
                </c:pt>
                <c:pt idx="17">
                  <c:v>81.020335354976822</c:v>
                </c:pt>
                <c:pt idx="18">
                  <c:v>76.846236175526229</c:v>
                </c:pt>
                <c:pt idx="19">
                  <c:v>75.668926150552991</c:v>
                </c:pt>
                <c:pt idx="20">
                  <c:v>72.458080627898696</c:v>
                </c:pt>
                <c:pt idx="21">
                  <c:v>73.100249732429546</c:v>
                </c:pt>
                <c:pt idx="22">
                  <c:v>73.742418836960411</c:v>
                </c:pt>
                <c:pt idx="23">
                  <c:v>63.146628612201219</c:v>
                </c:pt>
                <c:pt idx="24">
                  <c:v>60.470924009989304</c:v>
                </c:pt>
                <c:pt idx="25">
                  <c:v>66.678558687120955</c:v>
                </c:pt>
                <c:pt idx="26">
                  <c:v>73.635390652871919</c:v>
                </c:pt>
                <c:pt idx="27">
                  <c:v>93.756689261505528</c:v>
                </c:pt>
                <c:pt idx="28">
                  <c:v>124.25972172672137</c:v>
                </c:pt>
                <c:pt idx="29">
                  <c:v>111.63039600428112</c:v>
                </c:pt>
                <c:pt idx="30">
                  <c:v>113.34284694969676</c:v>
                </c:pt>
                <c:pt idx="31">
                  <c:v>97.181591152336793</c:v>
                </c:pt>
                <c:pt idx="32">
                  <c:v>100.92757759543348</c:v>
                </c:pt>
                <c:pt idx="33">
                  <c:v>128.64787727434893</c:v>
                </c:pt>
                <c:pt idx="34">
                  <c:v>118.15911523367821</c:v>
                </c:pt>
                <c:pt idx="35">
                  <c:v>111.30931145201571</c:v>
                </c:pt>
                <c:pt idx="36">
                  <c:v>104.2</c:v>
                </c:pt>
                <c:pt idx="37">
                  <c:v>121.3</c:v>
                </c:pt>
                <c:pt idx="38">
                  <c:v>134.80000000000001</c:v>
                </c:pt>
                <c:pt idx="39">
                  <c:v>139.9</c:v>
                </c:pt>
                <c:pt idx="40">
                  <c:v>128</c:v>
                </c:pt>
                <c:pt idx="41">
                  <c:v>128.19999999999999</c:v>
                </c:pt>
                <c:pt idx="42">
                  <c:v>133</c:v>
                </c:pt>
                <c:pt idx="43">
                  <c:v>135.69999999999999</c:v>
                </c:pt>
              </c:numCache>
            </c:numRef>
          </c:val>
          <c:smooth val="0"/>
          <c:extLst>
            <c:ext xmlns:c16="http://schemas.microsoft.com/office/drawing/2014/chart" uri="{C3380CC4-5D6E-409C-BE32-E72D297353CC}">
              <c16:uniqueId val="{00000032-09AE-48DB-BAA9-59E7F053E8C2}"/>
            </c:ext>
          </c:extLst>
        </c:ser>
        <c:ser>
          <c:idx val="1"/>
          <c:order val="3"/>
          <c:tx>
            <c:strRef>
              <c:f>'Prerađivačka_FS graf'!$AN$7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graf'!$AN$44:$AN$87</c:f>
              <c:numCache>
                <c:formatCode>0.0</c:formatCode>
                <c:ptCount val="44"/>
                <c:pt idx="0">
                  <c:v>111.47987019066966</c:v>
                </c:pt>
                <c:pt idx="1">
                  <c:v>106.63700249454914</c:v>
                </c:pt>
                <c:pt idx="2">
                  <c:v>105.8725974156912</c:v>
                </c:pt>
                <c:pt idx="3">
                  <c:v>99.455837992431256</c:v>
                </c:pt>
                <c:pt idx="4">
                  <c:v>100.59312495055578</c:v>
                </c:pt>
                <c:pt idx="5">
                  <c:v>102.83489117363339</c:v>
                </c:pt>
                <c:pt idx="6">
                  <c:v>107.73088840790469</c:v>
                </c:pt>
                <c:pt idx="7">
                  <c:v>110.1167145257005</c:v>
                </c:pt>
                <c:pt idx="8">
                  <c:v>112.79034653279652</c:v>
                </c:pt>
                <c:pt idx="9">
                  <c:v>104.82312258435748</c:v>
                </c:pt>
                <c:pt idx="10">
                  <c:v>104.97429999315513</c:v>
                </c:pt>
                <c:pt idx="11">
                  <c:v>115.56286121482674</c:v>
                </c:pt>
                <c:pt idx="12">
                  <c:v>116.69546999614509</c:v>
                </c:pt>
                <c:pt idx="13">
                  <c:v>115.65402808803606</c:v>
                </c:pt>
                <c:pt idx="14">
                  <c:v>109.49096267808278</c:v>
                </c:pt>
                <c:pt idx="15">
                  <c:v>104.65297274074031</c:v>
                </c:pt>
                <c:pt idx="16">
                  <c:v>94.37039174894268</c:v>
                </c:pt>
                <c:pt idx="17">
                  <c:v>79.658308340224949</c:v>
                </c:pt>
                <c:pt idx="18">
                  <c:v>75.992350944371452</c:v>
                </c:pt>
                <c:pt idx="19">
                  <c:v>72.2138062585868</c:v>
                </c:pt>
                <c:pt idx="20">
                  <c:v>70.627916246132358</c:v>
                </c:pt>
                <c:pt idx="21">
                  <c:v>76.316714520101314</c:v>
                </c:pt>
                <c:pt idx="22">
                  <c:v>78.563443285489001</c:v>
                </c:pt>
                <c:pt idx="23">
                  <c:v>65.224499319861053</c:v>
                </c:pt>
                <c:pt idx="24">
                  <c:v>65.888919483226516</c:v>
                </c:pt>
                <c:pt idx="25">
                  <c:v>73.035057839739366</c:v>
                </c:pt>
                <c:pt idx="26">
                  <c:v>64.998335644669083</c:v>
                </c:pt>
                <c:pt idx="27">
                  <c:v>90.744663805367679</c:v>
                </c:pt>
                <c:pt idx="28">
                  <c:v>120.16748584311159</c:v>
                </c:pt>
                <c:pt idx="29">
                  <c:v>109.97201831960966</c:v>
                </c:pt>
                <c:pt idx="30">
                  <c:v>112.3050473620814</c:v>
                </c:pt>
                <c:pt idx="31">
                  <c:v>93.828611401168729</c:v>
                </c:pt>
                <c:pt idx="32">
                  <c:v>100.37401757885164</c:v>
                </c:pt>
                <c:pt idx="33">
                  <c:v>130.22709308675866</c:v>
                </c:pt>
                <c:pt idx="34">
                  <c:v>120.88382681187517</c:v>
                </c:pt>
                <c:pt idx="35">
                  <c:v>116.56094693851514</c:v>
                </c:pt>
                <c:pt idx="36">
                  <c:v>111.60401601920532</c:v>
                </c:pt>
                <c:pt idx="37">
                  <c:v>125.92889656641243</c:v>
                </c:pt>
                <c:pt idx="38">
                  <c:v>128.55546715855769</c:v>
                </c:pt>
                <c:pt idx="39">
                  <c:v>130.30248903977164</c:v>
                </c:pt>
                <c:pt idx="40">
                  <c:v>126.28972868281238</c:v>
                </c:pt>
                <c:pt idx="41">
                  <c:v>128.86667188220153</c:v>
                </c:pt>
                <c:pt idx="42">
                  <c:v>129.12560832827867</c:v>
                </c:pt>
                <c:pt idx="43">
                  <c:v>134.14285908914857</c:v>
                </c:pt>
              </c:numCache>
            </c:numRef>
          </c:val>
          <c:smooth val="0"/>
          <c:extLst>
            <c:ext xmlns:c16="http://schemas.microsoft.com/office/drawing/2014/chart" uri="{C3380CC4-5D6E-409C-BE32-E72D297353CC}">
              <c16:uniqueId val="{00000033-09AE-48DB-BAA9-59E7F053E8C2}"/>
            </c:ext>
          </c:extLst>
        </c:ser>
        <c:ser>
          <c:idx val="2"/>
          <c:order val="4"/>
          <c:tx>
            <c:strRef>
              <c:f>'Prerađivačka_FS graf'!$AO$7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graf'!$AO$44:$AO$87</c:f>
              <c:numCache>
                <c:formatCode>0.0</c:formatCode>
                <c:ptCount val="44"/>
                <c:pt idx="0">
                  <c:v>105.68279313400812</c:v>
                </c:pt>
                <c:pt idx="1">
                  <c:v>105.8955691467124</c:v>
                </c:pt>
                <c:pt idx="2">
                  <c:v>104.92083424928379</c:v>
                </c:pt>
                <c:pt idx="3">
                  <c:v>103.71553363984299</c:v>
                </c:pt>
                <c:pt idx="4">
                  <c:v>103.35761650929089</c:v>
                </c:pt>
                <c:pt idx="5">
                  <c:v>104.13040194801337</c:v>
                </c:pt>
                <c:pt idx="6">
                  <c:v>105.72047805175848</c:v>
                </c:pt>
                <c:pt idx="7">
                  <c:v>107.25996366725285</c:v>
                </c:pt>
                <c:pt idx="8">
                  <c:v>108.63136374019042</c:v>
                </c:pt>
                <c:pt idx="9">
                  <c:v>109.98873454735244</c:v>
                </c:pt>
                <c:pt idx="10">
                  <c:v>111.48509578437969</c:v>
                </c:pt>
                <c:pt idx="11">
                  <c:v>113.13749270483419</c:v>
                </c:pt>
                <c:pt idx="12">
                  <c:v>114.05080989479291</c:v>
                </c:pt>
                <c:pt idx="13">
                  <c:v>112.96105186712967</c:v>
                </c:pt>
                <c:pt idx="14">
                  <c:v>108.9092546278652</c:v>
                </c:pt>
                <c:pt idx="15">
                  <c:v>101.81971978230145</c:v>
                </c:pt>
                <c:pt idx="16">
                  <c:v>92.8970256257779</c:v>
                </c:pt>
                <c:pt idx="17">
                  <c:v>84.557463334967309</c:v>
                </c:pt>
                <c:pt idx="18">
                  <c:v>78.386947036822619</c:v>
                </c:pt>
                <c:pt idx="19">
                  <c:v>74.533382416027521</c:v>
                </c:pt>
                <c:pt idx="20">
                  <c:v>72.419401738130446</c:v>
                </c:pt>
                <c:pt idx="21">
                  <c:v>71.178558309896928</c:v>
                </c:pt>
                <c:pt idx="22">
                  <c:v>70.360772810778855</c:v>
                </c:pt>
                <c:pt idx="23">
                  <c:v>70.037630705097229</c:v>
                </c:pt>
                <c:pt idx="24">
                  <c:v>71.164520765528309</c:v>
                </c:pt>
                <c:pt idx="25">
                  <c:v>74.855180727742933</c:v>
                </c:pt>
                <c:pt idx="26">
                  <c:v>81.287919939777552</c:v>
                </c:pt>
                <c:pt idx="27">
                  <c:v>89.639047412305686</c:v>
                </c:pt>
                <c:pt idx="28">
                  <c:v>98.181447141966004</c:v>
                </c:pt>
                <c:pt idx="29">
                  <c:v>105.32314241454468</c:v>
                </c:pt>
                <c:pt idx="30">
                  <c:v>110.25815435191028</c:v>
                </c:pt>
                <c:pt idx="31">
                  <c:v>113.31923021586793</c:v>
                </c:pt>
                <c:pt idx="32">
                  <c:v>115.13040388264567</c:v>
                </c:pt>
                <c:pt idx="33">
                  <c:v>116.47573132887328</c:v>
                </c:pt>
                <c:pt idx="34">
                  <c:v>118.15744152722205</c:v>
                </c:pt>
                <c:pt idx="35">
                  <c:v>120.40813355687314</c:v>
                </c:pt>
                <c:pt idx="36">
                  <c:v>122.97020096798163</c:v>
                </c:pt>
                <c:pt idx="37">
                  <c:v>125.19273677296748</c:v>
                </c:pt>
                <c:pt idx="38">
                  <c:v>126.80434165237013</c:v>
                </c:pt>
                <c:pt idx="39">
                  <c:v>127.90934439941914</c:v>
                </c:pt>
                <c:pt idx="40">
                  <c:v>128.85707454646925</c:v>
                </c:pt>
                <c:pt idx="41">
                  <c:v>129.87199902271399</c:v>
                </c:pt>
                <c:pt idx="42">
                  <c:v>131.19004905675817</c:v>
                </c:pt>
                <c:pt idx="43">
                  <c:v>132.94384226083599</c:v>
                </c:pt>
              </c:numCache>
            </c:numRef>
          </c:val>
          <c:smooth val="0"/>
          <c:extLst>
            <c:ext xmlns:c16="http://schemas.microsoft.com/office/drawing/2014/chart" uri="{C3380CC4-5D6E-409C-BE32-E72D297353CC}">
              <c16:uniqueId val="{00000034-09AE-48DB-BAA9-59E7F053E8C2}"/>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4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3A6-48CF-BE10-152E9F0D7465}"/>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3A6-48CF-BE10-152E9F0D7465}"/>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3A6-48CF-BE10-152E9F0D7465}"/>
                </c:ext>
              </c:extLst>
            </c:dLbl>
            <c:dLbl>
              <c:idx val="36"/>
              <c:layout>
                <c:manualLayout>
                  <c:x val="-1.327306456248546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3A6-48CF-BE10-152E9F0D7465}"/>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graf'!$BP$44:$BP$87</c:f>
              <c:numCache>
                <c:formatCode>General</c:formatCode>
                <c:ptCount val="44"/>
                <c:pt idx="0">
                  <c:v>0</c:v>
                </c:pt>
                <c:pt idx="12">
                  <c:v>0</c:v>
                </c:pt>
                <c:pt idx="24">
                  <c:v>0</c:v>
                </c:pt>
                <c:pt idx="36">
                  <c:v>0</c:v>
                </c:pt>
              </c:numCache>
            </c:numRef>
          </c:val>
          <c:smooth val="0"/>
          <c:extLst>
            <c:ext xmlns:c16="http://schemas.microsoft.com/office/drawing/2014/chart" uri="{C3380CC4-5D6E-409C-BE32-E72D297353CC}">
              <c16:uniqueId val="{00000004-03A6-48CF-BE10-152E9F0D7465}"/>
            </c:ext>
          </c:extLst>
        </c:ser>
        <c:ser>
          <c:idx val="4"/>
          <c:order val="1"/>
          <c:tx>
            <c:strRef>
              <c:f>'Prerađivačka_FS graf'!$BQ$7</c:f>
              <c:strCache>
                <c:ptCount val="1"/>
                <c:pt idx="0">
                  <c:v>Series5</c:v>
                </c:pt>
              </c:strCache>
            </c:strRef>
          </c:tx>
          <c:spPr>
            <a:ln w="25400" cap="rnd">
              <a:noFill/>
              <a:round/>
            </a:ln>
            <a:effectLst/>
          </c:spPr>
          <c:marker>
            <c:symbol val="none"/>
          </c:marker>
          <c:dLbls>
            <c:dLbl>
              <c:idx val="0"/>
              <c:tx>
                <c:rich>
                  <a:bodyPr/>
                  <a:lstStyle/>
                  <a:p>
                    <a:fld id="{64D416A2-A203-4C52-B316-75F966CE025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03A6-48CF-BE10-152E9F0D7465}"/>
                </c:ext>
              </c:extLst>
            </c:dLbl>
            <c:dLbl>
              <c:idx val="1"/>
              <c:tx>
                <c:rich>
                  <a:bodyPr/>
                  <a:lstStyle/>
                  <a:p>
                    <a:fld id="{83A34D15-AAF3-4CFD-AE96-1C4046DD712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03A6-48CF-BE10-152E9F0D7465}"/>
                </c:ext>
              </c:extLst>
            </c:dLbl>
            <c:dLbl>
              <c:idx val="2"/>
              <c:tx>
                <c:rich>
                  <a:bodyPr/>
                  <a:lstStyle/>
                  <a:p>
                    <a:fld id="{2AF0DC40-D92E-4A85-A259-94C4D0FF1C8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03A6-48CF-BE10-152E9F0D7465}"/>
                </c:ext>
              </c:extLst>
            </c:dLbl>
            <c:dLbl>
              <c:idx val="3"/>
              <c:tx>
                <c:rich>
                  <a:bodyPr/>
                  <a:lstStyle/>
                  <a:p>
                    <a:fld id="{9FE79061-6277-4AB0-8552-F10B55B417F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3A6-48CF-BE10-152E9F0D7465}"/>
                </c:ext>
              </c:extLst>
            </c:dLbl>
            <c:dLbl>
              <c:idx val="4"/>
              <c:tx>
                <c:rich>
                  <a:bodyPr/>
                  <a:lstStyle/>
                  <a:p>
                    <a:fld id="{8F3D22CE-EA5F-4071-AB4F-16790D121D5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3A6-48CF-BE10-152E9F0D7465}"/>
                </c:ext>
              </c:extLst>
            </c:dLbl>
            <c:dLbl>
              <c:idx val="5"/>
              <c:tx>
                <c:rich>
                  <a:bodyPr/>
                  <a:lstStyle/>
                  <a:p>
                    <a:fld id="{339B2275-A296-4BDE-A013-C6E10F0E0CD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3A6-48CF-BE10-152E9F0D7465}"/>
                </c:ext>
              </c:extLst>
            </c:dLbl>
            <c:dLbl>
              <c:idx val="6"/>
              <c:tx>
                <c:rich>
                  <a:bodyPr/>
                  <a:lstStyle/>
                  <a:p>
                    <a:fld id="{385A90AC-AC71-4453-AFE9-9036DA50027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3A6-48CF-BE10-152E9F0D7465}"/>
                </c:ext>
              </c:extLst>
            </c:dLbl>
            <c:dLbl>
              <c:idx val="7"/>
              <c:tx>
                <c:rich>
                  <a:bodyPr/>
                  <a:lstStyle/>
                  <a:p>
                    <a:fld id="{8FE27683-754E-4B06-9F40-A2AE1BCC776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3A6-48CF-BE10-152E9F0D7465}"/>
                </c:ext>
              </c:extLst>
            </c:dLbl>
            <c:dLbl>
              <c:idx val="8"/>
              <c:tx>
                <c:rich>
                  <a:bodyPr/>
                  <a:lstStyle/>
                  <a:p>
                    <a:fld id="{905A9C41-8C80-4E7F-8281-EF688E6BE8C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3A6-48CF-BE10-152E9F0D7465}"/>
                </c:ext>
              </c:extLst>
            </c:dLbl>
            <c:dLbl>
              <c:idx val="9"/>
              <c:tx>
                <c:rich>
                  <a:bodyPr/>
                  <a:lstStyle/>
                  <a:p>
                    <a:fld id="{DD08D8F0-0688-438C-A4E6-87CACFB4270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3A6-48CF-BE10-152E9F0D7465}"/>
                </c:ext>
              </c:extLst>
            </c:dLbl>
            <c:dLbl>
              <c:idx val="10"/>
              <c:tx>
                <c:rich>
                  <a:bodyPr/>
                  <a:lstStyle/>
                  <a:p>
                    <a:fld id="{8DB2273E-F44C-4F04-BFFC-B3F0B9A09A3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3A6-48CF-BE10-152E9F0D7465}"/>
                </c:ext>
              </c:extLst>
            </c:dLbl>
            <c:dLbl>
              <c:idx val="11"/>
              <c:tx>
                <c:rich>
                  <a:bodyPr/>
                  <a:lstStyle/>
                  <a:p>
                    <a:fld id="{5A2343AE-3061-472E-B2F5-8DB5914BE00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3A6-48CF-BE10-152E9F0D7465}"/>
                </c:ext>
              </c:extLst>
            </c:dLbl>
            <c:dLbl>
              <c:idx val="12"/>
              <c:tx>
                <c:rich>
                  <a:bodyPr/>
                  <a:lstStyle/>
                  <a:p>
                    <a:fld id="{A11068EE-E9BB-4B63-8ABA-9EE677A19AD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3A6-48CF-BE10-152E9F0D7465}"/>
                </c:ext>
              </c:extLst>
            </c:dLbl>
            <c:dLbl>
              <c:idx val="13"/>
              <c:tx>
                <c:rich>
                  <a:bodyPr/>
                  <a:lstStyle/>
                  <a:p>
                    <a:fld id="{F89166AC-B93C-4D44-82C2-B1F5E0EF2ED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3A6-48CF-BE10-152E9F0D7465}"/>
                </c:ext>
              </c:extLst>
            </c:dLbl>
            <c:dLbl>
              <c:idx val="14"/>
              <c:tx>
                <c:rich>
                  <a:bodyPr/>
                  <a:lstStyle/>
                  <a:p>
                    <a:fld id="{E9AB87E5-FF4E-40B0-946D-F424755AFAD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3A6-48CF-BE10-152E9F0D7465}"/>
                </c:ext>
              </c:extLst>
            </c:dLbl>
            <c:dLbl>
              <c:idx val="15"/>
              <c:tx>
                <c:rich>
                  <a:bodyPr/>
                  <a:lstStyle/>
                  <a:p>
                    <a:fld id="{3F402547-BD61-4EF4-8953-9DCC0D086F7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3A6-48CF-BE10-152E9F0D7465}"/>
                </c:ext>
              </c:extLst>
            </c:dLbl>
            <c:dLbl>
              <c:idx val="16"/>
              <c:tx>
                <c:rich>
                  <a:bodyPr/>
                  <a:lstStyle/>
                  <a:p>
                    <a:fld id="{A80DA935-E714-4274-91DB-4B83D444239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3A6-48CF-BE10-152E9F0D7465}"/>
                </c:ext>
              </c:extLst>
            </c:dLbl>
            <c:dLbl>
              <c:idx val="17"/>
              <c:tx>
                <c:rich>
                  <a:bodyPr/>
                  <a:lstStyle/>
                  <a:p>
                    <a:fld id="{076FB79F-26A7-4D42-A373-794A94E90CD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3A6-48CF-BE10-152E9F0D7465}"/>
                </c:ext>
              </c:extLst>
            </c:dLbl>
            <c:dLbl>
              <c:idx val="18"/>
              <c:tx>
                <c:rich>
                  <a:bodyPr/>
                  <a:lstStyle/>
                  <a:p>
                    <a:fld id="{BB7C31B6-A1E9-45F1-BAAC-5591D8B696B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3A6-48CF-BE10-152E9F0D7465}"/>
                </c:ext>
              </c:extLst>
            </c:dLbl>
            <c:dLbl>
              <c:idx val="19"/>
              <c:tx>
                <c:rich>
                  <a:bodyPr/>
                  <a:lstStyle/>
                  <a:p>
                    <a:fld id="{A68D4675-B4AB-4267-8F75-DBBEEBDDA5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3A6-48CF-BE10-152E9F0D7465}"/>
                </c:ext>
              </c:extLst>
            </c:dLbl>
            <c:dLbl>
              <c:idx val="20"/>
              <c:tx>
                <c:rich>
                  <a:bodyPr/>
                  <a:lstStyle/>
                  <a:p>
                    <a:fld id="{38DDAD01-F0A1-453C-B709-E4183EF8836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3A6-48CF-BE10-152E9F0D7465}"/>
                </c:ext>
              </c:extLst>
            </c:dLbl>
            <c:dLbl>
              <c:idx val="21"/>
              <c:tx>
                <c:rich>
                  <a:bodyPr/>
                  <a:lstStyle/>
                  <a:p>
                    <a:fld id="{E17E9D23-7454-45CA-A017-341782AB986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3A6-48CF-BE10-152E9F0D7465}"/>
                </c:ext>
              </c:extLst>
            </c:dLbl>
            <c:dLbl>
              <c:idx val="22"/>
              <c:tx>
                <c:rich>
                  <a:bodyPr/>
                  <a:lstStyle/>
                  <a:p>
                    <a:fld id="{61F205AD-9F60-4BDB-9AFF-C2C93D7A0F9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3A6-48CF-BE10-152E9F0D7465}"/>
                </c:ext>
              </c:extLst>
            </c:dLbl>
            <c:dLbl>
              <c:idx val="23"/>
              <c:tx>
                <c:rich>
                  <a:bodyPr/>
                  <a:lstStyle/>
                  <a:p>
                    <a:fld id="{38295C4A-0509-41F8-B573-49FC6156BE7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3A6-48CF-BE10-152E9F0D7465}"/>
                </c:ext>
              </c:extLst>
            </c:dLbl>
            <c:dLbl>
              <c:idx val="24"/>
              <c:tx>
                <c:rich>
                  <a:bodyPr/>
                  <a:lstStyle/>
                  <a:p>
                    <a:fld id="{414DF48A-F14F-4F32-934E-78F740A10A0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3A6-48CF-BE10-152E9F0D7465}"/>
                </c:ext>
              </c:extLst>
            </c:dLbl>
            <c:dLbl>
              <c:idx val="25"/>
              <c:tx>
                <c:rich>
                  <a:bodyPr/>
                  <a:lstStyle/>
                  <a:p>
                    <a:fld id="{77CCCF8C-8B03-4164-8351-469745E038E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3A6-48CF-BE10-152E9F0D7465}"/>
                </c:ext>
              </c:extLst>
            </c:dLbl>
            <c:dLbl>
              <c:idx val="26"/>
              <c:tx>
                <c:rich>
                  <a:bodyPr/>
                  <a:lstStyle/>
                  <a:p>
                    <a:fld id="{ABA7A4B4-75B3-4652-8444-E483A7F1E89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3A6-48CF-BE10-152E9F0D7465}"/>
                </c:ext>
              </c:extLst>
            </c:dLbl>
            <c:dLbl>
              <c:idx val="27"/>
              <c:tx>
                <c:rich>
                  <a:bodyPr/>
                  <a:lstStyle/>
                  <a:p>
                    <a:fld id="{EDBAB68F-BF31-4F7F-8C96-B5DE940F4A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3A6-48CF-BE10-152E9F0D7465}"/>
                </c:ext>
              </c:extLst>
            </c:dLbl>
            <c:dLbl>
              <c:idx val="28"/>
              <c:tx>
                <c:rich>
                  <a:bodyPr/>
                  <a:lstStyle/>
                  <a:p>
                    <a:fld id="{2A5C7230-EEEA-4E9A-82C8-A4DB54EAD5E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3A6-48CF-BE10-152E9F0D7465}"/>
                </c:ext>
              </c:extLst>
            </c:dLbl>
            <c:dLbl>
              <c:idx val="29"/>
              <c:tx>
                <c:rich>
                  <a:bodyPr/>
                  <a:lstStyle/>
                  <a:p>
                    <a:fld id="{481839AF-FFFC-41F1-AA2B-B4B38FAC5D8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3A6-48CF-BE10-152E9F0D7465}"/>
                </c:ext>
              </c:extLst>
            </c:dLbl>
            <c:dLbl>
              <c:idx val="30"/>
              <c:tx>
                <c:rich>
                  <a:bodyPr/>
                  <a:lstStyle/>
                  <a:p>
                    <a:fld id="{8E53C05E-FDC8-495B-A991-8E327F0A4F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3A6-48CF-BE10-152E9F0D7465}"/>
                </c:ext>
              </c:extLst>
            </c:dLbl>
            <c:dLbl>
              <c:idx val="31"/>
              <c:tx>
                <c:rich>
                  <a:bodyPr/>
                  <a:lstStyle/>
                  <a:p>
                    <a:fld id="{8FD13FCB-3091-4213-AC66-4874EA5F72F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3A6-48CF-BE10-152E9F0D7465}"/>
                </c:ext>
              </c:extLst>
            </c:dLbl>
            <c:dLbl>
              <c:idx val="32"/>
              <c:tx>
                <c:rich>
                  <a:bodyPr/>
                  <a:lstStyle/>
                  <a:p>
                    <a:fld id="{0A69A60B-AF05-4AD6-A964-CCE997B5DB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3A6-48CF-BE10-152E9F0D7465}"/>
                </c:ext>
              </c:extLst>
            </c:dLbl>
            <c:dLbl>
              <c:idx val="33"/>
              <c:tx>
                <c:rich>
                  <a:bodyPr/>
                  <a:lstStyle/>
                  <a:p>
                    <a:fld id="{6D366BEA-6721-4CF3-A5AA-2FF0140B2A3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3A6-48CF-BE10-152E9F0D7465}"/>
                </c:ext>
              </c:extLst>
            </c:dLbl>
            <c:dLbl>
              <c:idx val="34"/>
              <c:tx>
                <c:rich>
                  <a:bodyPr/>
                  <a:lstStyle/>
                  <a:p>
                    <a:fld id="{7A073BA3-35AC-46D3-9F64-BA47BEFF1D7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3A6-48CF-BE10-152E9F0D7465}"/>
                </c:ext>
              </c:extLst>
            </c:dLbl>
            <c:dLbl>
              <c:idx val="35"/>
              <c:tx>
                <c:rich>
                  <a:bodyPr/>
                  <a:lstStyle/>
                  <a:p>
                    <a:fld id="{71B3D113-23B6-44E4-88C5-6C9FED00E6B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3A6-48CF-BE10-152E9F0D7465}"/>
                </c:ext>
              </c:extLst>
            </c:dLbl>
            <c:dLbl>
              <c:idx val="36"/>
              <c:tx>
                <c:rich>
                  <a:bodyPr/>
                  <a:lstStyle/>
                  <a:p>
                    <a:fld id="{F9D61990-E0C1-4110-8C33-C24561646AB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3A6-48CF-BE10-152E9F0D7465}"/>
                </c:ext>
              </c:extLst>
            </c:dLbl>
            <c:dLbl>
              <c:idx val="37"/>
              <c:tx>
                <c:rich>
                  <a:bodyPr/>
                  <a:lstStyle/>
                  <a:p>
                    <a:fld id="{FE12F201-B08F-4478-9556-3EF93052464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3A6-48CF-BE10-152E9F0D7465}"/>
                </c:ext>
              </c:extLst>
            </c:dLbl>
            <c:dLbl>
              <c:idx val="38"/>
              <c:tx>
                <c:rich>
                  <a:bodyPr/>
                  <a:lstStyle/>
                  <a:p>
                    <a:fld id="{B3C9D1E7-DA6D-4887-8B35-BFE6A346453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3A6-48CF-BE10-152E9F0D7465}"/>
                </c:ext>
              </c:extLst>
            </c:dLbl>
            <c:dLbl>
              <c:idx val="39"/>
              <c:tx>
                <c:rich>
                  <a:bodyPr/>
                  <a:lstStyle/>
                  <a:p>
                    <a:fld id="{6B9C6070-9C47-44E9-BC8F-CA8973DC0F5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03A6-48CF-BE10-152E9F0D7465}"/>
                </c:ext>
              </c:extLst>
            </c:dLbl>
            <c:dLbl>
              <c:idx val="40"/>
              <c:tx>
                <c:rich>
                  <a:bodyPr/>
                  <a:lstStyle/>
                  <a:p>
                    <a:fld id="{C8C53A46-DD30-4610-9BD2-76B515747FB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03A6-48CF-BE10-152E9F0D7465}"/>
                </c:ext>
              </c:extLst>
            </c:dLbl>
            <c:dLbl>
              <c:idx val="41"/>
              <c:tx>
                <c:rich>
                  <a:bodyPr/>
                  <a:lstStyle/>
                  <a:p>
                    <a:fld id="{2ABDCD32-B2D9-405C-8D8A-0191B2BE2DA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03A6-48CF-BE10-152E9F0D7465}"/>
                </c:ext>
              </c:extLst>
            </c:dLbl>
            <c:dLbl>
              <c:idx val="42"/>
              <c:tx>
                <c:rich>
                  <a:bodyPr/>
                  <a:lstStyle/>
                  <a:p>
                    <a:fld id="{CAD4B94A-961D-4676-AD6A-95296B9137C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03A6-48CF-BE10-152E9F0D7465}"/>
                </c:ext>
              </c:extLst>
            </c:dLbl>
            <c:dLbl>
              <c:idx val="43"/>
              <c:tx>
                <c:rich>
                  <a:bodyPr/>
                  <a:lstStyle/>
                  <a:p>
                    <a:fld id="{958FA31A-D5E0-4A90-81F0-D1726D69F82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03A6-48CF-BE10-152E9F0D7465}"/>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graf'!$BQ$44:$BQ$87</c:f>
              <c:numCache>
                <c:formatCode>General</c:formatCode>
                <c:ptCount val="44"/>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03A6-48CF-BE10-152E9F0D7465}"/>
            </c:ext>
          </c:extLst>
        </c:ser>
        <c:ser>
          <c:idx val="0"/>
          <c:order val="2"/>
          <c:tx>
            <c:strRef>
              <c:f>'Prerađivačka_FS graf'!$BR$7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graf'!$BR$44:$BR$87</c:f>
              <c:numCache>
                <c:formatCode>0.0</c:formatCode>
                <c:ptCount val="44"/>
                <c:pt idx="0">
                  <c:v>39.144599448667613</c:v>
                </c:pt>
                <c:pt idx="1">
                  <c:v>51.825244340489519</c:v>
                </c:pt>
                <c:pt idx="2">
                  <c:v>65.257706123130902</c:v>
                </c:pt>
                <c:pt idx="3">
                  <c:v>51.42427533205246</c:v>
                </c:pt>
                <c:pt idx="4">
                  <c:v>40.147021969760253</c:v>
                </c:pt>
                <c:pt idx="5">
                  <c:v>44.357196558349351</c:v>
                </c:pt>
                <c:pt idx="6">
                  <c:v>42.051624759836272</c:v>
                </c:pt>
                <c:pt idx="7">
                  <c:v>41.550413499289959</c:v>
                </c:pt>
                <c:pt idx="8">
                  <c:v>48.366886642719905</c:v>
                </c:pt>
                <c:pt idx="9">
                  <c:v>48.918219029320859</c:v>
                </c:pt>
                <c:pt idx="10">
                  <c:v>45.509982457605886</c:v>
                </c:pt>
                <c:pt idx="11">
                  <c:v>82.900342494361382</c:v>
                </c:pt>
                <c:pt idx="12">
                  <c:v>45.309497953387357</c:v>
                </c:pt>
                <c:pt idx="13">
                  <c:v>54.531785147439649</c:v>
                </c:pt>
                <c:pt idx="14">
                  <c:v>66.159886392114288</c:v>
                </c:pt>
                <c:pt idx="15">
                  <c:v>47.615069751900428</c:v>
                </c:pt>
                <c:pt idx="16">
                  <c:v>45.760588087879043</c:v>
                </c:pt>
                <c:pt idx="17">
                  <c:v>66.159886392114288</c:v>
                </c:pt>
                <c:pt idx="18">
                  <c:v>57.739537214936099</c:v>
                </c:pt>
                <c:pt idx="19">
                  <c:v>63.65383008938268</c:v>
                </c:pt>
                <c:pt idx="20">
                  <c:v>79.041015788154709</c:v>
                </c:pt>
                <c:pt idx="21">
                  <c:v>71.673210258123817</c:v>
                </c:pt>
                <c:pt idx="22">
                  <c:v>79.742711552919559</c:v>
                </c:pt>
                <c:pt idx="23">
                  <c:v>96.934257789658346</c:v>
                </c:pt>
                <c:pt idx="24">
                  <c:v>59.293292122629694</c:v>
                </c:pt>
                <c:pt idx="25">
                  <c:v>73.92866093058224</c:v>
                </c:pt>
                <c:pt idx="26">
                  <c:v>86.759669200568041</c:v>
                </c:pt>
                <c:pt idx="27">
                  <c:v>84.905187536546663</c:v>
                </c:pt>
                <c:pt idx="28">
                  <c:v>94.92941274747308</c:v>
                </c:pt>
                <c:pt idx="29">
                  <c:v>120.04009690084372</c:v>
                </c:pt>
                <c:pt idx="30">
                  <c:v>92.724083201069263</c:v>
                </c:pt>
                <c:pt idx="31">
                  <c:v>91.721660679976608</c:v>
                </c:pt>
                <c:pt idx="32">
                  <c:v>104.20182106758</c:v>
                </c:pt>
                <c:pt idx="33">
                  <c:v>103.19939854648736</c:v>
                </c:pt>
                <c:pt idx="34">
                  <c:v>119.58900676635203</c:v>
                </c:pt>
                <c:pt idx="35">
                  <c:v>168.70771029989143</c:v>
                </c:pt>
                <c:pt idx="36">
                  <c:v>100.1</c:v>
                </c:pt>
                <c:pt idx="37">
                  <c:v>110.5</c:v>
                </c:pt>
                <c:pt idx="38">
                  <c:v>148</c:v>
                </c:pt>
                <c:pt idx="39">
                  <c:v>160.80000000000001</c:v>
                </c:pt>
                <c:pt idx="40">
                  <c:v>175.1</c:v>
                </c:pt>
                <c:pt idx="41">
                  <c:v>177.3</c:v>
                </c:pt>
                <c:pt idx="42">
                  <c:v>191.2</c:v>
                </c:pt>
                <c:pt idx="43">
                  <c:v>181.1</c:v>
                </c:pt>
              </c:numCache>
            </c:numRef>
          </c:val>
          <c:smooth val="0"/>
          <c:extLst>
            <c:ext xmlns:c16="http://schemas.microsoft.com/office/drawing/2014/chart" uri="{C3380CC4-5D6E-409C-BE32-E72D297353CC}">
              <c16:uniqueId val="{00000032-03A6-48CF-BE10-152E9F0D7465}"/>
            </c:ext>
          </c:extLst>
        </c:ser>
        <c:ser>
          <c:idx val="1"/>
          <c:order val="3"/>
          <c:tx>
            <c:strRef>
              <c:f>'Prerađivačka_FS graf'!$BS$7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graf'!$BS$44:$BS$87</c:f>
              <c:numCache>
                <c:formatCode>0.0</c:formatCode>
                <c:ptCount val="44"/>
                <c:pt idx="0">
                  <c:v>53.097525213373821</c:v>
                </c:pt>
                <c:pt idx="1">
                  <c:v>56.864695905903865</c:v>
                </c:pt>
                <c:pt idx="2">
                  <c:v>59.414494869158119</c:v>
                </c:pt>
                <c:pt idx="3">
                  <c:v>52.850609522857916</c:v>
                </c:pt>
                <c:pt idx="4">
                  <c:v>43.036159042087526</c:v>
                </c:pt>
                <c:pt idx="5">
                  <c:v>41.720655053164073</c:v>
                </c:pt>
                <c:pt idx="6">
                  <c:v>44.702073952336931</c:v>
                </c:pt>
                <c:pt idx="7">
                  <c:v>44.244345865025238</c:v>
                </c:pt>
                <c:pt idx="8">
                  <c:v>45.694491710482339</c:v>
                </c:pt>
                <c:pt idx="9">
                  <c:v>47.878970293367225</c:v>
                </c:pt>
                <c:pt idx="10">
                  <c:v>45.784928557236711</c:v>
                </c:pt>
                <c:pt idx="11">
                  <c:v>59.077834552264278</c:v>
                </c:pt>
                <c:pt idx="12">
                  <c:v>59.122515402058994</c:v>
                </c:pt>
                <c:pt idx="13">
                  <c:v>59.585573855047457</c:v>
                </c:pt>
                <c:pt idx="14">
                  <c:v>59.908127099941623</c:v>
                </c:pt>
                <c:pt idx="15">
                  <c:v>52.045840930990764</c:v>
                </c:pt>
                <c:pt idx="16">
                  <c:v>47.873434565029633</c:v>
                </c:pt>
                <c:pt idx="17">
                  <c:v>61.245156312269074</c:v>
                </c:pt>
                <c:pt idx="18">
                  <c:v>62.762760087212683</c:v>
                </c:pt>
                <c:pt idx="19">
                  <c:v>66.438813051454048</c:v>
                </c:pt>
                <c:pt idx="20">
                  <c:v>74.802724027471257</c:v>
                </c:pt>
                <c:pt idx="21">
                  <c:v>71.581863685103741</c:v>
                </c:pt>
                <c:pt idx="22">
                  <c:v>79.819882755023613</c:v>
                </c:pt>
                <c:pt idx="23">
                  <c:v>70.522316644839748</c:v>
                </c:pt>
                <c:pt idx="24">
                  <c:v>75.189428627357344</c:v>
                </c:pt>
                <c:pt idx="25">
                  <c:v>81.023893221611317</c:v>
                </c:pt>
                <c:pt idx="26">
                  <c:v>79.070358333263542</c:v>
                </c:pt>
                <c:pt idx="27">
                  <c:v>96.542847980950867</c:v>
                </c:pt>
                <c:pt idx="28">
                  <c:v>99.843917572491421</c:v>
                </c:pt>
                <c:pt idx="29">
                  <c:v>109.77579166249613</c:v>
                </c:pt>
                <c:pt idx="30">
                  <c:v>99.934768899833983</c:v>
                </c:pt>
                <c:pt idx="31">
                  <c:v>96.167278253839854</c:v>
                </c:pt>
                <c:pt idx="32">
                  <c:v>100.9197737927139</c:v>
                </c:pt>
                <c:pt idx="33">
                  <c:v>101.8464557199578</c:v>
                </c:pt>
                <c:pt idx="34">
                  <c:v>114.93629932296729</c:v>
                </c:pt>
                <c:pt idx="35">
                  <c:v>126.76900293939417</c:v>
                </c:pt>
                <c:pt idx="36">
                  <c:v>129.38326720036289</c:v>
                </c:pt>
                <c:pt idx="37">
                  <c:v>115.97027325799178</c:v>
                </c:pt>
                <c:pt idx="38">
                  <c:v>145.24700713234512</c:v>
                </c:pt>
                <c:pt idx="39">
                  <c:v>161.45934986357256</c:v>
                </c:pt>
                <c:pt idx="40">
                  <c:v>193.83270384181574</c:v>
                </c:pt>
                <c:pt idx="41">
                  <c:v>171.36989277372294</c:v>
                </c:pt>
                <c:pt idx="42">
                  <c:v>192.18449002903623</c:v>
                </c:pt>
                <c:pt idx="43">
                  <c:v>196.48919404552694</c:v>
                </c:pt>
              </c:numCache>
            </c:numRef>
          </c:val>
          <c:smooth val="0"/>
          <c:extLst>
            <c:ext xmlns:c16="http://schemas.microsoft.com/office/drawing/2014/chart" uri="{C3380CC4-5D6E-409C-BE32-E72D297353CC}">
              <c16:uniqueId val="{00000033-03A6-48CF-BE10-152E9F0D7465}"/>
            </c:ext>
          </c:extLst>
        </c:ser>
        <c:ser>
          <c:idx val="2"/>
          <c:order val="4"/>
          <c:tx>
            <c:strRef>
              <c:f>'Prerađivačka_FS graf'!$BT$7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graf'!$BT$44:$BT$87</c:f>
              <c:numCache>
                <c:formatCode>0.0</c:formatCode>
                <c:ptCount val="44"/>
                <c:pt idx="0">
                  <c:v>55.570024372230591</c:v>
                </c:pt>
                <c:pt idx="1">
                  <c:v>54.924601757976731</c:v>
                </c:pt>
                <c:pt idx="2">
                  <c:v>53.231693487243753</c:v>
                </c:pt>
                <c:pt idx="3">
                  <c:v>50.603893623629958</c:v>
                </c:pt>
                <c:pt idx="4">
                  <c:v>47.78316851352605</c:v>
                </c:pt>
                <c:pt idx="5">
                  <c:v>45.090224646959655</c:v>
                </c:pt>
                <c:pt idx="6">
                  <c:v>43.426473353020008</c:v>
                </c:pt>
                <c:pt idx="7">
                  <c:v>43.469465460538693</c:v>
                </c:pt>
                <c:pt idx="8">
                  <c:v>45.214524557750195</c:v>
                </c:pt>
                <c:pt idx="9">
                  <c:v>48.227797910056076</c:v>
                </c:pt>
                <c:pt idx="10">
                  <c:v>51.643954054362744</c:v>
                </c:pt>
                <c:pt idx="11">
                  <c:v>54.637857914599266</c:v>
                </c:pt>
                <c:pt idx="12">
                  <c:v>56.726762287682021</c:v>
                </c:pt>
                <c:pt idx="13">
                  <c:v>57.654031181056489</c:v>
                </c:pt>
                <c:pt idx="14">
                  <c:v>57.546064640735587</c:v>
                </c:pt>
                <c:pt idx="15">
                  <c:v>57.323535852187746</c:v>
                </c:pt>
                <c:pt idx="16">
                  <c:v>57.8389298349177</c:v>
                </c:pt>
                <c:pt idx="17">
                  <c:v>59.930383553542875</c:v>
                </c:pt>
                <c:pt idx="18">
                  <c:v>63.491719636904861</c:v>
                </c:pt>
                <c:pt idx="19">
                  <c:v>67.377668067485757</c:v>
                </c:pt>
                <c:pt idx="20">
                  <c:v>70.782962459425889</c:v>
                </c:pt>
                <c:pt idx="21">
                  <c:v>72.920045069862326</c:v>
                </c:pt>
                <c:pt idx="22">
                  <c:v>73.979001094338301</c:v>
                </c:pt>
                <c:pt idx="23">
                  <c:v>74.878388151521392</c:v>
                </c:pt>
                <c:pt idx="24">
                  <c:v>76.897804795426339</c:v>
                </c:pt>
                <c:pt idx="25">
                  <c:v>80.883300010280493</c:v>
                </c:pt>
                <c:pt idx="26">
                  <c:v>86.566503565887814</c:v>
                </c:pt>
                <c:pt idx="27">
                  <c:v>92.716577197963915</c:v>
                </c:pt>
                <c:pt idx="28">
                  <c:v>97.600703277657473</c:v>
                </c:pt>
                <c:pt idx="29">
                  <c:v>100.24216786780245</c:v>
                </c:pt>
                <c:pt idx="30">
                  <c:v>100.9595861249978</c:v>
                </c:pt>
                <c:pt idx="31">
                  <c:v>101.37376126028208</c:v>
                </c:pt>
                <c:pt idx="32">
                  <c:v>102.99534990090046</c:v>
                </c:pt>
                <c:pt idx="33">
                  <c:v>106.76295792340196</c:v>
                </c:pt>
                <c:pt idx="34">
                  <c:v>112.8471845681601</c:v>
                </c:pt>
                <c:pt idx="35">
                  <c:v>120.86598948368918</c:v>
                </c:pt>
                <c:pt idx="36">
                  <c:v>129.91242428198717</c:v>
                </c:pt>
                <c:pt idx="37">
                  <c:v>139.29660168347581</c:v>
                </c:pt>
                <c:pt idx="38">
                  <c:v>149.10167806841056</c:v>
                </c:pt>
                <c:pt idx="39">
                  <c:v>159.35345150686763</c:v>
                </c:pt>
                <c:pt idx="40">
                  <c:v>169.74741268913192</c:v>
                </c:pt>
                <c:pt idx="41">
                  <c:v>179.86396871477882</c:v>
                </c:pt>
                <c:pt idx="42">
                  <c:v>188.79202984680913</c:v>
                </c:pt>
                <c:pt idx="43">
                  <c:v>195.87521946775303</c:v>
                </c:pt>
              </c:numCache>
            </c:numRef>
          </c:val>
          <c:smooth val="0"/>
          <c:extLst>
            <c:ext xmlns:c16="http://schemas.microsoft.com/office/drawing/2014/chart" uri="{C3380CC4-5D6E-409C-BE32-E72D297353CC}">
              <c16:uniqueId val="{00000034-03A6-48CF-BE10-152E9F0D7465}"/>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250"/>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4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graf'!$L$7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5458330067323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5B9-4A4F-B4EF-D5B7B10D7D94}"/>
                </c:ext>
              </c:extLst>
            </c:dLbl>
            <c:dLbl>
              <c:idx val="12"/>
              <c:layout>
                <c:manualLayout>
                  <c:x val="7.10857959048588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5B9-4A4F-B4EF-D5B7B10D7D94}"/>
                </c:ext>
              </c:extLst>
            </c:dLbl>
            <c:dLbl>
              <c:idx val="24"/>
              <c:layout>
                <c:manualLayout>
                  <c:x val="6.758602670289760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5B9-4A4F-B4EF-D5B7B10D7D94}"/>
                </c:ext>
              </c:extLst>
            </c:dLbl>
            <c:dLbl>
              <c:idx val="36"/>
              <c:layout>
                <c:manualLayout>
                  <c:x val="-1.01471010895409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5B9-4A4F-B4EF-D5B7B10D7D9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graf'!$L$44:$L$87</c:f>
              <c:numCache>
                <c:formatCode>General</c:formatCode>
                <c:ptCount val="44"/>
                <c:pt idx="0">
                  <c:v>75</c:v>
                </c:pt>
                <c:pt idx="12">
                  <c:v>75</c:v>
                </c:pt>
                <c:pt idx="24">
                  <c:v>75</c:v>
                </c:pt>
                <c:pt idx="36">
                  <c:v>75</c:v>
                </c:pt>
              </c:numCache>
            </c:numRef>
          </c:val>
          <c:smooth val="0"/>
          <c:extLst>
            <c:ext xmlns:c16="http://schemas.microsoft.com/office/drawing/2014/chart" uri="{C3380CC4-5D6E-409C-BE32-E72D297353CC}">
              <c16:uniqueId val="{00000004-75B9-4A4F-B4EF-D5B7B10D7D94}"/>
            </c:ext>
          </c:extLst>
        </c:ser>
        <c:ser>
          <c:idx val="4"/>
          <c:order val="1"/>
          <c:tx>
            <c:strRef>
              <c:f>'Prerađivačka_FS graf'!$M$7</c:f>
              <c:strCache>
                <c:ptCount val="1"/>
                <c:pt idx="0">
                  <c:v>Series5</c:v>
                </c:pt>
              </c:strCache>
            </c:strRef>
          </c:tx>
          <c:spPr>
            <a:ln w="25400" cap="rnd">
              <a:noFill/>
              <a:round/>
            </a:ln>
            <a:effectLst/>
          </c:spPr>
          <c:marker>
            <c:symbol val="none"/>
          </c:marker>
          <c:dLbls>
            <c:dLbl>
              <c:idx val="0"/>
              <c:tx>
                <c:rich>
                  <a:bodyPr/>
                  <a:lstStyle/>
                  <a:p>
                    <a:fld id="{F7E9A183-8C21-416F-8CA8-AFC975A5CF0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75B9-4A4F-B4EF-D5B7B10D7D94}"/>
                </c:ext>
              </c:extLst>
            </c:dLbl>
            <c:dLbl>
              <c:idx val="1"/>
              <c:tx>
                <c:rich>
                  <a:bodyPr/>
                  <a:lstStyle/>
                  <a:p>
                    <a:fld id="{B515BACA-6E7B-4CDA-B113-C7978C61A55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75B9-4A4F-B4EF-D5B7B10D7D94}"/>
                </c:ext>
              </c:extLst>
            </c:dLbl>
            <c:dLbl>
              <c:idx val="2"/>
              <c:tx>
                <c:rich>
                  <a:bodyPr/>
                  <a:lstStyle/>
                  <a:p>
                    <a:fld id="{9A2C16A6-54BF-4D7C-BDB2-F3B87105559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75B9-4A4F-B4EF-D5B7B10D7D94}"/>
                </c:ext>
              </c:extLst>
            </c:dLbl>
            <c:dLbl>
              <c:idx val="3"/>
              <c:tx>
                <c:rich>
                  <a:bodyPr/>
                  <a:lstStyle/>
                  <a:p>
                    <a:fld id="{1275A421-43A6-455B-A33F-9F70B01B40A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5B9-4A4F-B4EF-D5B7B10D7D94}"/>
                </c:ext>
              </c:extLst>
            </c:dLbl>
            <c:dLbl>
              <c:idx val="4"/>
              <c:tx>
                <c:rich>
                  <a:bodyPr/>
                  <a:lstStyle/>
                  <a:p>
                    <a:fld id="{BBE690B3-3DBB-40B2-9DA7-BD1B0F68F09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5B9-4A4F-B4EF-D5B7B10D7D94}"/>
                </c:ext>
              </c:extLst>
            </c:dLbl>
            <c:dLbl>
              <c:idx val="5"/>
              <c:tx>
                <c:rich>
                  <a:bodyPr/>
                  <a:lstStyle/>
                  <a:p>
                    <a:fld id="{C3B9A903-35E3-40D4-B12F-F0CC3007DA8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5B9-4A4F-B4EF-D5B7B10D7D94}"/>
                </c:ext>
              </c:extLst>
            </c:dLbl>
            <c:dLbl>
              <c:idx val="6"/>
              <c:tx>
                <c:rich>
                  <a:bodyPr/>
                  <a:lstStyle/>
                  <a:p>
                    <a:fld id="{56533A42-BBC0-4C77-9BD2-B6BF6AF2419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5B9-4A4F-B4EF-D5B7B10D7D94}"/>
                </c:ext>
              </c:extLst>
            </c:dLbl>
            <c:dLbl>
              <c:idx val="7"/>
              <c:tx>
                <c:rich>
                  <a:bodyPr/>
                  <a:lstStyle/>
                  <a:p>
                    <a:fld id="{48C869F3-DD00-4422-8833-16F0A419DD3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5B9-4A4F-B4EF-D5B7B10D7D94}"/>
                </c:ext>
              </c:extLst>
            </c:dLbl>
            <c:dLbl>
              <c:idx val="8"/>
              <c:tx>
                <c:rich>
                  <a:bodyPr/>
                  <a:lstStyle/>
                  <a:p>
                    <a:fld id="{3CFB50BC-2A52-4E01-89FF-18A3E5F8FBB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5B9-4A4F-B4EF-D5B7B10D7D94}"/>
                </c:ext>
              </c:extLst>
            </c:dLbl>
            <c:dLbl>
              <c:idx val="9"/>
              <c:tx>
                <c:rich>
                  <a:bodyPr/>
                  <a:lstStyle/>
                  <a:p>
                    <a:fld id="{F41AD0CC-A520-4826-B198-674A1FCB863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5B9-4A4F-B4EF-D5B7B10D7D94}"/>
                </c:ext>
              </c:extLst>
            </c:dLbl>
            <c:dLbl>
              <c:idx val="10"/>
              <c:tx>
                <c:rich>
                  <a:bodyPr/>
                  <a:lstStyle/>
                  <a:p>
                    <a:fld id="{306DE0F7-F327-49D3-91BC-46FBF3AD965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5B9-4A4F-B4EF-D5B7B10D7D94}"/>
                </c:ext>
              </c:extLst>
            </c:dLbl>
            <c:dLbl>
              <c:idx val="11"/>
              <c:tx>
                <c:rich>
                  <a:bodyPr/>
                  <a:lstStyle/>
                  <a:p>
                    <a:fld id="{35F2E910-C00A-41B4-8AB4-2C40EE40BAE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5B9-4A4F-B4EF-D5B7B10D7D94}"/>
                </c:ext>
              </c:extLst>
            </c:dLbl>
            <c:dLbl>
              <c:idx val="12"/>
              <c:tx>
                <c:rich>
                  <a:bodyPr/>
                  <a:lstStyle/>
                  <a:p>
                    <a:fld id="{FCA8A36B-FD1F-400B-9CE8-9AF156873D4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5B9-4A4F-B4EF-D5B7B10D7D94}"/>
                </c:ext>
              </c:extLst>
            </c:dLbl>
            <c:dLbl>
              <c:idx val="13"/>
              <c:tx>
                <c:rich>
                  <a:bodyPr/>
                  <a:lstStyle/>
                  <a:p>
                    <a:fld id="{0534F114-A39C-4A83-B816-9BB9027381D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5B9-4A4F-B4EF-D5B7B10D7D94}"/>
                </c:ext>
              </c:extLst>
            </c:dLbl>
            <c:dLbl>
              <c:idx val="14"/>
              <c:tx>
                <c:rich>
                  <a:bodyPr/>
                  <a:lstStyle/>
                  <a:p>
                    <a:fld id="{F336A0D5-998A-4EA8-B2C3-285C1DEC86A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5B9-4A4F-B4EF-D5B7B10D7D94}"/>
                </c:ext>
              </c:extLst>
            </c:dLbl>
            <c:dLbl>
              <c:idx val="15"/>
              <c:tx>
                <c:rich>
                  <a:bodyPr/>
                  <a:lstStyle/>
                  <a:p>
                    <a:fld id="{C080C402-4569-4017-A3F7-56E8D69254C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5B9-4A4F-B4EF-D5B7B10D7D94}"/>
                </c:ext>
              </c:extLst>
            </c:dLbl>
            <c:dLbl>
              <c:idx val="16"/>
              <c:tx>
                <c:rich>
                  <a:bodyPr/>
                  <a:lstStyle/>
                  <a:p>
                    <a:fld id="{31A8910E-5157-4A75-A3BE-9B65E4BDE98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5B9-4A4F-B4EF-D5B7B10D7D94}"/>
                </c:ext>
              </c:extLst>
            </c:dLbl>
            <c:dLbl>
              <c:idx val="17"/>
              <c:tx>
                <c:rich>
                  <a:bodyPr/>
                  <a:lstStyle/>
                  <a:p>
                    <a:fld id="{BBED0B58-BB66-499F-8AEA-33DF97911A5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5B9-4A4F-B4EF-D5B7B10D7D94}"/>
                </c:ext>
              </c:extLst>
            </c:dLbl>
            <c:dLbl>
              <c:idx val="18"/>
              <c:tx>
                <c:rich>
                  <a:bodyPr/>
                  <a:lstStyle/>
                  <a:p>
                    <a:fld id="{1C4AEA49-C1DA-4512-996A-02C8C20EDE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5B9-4A4F-B4EF-D5B7B10D7D94}"/>
                </c:ext>
              </c:extLst>
            </c:dLbl>
            <c:dLbl>
              <c:idx val="19"/>
              <c:tx>
                <c:rich>
                  <a:bodyPr/>
                  <a:lstStyle/>
                  <a:p>
                    <a:fld id="{A86F77CF-7885-4068-8776-276C7342702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5B9-4A4F-B4EF-D5B7B10D7D94}"/>
                </c:ext>
              </c:extLst>
            </c:dLbl>
            <c:dLbl>
              <c:idx val="20"/>
              <c:tx>
                <c:rich>
                  <a:bodyPr/>
                  <a:lstStyle/>
                  <a:p>
                    <a:fld id="{93B0252A-A9A6-4443-A95E-6AC475C5D66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5B9-4A4F-B4EF-D5B7B10D7D94}"/>
                </c:ext>
              </c:extLst>
            </c:dLbl>
            <c:dLbl>
              <c:idx val="21"/>
              <c:tx>
                <c:rich>
                  <a:bodyPr/>
                  <a:lstStyle/>
                  <a:p>
                    <a:fld id="{E38E991A-594E-49AD-B2CD-8F4AF1A7360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75B9-4A4F-B4EF-D5B7B10D7D94}"/>
                </c:ext>
              </c:extLst>
            </c:dLbl>
            <c:dLbl>
              <c:idx val="22"/>
              <c:tx>
                <c:rich>
                  <a:bodyPr/>
                  <a:lstStyle/>
                  <a:p>
                    <a:fld id="{B9DC90EA-9D9A-4973-AA4F-21DF339ABF3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5B9-4A4F-B4EF-D5B7B10D7D94}"/>
                </c:ext>
              </c:extLst>
            </c:dLbl>
            <c:dLbl>
              <c:idx val="23"/>
              <c:tx>
                <c:rich>
                  <a:bodyPr/>
                  <a:lstStyle/>
                  <a:p>
                    <a:fld id="{A5B198F3-F385-4A20-9C9D-21248A10B88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5B9-4A4F-B4EF-D5B7B10D7D94}"/>
                </c:ext>
              </c:extLst>
            </c:dLbl>
            <c:dLbl>
              <c:idx val="24"/>
              <c:tx>
                <c:rich>
                  <a:bodyPr/>
                  <a:lstStyle/>
                  <a:p>
                    <a:fld id="{BA11AD3E-4AC6-42E9-B9E3-777512F14F5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75B9-4A4F-B4EF-D5B7B10D7D94}"/>
                </c:ext>
              </c:extLst>
            </c:dLbl>
            <c:dLbl>
              <c:idx val="25"/>
              <c:tx>
                <c:rich>
                  <a:bodyPr/>
                  <a:lstStyle/>
                  <a:p>
                    <a:fld id="{D74E7ECB-E57C-46A6-B474-E8F2AA49844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5B9-4A4F-B4EF-D5B7B10D7D94}"/>
                </c:ext>
              </c:extLst>
            </c:dLbl>
            <c:dLbl>
              <c:idx val="26"/>
              <c:tx>
                <c:rich>
                  <a:bodyPr/>
                  <a:lstStyle/>
                  <a:p>
                    <a:fld id="{B31EF39F-39F2-460F-891E-AAA03DBF800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5B9-4A4F-B4EF-D5B7B10D7D94}"/>
                </c:ext>
              </c:extLst>
            </c:dLbl>
            <c:dLbl>
              <c:idx val="27"/>
              <c:tx>
                <c:rich>
                  <a:bodyPr/>
                  <a:lstStyle/>
                  <a:p>
                    <a:fld id="{896E4045-8445-4F72-A905-1C099E64B96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75B9-4A4F-B4EF-D5B7B10D7D94}"/>
                </c:ext>
              </c:extLst>
            </c:dLbl>
            <c:dLbl>
              <c:idx val="28"/>
              <c:tx>
                <c:rich>
                  <a:bodyPr/>
                  <a:lstStyle/>
                  <a:p>
                    <a:fld id="{EA64958C-F825-4304-8CC7-EF5DDA6B363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5B9-4A4F-B4EF-D5B7B10D7D94}"/>
                </c:ext>
              </c:extLst>
            </c:dLbl>
            <c:dLbl>
              <c:idx val="29"/>
              <c:tx>
                <c:rich>
                  <a:bodyPr/>
                  <a:lstStyle/>
                  <a:p>
                    <a:fld id="{C0D81FD6-EE5B-4DAE-B1A3-4C8B297E51B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5B9-4A4F-B4EF-D5B7B10D7D94}"/>
                </c:ext>
              </c:extLst>
            </c:dLbl>
            <c:dLbl>
              <c:idx val="30"/>
              <c:tx>
                <c:rich>
                  <a:bodyPr/>
                  <a:lstStyle/>
                  <a:p>
                    <a:fld id="{7734F875-4DF1-4BF6-AE7A-93DBD94CDD7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75B9-4A4F-B4EF-D5B7B10D7D94}"/>
                </c:ext>
              </c:extLst>
            </c:dLbl>
            <c:dLbl>
              <c:idx val="31"/>
              <c:tx>
                <c:rich>
                  <a:bodyPr/>
                  <a:lstStyle/>
                  <a:p>
                    <a:fld id="{427AB545-ACC2-4FCF-AB74-78C6FA66B9C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5B9-4A4F-B4EF-D5B7B10D7D94}"/>
                </c:ext>
              </c:extLst>
            </c:dLbl>
            <c:dLbl>
              <c:idx val="32"/>
              <c:tx>
                <c:rich>
                  <a:bodyPr/>
                  <a:lstStyle/>
                  <a:p>
                    <a:fld id="{362C31C0-A81B-4AF8-AA87-5DE8AC17763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75B9-4A4F-B4EF-D5B7B10D7D94}"/>
                </c:ext>
              </c:extLst>
            </c:dLbl>
            <c:dLbl>
              <c:idx val="33"/>
              <c:tx>
                <c:rich>
                  <a:bodyPr/>
                  <a:lstStyle/>
                  <a:p>
                    <a:fld id="{7CD5731F-8E03-4151-A62C-52F8ABE04F0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75B9-4A4F-B4EF-D5B7B10D7D94}"/>
                </c:ext>
              </c:extLst>
            </c:dLbl>
            <c:dLbl>
              <c:idx val="34"/>
              <c:tx>
                <c:rich>
                  <a:bodyPr/>
                  <a:lstStyle/>
                  <a:p>
                    <a:fld id="{7631BE85-AD52-4514-AC83-2872A84FC2D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75B9-4A4F-B4EF-D5B7B10D7D94}"/>
                </c:ext>
              </c:extLst>
            </c:dLbl>
            <c:dLbl>
              <c:idx val="35"/>
              <c:tx>
                <c:rich>
                  <a:bodyPr/>
                  <a:lstStyle/>
                  <a:p>
                    <a:fld id="{441BCFB7-9529-4C9F-8B9E-1ADB69C19DF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75B9-4A4F-B4EF-D5B7B10D7D94}"/>
                </c:ext>
              </c:extLst>
            </c:dLbl>
            <c:dLbl>
              <c:idx val="36"/>
              <c:tx>
                <c:rich>
                  <a:bodyPr/>
                  <a:lstStyle/>
                  <a:p>
                    <a:fld id="{7FBEB49A-CE66-4042-B722-31F049ED406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75B9-4A4F-B4EF-D5B7B10D7D94}"/>
                </c:ext>
              </c:extLst>
            </c:dLbl>
            <c:dLbl>
              <c:idx val="37"/>
              <c:tx>
                <c:rich>
                  <a:bodyPr/>
                  <a:lstStyle/>
                  <a:p>
                    <a:fld id="{A1684BB6-FB09-4013-850F-AF5005AB138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75B9-4A4F-B4EF-D5B7B10D7D94}"/>
                </c:ext>
              </c:extLst>
            </c:dLbl>
            <c:dLbl>
              <c:idx val="38"/>
              <c:tx>
                <c:rich>
                  <a:bodyPr/>
                  <a:lstStyle/>
                  <a:p>
                    <a:fld id="{CE622FB9-E2FC-44CF-84D6-C76736E3615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75B9-4A4F-B4EF-D5B7B10D7D94}"/>
                </c:ext>
              </c:extLst>
            </c:dLbl>
            <c:dLbl>
              <c:idx val="39"/>
              <c:tx>
                <c:rich>
                  <a:bodyPr/>
                  <a:lstStyle/>
                  <a:p>
                    <a:fld id="{2669470D-5959-4FBC-B357-B751E0E52C0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75B9-4A4F-B4EF-D5B7B10D7D94}"/>
                </c:ext>
              </c:extLst>
            </c:dLbl>
            <c:dLbl>
              <c:idx val="40"/>
              <c:tx>
                <c:rich>
                  <a:bodyPr/>
                  <a:lstStyle/>
                  <a:p>
                    <a:fld id="{15465446-121B-42C8-88F5-CC9675BD3CC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75B9-4A4F-B4EF-D5B7B10D7D94}"/>
                </c:ext>
              </c:extLst>
            </c:dLbl>
            <c:dLbl>
              <c:idx val="41"/>
              <c:tx>
                <c:rich>
                  <a:bodyPr/>
                  <a:lstStyle/>
                  <a:p>
                    <a:fld id="{63324A04-3D99-478E-A4BE-C8D7BC389D2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75B9-4A4F-B4EF-D5B7B10D7D94}"/>
                </c:ext>
              </c:extLst>
            </c:dLbl>
            <c:dLbl>
              <c:idx val="42"/>
              <c:tx>
                <c:rich>
                  <a:bodyPr/>
                  <a:lstStyle/>
                  <a:p>
                    <a:fld id="{59DB914B-0176-4A8A-A6F3-D0B3539E9EE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75B9-4A4F-B4EF-D5B7B10D7D94}"/>
                </c:ext>
              </c:extLst>
            </c:dLbl>
            <c:dLbl>
              <c:idx val="43"/>
              <c:tx>
                <c:rich>
                  <a:bodyPr/>
                  <a:lstStyle/>
                  <a:p>
                    <a:fld id="{76FFDF5E-7D98-4566-99DD-5C9745FACBB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75B9-4A4F-B4EF-D5B7B10D7D94}"/>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graf'!$M$44:$M$87</c:f>
              <c:numCache>
                <c:formatCode>General</c:formatCode>
                <c:ptCount val="44"/>
                <c:pt idx="0">
                  <c:v>75</c:v>
                </c:pt>
                <c:pt idx="1">
                  <c:v>75</c:v>
                </c:pt>
                <c:pt idx="2">
                  <c:v>75</c:v>
                </c:pt>
                <c:pt idx="3">
                  <c:v>75</c:v>
                </c:pt>
                <c:pt idx="4">
                  <c:v>75</c:v>
                </c:pt>
                <c:pt idx="5">
                  <c:v>75</c:v>
                </c:pt>
                <c:pt idx="6">
                  <c:v>75</c:v>
                </c:pt>
                <c:pt idx="7">
                  <c:v>75</c:v>
                </c:pt>
                <c:pt idx="8">
                  <c:v>75</c:v>
                </c:pt>
                <c:pt idx="9">
                  <c:v>75</c:v>
                </c:pt>
                <c:pt idx="10">
                  <c:v>75</c:v>
                </c:pt>
                <c:pt idx="11">
                  <c:v>75</c:v>
                </c:pt>
                <c:pt idx="12">
                  <c:v>75</c:v>
                </c:pt>
                <c:pt idx="13">
                  <c:v>75</c:v>
                </c:pt>
                <c:pt idx="14">
                  <c:v>75</c:v>
                </c:pt>
                <c:pt idx="15">
                  <c:v>75</c:v>
                </c:pt>
                <c:pt idx="16">
                  <c:v>75</c:v>
                </c:pt>
                <c:pt idx="17">
                  <c:v>75</c:v>
                </c:pt>
                <c:pt idx="18">
                  <c:v>75</c:v>
                </c:pt>
                <c:pt idx="19">
                  <c:v>75</c:v>
                </c:pt>
                <c:pt idx="20">
                  <c:v>75</c:v>
                </c:pt>
                <c:pt idx="21">
                  <c:v>75</c:v>
                </c:pt>
                <c:pt idx="22">
                  <c:v>75</c:v>
                </c:pt>
                <c:pt idx="23">
                  <c:v>75</c:v>
                </c:pt>
                <c:pt idx="24">
                  <c:v>75</c:v>
                </c:pt>
                <c:pt idx="25">
                  <c:v>75</c:v>
                </c:pt>
                <c:pt idx="26">
                  <c:v>75</c:v>
                </c:pt>
                <c:pt idx="27">
                  <c:v>75</c:v>
                </c:pt>
                <c:pt idx="28">
                  <c:v>75</c:v>
                </c:pt>
                <c:pt idx="29">
                  <c:v>75</c:v>
                </c:pt>
                <c:pt idx="30">
                  <c:v>75</c:v>
                </c:pt>
                <c:pt idx="31">
                  <c:v>75</c:v>
                </c:pt>
                <c:pt idx="32">
                  <c:v>75</c:v>
                </c:pt>
                <c:pt idx="33">
                  <c:v>75</c:v>
                </c:pt>
                <c:pt idx="34">
                  <c:v>75</c:v>
                </c:pt>
                <c:pt idx="35">
                  <c:v>75</c:v>
                </c:pt>
                <c:pt idx="36">
                  <c:v>75</c:v>
                </c:pt>
                <c:pt idx="37">
                  <c:v>75</c:v>
                </c:pt>
                <c:pt idx="38">
                  <c:v>75</c:v>
                </c:pt>
                <c:pt idx="39">
                  <c:v>75</c:v>
                </c:pt>
                <c:pt idx="40">
                  <c:v>75</c:v>
                </c:pt>
                <c:pt idx="41">
                  <c:v>75</c:v>
                </c:pt>
                <c:pt idx="42">
                  <c:v>75</c:v>
                </c:pt>
                <c:pt idx="43">
                  <c:v>75</c:v>
                </c:pt>
              </c:numCache>
            </c:numRef>
          </c:val>
          <c:smooth val="0"/>
          <c:extLst>
            <c:ext xmlns:c15="http://schemas.microsoft.com/office/drawing/2012/chart" uri="{02D57815-91ED-43cb-92C2-25804820EDAC}">
              <c15:datalabelsRange>
                <c15:f>'Prerađivačka_FS graf'!$B$32:$B$87</c15:f>
                <c15:dlblRangeCache>
                  <c:ptCount val="56"/>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pt idx="54">
                    <c:v>VII</c:v>
                  </c:pt>
                </c15:dlblRangeCache>
              </c15:datalabelsRange>
            </c:ext>
            <c:ext xmlns:c16="http://schemas.microsoft.com/office/drawing/2014/chart" uri="{C3380CC4-5D6E-409C-BE32-E72D297353CC}">
              <c16:uniqueId val="{00000031-75B9-4A4F-B4EF-D5B7B10D7D94}"/>
            </c:ext>
          </c:extLst>
        </c:ser>
        <c:ser>
          <c:idx val="0"/>
          <c:order val="2"/>
          <c:tx>
            <c:strRef>
              <c:f>'Prerađivačka_FS graf'!$N$7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graf'!$N$44:$N$87</c:f>
              <c:numCache>
                <c:formatCode>0.0</c:formatCode>
                <c:ptCount val="44"/>
                <c:pt idx="0">
                  <c:v>80.734832003867524</c:v>
                </c:pt>
                <c:pt idx="1">
                  <c:v>83.44210780759002</c:v>
                </c:pt>
                <c:pt idx="2">
                  <c:v>99.782451051486575</c:v>
                </c:pt>
                <c:pt idx="3">
                  <c:v>95.721537345902817</c:v>
                </c:pt>
                <c:pt idx="4">
                  <c:v>87.116267826927711</c:v>
                </c:pt>
                <c:pt idx="5">
                  <c:v>94.561276287164603</c:v>
                </c:pt>
                <c:pt idx="6">
                  <c:v>91.563935218757535</c:v>
                </c:pt>
                <c:pt idx="7">
                  <c:v>90.983804689388421</c:v>
                </c:pt>
                <c:pt idx="8">
                  <c:v>104.71356055112399</c:v>
                </c:pt>
                <c:pt idx="9">
                  <c:v>118.24993956973651</c:v>
                </c:pt>
                <c:pt idx="10">
                  <c:v>108.38772057046167</c:v>
                </c:pt>
                <c:pt idx="11">
                  <c:v>105.00362581580853</c:v>
                </c:pt>
                <c:pt idx="12">
                  <c:v>81.314962533236638</c:v>
                </c:pt>
                <c:pt idx="13">
                  <c:v>88.179840464104416</c:v>
                </c:pt>
                <c:pt idx="14">
                  <c:v>102.77979211989363</c:v>
                </c:pt>
                <c:pt idx="15">
                  <c:v>92.724196277495764</c:v>
                </c:pt>
                <c:pt idx="16">
                  <c:v>95.818225767464327</c:v>
                </c:pt>
                <c:pt idx="17">
                  <c:v>100.16920473773263</c:v>
                </c:pt>
                <c:pt idx="18">
                  <c:v>88.85665941503504</c:v>
                </c:pt>
                <c:pt idx="19">
                  <c:v>97.751994198694689</c:v>
                </c:pt>
                <c:pt idx="20">
                  <c:v>96.785109983079508</c:v>
                </c:pt>
                <c:pt idx="21">
                  <c:v>111.7718153251148</c:v>
                </c:pt>
                <c:pt idx="22">
                  <c:v>113.22214164853757</c:v>
                </c:pt>
                <c:pt idx="23">
                  <c:v>104.61687212956248</c:v>
                </c:pt>
                <c:pt idx="24">
                  <c:v>85.472564660381906</c:v>
                </c:pt>
                <c:pt idx="25">
                  <c:v>87.116267826927711</c:v>
                </c:pt>
                <c:pt idx="26">
                  <c:v>101.0394005317863</c:v>
                </c:pt>
                <c:pt idx="27">
                  <c:v>93.981145757795488</c:v>
                </c:pt>
                <c:pt idx="28">
                  <c:v>98.332124728063803</c:v>
                </c:pt>
                <c:pt idx="29">
                  <c:v>94.948029973410669</c:v>
                </c:pt>
                <c:pt idx="30">
                  <c:v>91.757312061880583</c:v>
                </c:pt>
                <c:pt idx="31">
                  <c:v>94.657964708726126</c:v>
                </c:pt>
                <c:pt idx="32">
                  <c:v>110.80493110949962</c:v>
                </c:pt>
                <c:pt idx="33">
                  <c:v>117.47643219724438</c:v>
                </c:pt>
                <c:pt idx="34">
                  <c:v>113.02876480541455</c:v>
                </c:pt>
                <c:pt idx="35">
                  <c:v>111.38506163886875</c:v>
                </c:pt>
                <c:pt idx="36">
                  <c:v>95</c:v>
                </c:pt>
                <c:pt idx="37">
                  <c:v>95</c:v>
                </c:pt>
                <c:pt idx="38">
                  <c:v>102.2</c:v>
                </c:pt>
                <c:pt idx="39">
                  <c:v>106.7</c:v>
                </c:pt>
                <c:pt idx="40">
                  <c:v>99.6</c:v>
                </c:pt>
                <c:pt idx="41">
                  <c:v>104.6</c:v>
                </c:pt>
                <c:pt idx="42">
                  <c:v>95.4</c:v>
                </c:pt>
                <c:pt idx="43">
                  <c:v>99.3</c:v>
                </c:pt>
              </c:numCache>
            </c:numRef>
          </c:val>
          <c:smooth val="0"/>
          <c:extLst>
            <c:ext xmlns:c16="http://schemas.microsoft.com/office/drawing/2014/chart" uri="{C3380CC4-5D6E-409C-BE32-E72D297353CC}">
              <c16:uniqueId val="{00000032-75B9-4A4F-B4EF-D5B7B10D7D94}"/>
            </c:ext>
          </c:extLst>
        </c:ser>
        <c:ser>
          <c:idx val="1"/>
          <c:order val="3"/>
          <c:tx>
            <c:strRef>
              <c:f>'Prerađivačka_FS graf'!$O$7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graf'!$O$44:$O$87</c:f>
              <c:numCache>
                <c:formatCode>0.0</c:formatCode>
                <c:ptCount val="44"/>
                <c:pt idx="0">
                  <c:v>99.407760319455278</c:v>
                </c:pt>
                <c:pt idx="1">
                  <c:v>96.013740609827224</c:v>
                </c:pt>
                <c:pt idx="2">
                  <c:v>97.184186904424152</c:v>
                </c:pt>
                <c:pt idx="3">
                  <c:v>97.330195141622269</c:v>
                </c:pt>
                <c:pt idx="4">
                  <c:v>90.37484710835237</c:v>
                </c:pt>
                <c:pt idx="5">
                  <c:v>94.436495154040827</c:v>
                </c:pt>
                <c:pt idx="6">
                  <c:v>97.810265406996976</c:v>
                </c:pt>
                <c:pt idx="7">
                  <c:v>96.403187568936957</c:v>
                </c:pt>
                <c:pt idx="8">
                  <c:v>94.551581274169934</c:v>
                </c:pt>
                <c:pt idx="9">
                  <c:v>99.88153867139944</c:v>
                </c:pt>
                <c:pt idx="10">
                  <c:v>96.848558473381345</c:v>
                </c:pt>
                <c:pt idx="11">
                  <c:v>98.387178706367251</c:v>
                </c:pt>
                <c:pt idx="12">
                  <c:v>96.667173600756996</c:v>
                </c:pt>
                <c:pt idx="13">
                  <c:v>100.69473020086812</c:v>
                </c:pt>
                <c:pt idx="14">
                  <c:v>99.936853067720165</c:v>
                </c:pt>
                <c:pt idx="15">
                  <c:v>96.849437290421761</c:v>
                </c:pt>
                <c:pt idx="16">
                  <c:v>97.578038277385119</c:v>
                </c:pt>
                <c:pt idx="17">
                  <c:v>99.827345503855227</c:v>
                </c:pt>
                <c:pt idx="18">
                  <c:v>97.053407271877433</c:v>
                </c:pt>
                <c:pt idx="19">
                  <c:v>102.22347061201991</c:v>
                </c:pt>
                <c:pt idx="20">
                  <c:v>88.038785981697217</c:v>
                </c:pt>
                <c:pt idx="21">
                  <c:v>95.384523514848524</c:v>
                </c:pt>
                <c:pt idx="22">
                  <c:v>101.58146091684848</c:v>
                </c:pt>
                <c:pt idx="23">
                  <c:v>98.485173455736415</c:v>
                </c:pt>
                <c:pt idx="24">
                  <c:v>99.187836005823513</c:v>
                </c:pt>
                <c:pt idx="25">
                  <c:v>99.003246276545212</c:v>
                </c:pt>
                <c:pt idx="26">
                  <c:v>98.347678389100864</c:v>
                </c:pt>
                <c:pt idx="27">
                  <c:v>99.602006755084162</c:v>
                </c:pt>
                <c:pt idx="28">
                  <c:v>100.50375711167908</c:v>
                </c:pt>
                <c:pt idx="29">
                  <c:v>94.014621683623986</c:v>
                </c:pt>
                <c:pt idx="30">
                  <c:v>101.08069296142203</c:v>
                </c:pt>
                <c:pt idx="31">
                  <c:v>99.171729137434838</c:v>
                </c:pt>
                <c:pt idx="32">
                  <c:v>102.88627162011365</c:v>
                </c:pt>
                <c:pt idx="33">
                  <c:v>99.392633322000066</c:v>
                </c:pt>
                <c:pt idx="34">
                  <c:v>99.892643050617849</c:v>
                </c:pt>
                <c:pt idx="35">
                  <c:v>105.82083952250063</c:v>
                </c:pt>
                <c:pt idx="36">
                  <c:v>110.11105727062238</c:v>
                </c:pt>
                <c:pt idx="37">
                  <c:v>103.54737045451338</c:v>
                </c:pt>
                <c:pt idx="38">
                  <c:v>103.0223156426418</c:v>
                </c:pt>
                <c:pt idx="39">
                  <c:v>105.59810861855642</c:v>
                </c:pt>
                <c:pt idx="40">
                  <c:v>105.0366315080001</c:v>
                </c:pt>
                <c:pt idx="41">
                  <c:v>106.73865170739575</c:v>
                </c:pt>
                <c:pt idx="42">
                  <c:v>102.24166260413492</c:v>
                </c:pt>
                <c:pt idx="43">
                  <c:v>105.82100805352172</c:v>
                </c:pt>
              </c:numCache>
            </c:numRef>
          </c:val>
          <c:smooth val="0"/>
          <c:extLst>
            <c:ext xmlns:c16="http://schemas.microsoft.com/office/drawing/2014/chart" uri="{C3380CC4-5D6E-409C-BE32-E72D297353CC}">
              <c16:uniqueId val="{00000033-75B9-4A4F-B4EF-D5B7B10D7D94}"/>
            </c:ext>
          </c:extLst>
        </c:ser>
        <c:ser>
          <c:idx val="2"/>
          <c:order val="4"/>
          <c:tx>
            <c:strRef>
              <c:f>'Prerađivačka_FS graf'!$P$7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graf'!$P$44:$P$87</c:f>
              <c:numCache>
                <c:formatCode>0.0</c:formatCode>
                <c:ptCount val="44"/>
                <c:pt idx="0">
                  <c:v>97.231401311880177</c:v>
                </c:pt>
                <c:pt idx="1">
                  <c:v>97.038696953518951</c:v>
                </c:pt>
                <c:pt idx="2">
                  <c:v>96.805174049854259</c:v>
                </c:pt>
                <c:pt idx="3">
                  <c:v>96.497069082365357</c:v>
                </c:pt>
                <c:pt idx="4">
                  <c:v>96.184436273718859</c:v>
                </c:pt>
                <c:pt idx="5">
                  <c:v>96.003977570324807</c:v>
                </c:pt>
                <c:pt idx="6">
                  <c:v>96.10432192808986</c:v>
                </c:pt>
                <c:pt idx="7">
                  <c:v>96.400495171713629</c:v>
                </c:pt>
                <c:pt idx="8">
                  <c:v>96.749441382580201</c:v>
                </c:pt>
                <c:pt idx="9">
                  <c:v>97.236821715006684</c:v>
                </c:pt>
                <c:pt idx="10">
                  <c:v>97.763794402498291</c:v>
                </c:pt>
                <c:pt idx="11">
                  <c:v>98.18646159251044</c:v>
                </c:pt>
                <c:pt idx="12">
                  <c:v>98.519784475341069</c:v>
                </c:pt>
                <c:pt idx="13">
                  <c:v>98.705291192385104</c:v>
                </c:pt>
                <c:pt idx="14">
                  <c:v>98.695056037818404</c:v>
                </c:pt>
                <c:pt idx="15">
                  <c:v>98.627946706783831</c:v>
                </c:pt>
                <c:pt idx="16">
                  <c:v>98.440531359199397</c:v>
                </c:pt>
                <c:pt idx="17">
                  <c:v>98.09503555465335</c:v>
                </c:pt>
                <c:pt idx="18">
                  <c:v>97.783164765258618</c:v>
                </c:pt>
                <c:pt idx="19">
                  <c:v>97.616895092734296</c:v>
                </c:pt>
                <c:pt idx="20">
                  <c:v>97.676389531359064</c:v>
                </c:pt>
                <c:pt idx="21">
                  <c:v>97.840740047553382</c:v>
                </c:pt>
                <c:pt idx="22">
                  <c:v>98.090642338420324</c:v>
                </c:pt>
                <c:pt idx="23">
                  <c:v>98.454423805228174</c:v>
                </c:pt>
                <c:pt idx="24">
                  <c:v>98.797984648362927</c:v>
                </c:pt>
                <c:pt idx="25">
                  <c:v>99.075867195889955</c:v>
                </c:pt>
                <c:pt idx="26">
                  <c:v>99.273778234683135</c:v>
                </c:pt>
                <c:pt idx="27">
                  <c:v>99.476347338822492</c:v>
                </c:pt>
                <c:pt idx="28">
                  <c:v>99.788011894744287</c:v>
                </c:pt>
                <c:pt idx="29">
                  <c:v>100.06661770739986</c:v>
                </c:pt>
                <c:pt idx="30">
                  <c:v>100.22433243037378</c:v>
                </c:pt>
                <c:pt idx="31">
                  <c:v>100.41262561150565</c:v>
                </c:pt>
                <c:pt idx="32">
                  <c:v>100.76144909920092</c:v>
                </c:pt>
                <c:pt idx="33">
                  <c:v>101.28861863980482</c:v>
                </c:pt>
                <c:pt idx="34">
                  <c:v>101.96987624944002</c:v>
                </c:pt>
                <c:pt idx="35">
                  <c:v>102.66863082329186</c:v>
                </c:pt>
                <c:pt idx="36">
                  <c:v>103.38753696161928</c:v>
                </c:pt>
                <c:pt idx="37">
                  <c:v>104.02384073110353</c:v>
                </c:pt>
                <c:pt idx="38">
                  <c:v>104.49320936325984</c:v>
                </c:pt>
                <c:pt idx="39">
                  <c:v>104.75905073209016</c:v>
                </c:pt>
                <c:pt idx="40">
                  <c:v>104.82656450184696</c:v>
                </c:pt>
                <c:pt idx="41">
                  <c:v>104.90688597354543</c:v>
                </c:pt>
                <c:pt idx="42">
                  <c:v>104.99615913905436</c:v>
                </c:pt>
                <c:pt idx="43">
                  <c:v>105.11763142373444</c:v>
                </c:pt>
              </c:numCache>
            </c:numRef>
          </c:val>
          <c:smooth val="0"/>
          <c:extLst>
            <c:ext xmlns:c16="http://schemas.microsoft.com/office/drawing/2014/chart" uri="{C3380CC4-5D6E-409C-BE32-E72D297353CC}">
              <c16:uniqueId val="{00000034-75B9-4A4F-B4EF-D5B7B10D7D94}"/>
            </c:ext>
          </c:extLst>
        </c:ser>
        <c:dLbls>
          <c:showLegendKey val="0"/>
          <c:showVal val="0"/>
          <c:showCatName val="0"/>
          <c:showSerName val="0"/>
          <c:showPercent val="0"/>
          <c:showBubbleSize val="0"/>
        </c:dLbls>
        <c:marker val="1"/>
        <c:smooth val="0"/>
        <c:axId val="2092140400"/>
        <c:axId val="2092173040"/>
      </c:lineChart>
      <c:dateAx>
        <c:axId val="20921404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3040"/>
        <c:crosses val="autoZero"/>
        <c:auto val="1"/>
        <c:lblOffset val="0"/>
        <c:baseTimeUnit val="months"/>
        <c:majorUnit val="12"/>
        <c:majorTimeUnit val="months"/>
      </c:dateAx>
      <c:valAx>
        <c:axId val="2092173040"/>
        <c:scaling>
          <c:orientation val="minMax"/>
          <c:max val="120"/>
          <c:min val="75"/>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4040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17342077530719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A7A-4278-8178-8D82C0F3392A}"/>
                </c:ext>
              </c:extLst>
            </c:dLbl>
            <c:dLbl>
              <c:idx val="12"/>
              <c:layout>
                <c:manualLayout>
                  <c:x val="7.530809360820073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A7A-4278-8178-8D82C0F3392A}"/>
                </c:ext>
              </c:extLst>
            </c:dLbl>
            <c:dLbl>
              <c:idx val="24"/>
              <c:layout>
                <c:manualLayout>
                  <c:x val="7.202501328177392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A7A-4278-8178-8D82C0F3392A}"/>
                </c:ext>
              </c:extLst>
            </c:dLbl>
            <c:dLbl>
              <c:idx val="36"/>
              <c:layout>
                <c:manualLayout>
                  <c:x val="-1.327306456248546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A7A-4278-8178-8D82C0F3392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graf'!$AV$44:$AV$87</c:f>
              <c:numCache>
                <c:formatCode>General</c:formatCode>
                <c:ptCount val="44"/>
                <c:pt idx="0">
                  <c:v>70</c:v>
                </c:pt>
                <c:pt idx="12">
                  <c:v>70</c:v>
                </c:pt>
                <c:pt idx="24">
                  <c:v>70</c:v>
                </c:pt>
                <c:pt idx="36">
                  <c:v>70</c:v>
                </c:pt>
              </c:numCache>
            </c:numRef>
          </c:val>
          <c:smooth val="0"/>
          <c:extLst>
            <c:ext xmlns:c16="http://schemas.microsoft.com/office/drawing/2014/chart" uri="{C3380CC4-5D6E-409C-BE32-E72D297353CC}">
              <c16:uniqueId val="{00000004-FA7A-4278-8178-8D82C0F3392A}"/>
            </c:ext>
          </c:extLst>
        </c:ser>
        <c:ser>
          <c:idx val="4"/>
          <c:order val="1"/>
          <c:tx>
            <c:strRef>
              <c:f>'Prerađivačka_FS graf'!$AW$7</c:f>
              <c:strCache>
                <c:ptCount val="1"/>
                <c:pt idx="0">
                  <c:v>Series5</c:v>
                </c:pt>
              </c:strCache>
            </c:strRef>
          </c:tx>
          <c:spPr>
            <a:ln w="25400" cap="rnd">
              <a:noFill/>
              <a:round/>
            </a:ln>
            <a:effectLst/>
          </c:spPr>
          <c:marker>
            <c:symbol val="none"/>
          </c:marker>
          <c:dLbls>
            <c:dLbl>
              <c:idx val="0"/>
              <c:tx>
                <c:rich>
                  <a:bodyPr/>
                  <a:lstStyle/>
                  <a:p>
                    <a:fld id="{C023D100-4A75-436E-8262-CCDBA12E14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FA7A-4278-8178-8D82C0F3392A}"/>
                </c:ext>
              </c:extLst>
            </c:dLbl>
            <c:dLbl>
              <c:idx val="1"/>
              <c:tx>
                <c:rich>
                  <a:bodyPr/>
                  <a:lstStyle/>
                  <a:p>
                    <a:fld id="{416C8C7D-8874-4D8D-8B92-B2DC1906B65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FA7A-4278-8178-8D82C0F3392A}"/>
                </c:ext>
              </c:extLst>
            </c:dLbl>
            <c:dLbl>
              <c:idx val="2"/>
              <c:tx>
                <c:rich>
                  <a:bodyPr/>
                  <a:lstStyle/>
                  <a:p>
                    <a:fld id="{42C346C7-DE46-40A0-B87B-474D85EB551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FA7A-4278-8178-8D82C0F3392A}"/>
                </c:ext>
              </c:extLst>
            </c:dLbl>
            <c:dLbl>
              <c:idx val="3"/>
              <c:tx>
                <c:rich>
                  <a:bodyPr/>
                  <a:lstStyle/>
                  <a:p>
                    <a:fld id="{4FC39E96-DD7C-4694-815D-855D6E0FEE0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FA7A-4278-8178-8D82C0F3392A}"/>
                </c:ext>
              </c:extLst>
            </c:dLbl>
            <c:dLbl>
              <c:idx val="4"/>
              <c:tx>
                <c:rich>
                  <a:bodyPr/>
                  <a:lstStyle/>
                  <a:p>
                    <a:fld id="{517577B9-E6C9-4850-B6AF-671F1B19B56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FA7A-4278-8178-8D82C0F3392A}"/>
                </c:ext>
              </c:extLst>
            </c:dLbl>
            <c:dLbl>
              <c:idx val="5"/>
              <c:tx>
                <c:rich>
                  <a:bodyPr/>
                  <a:lstStyle/>
                  <a:p>
                    <a:fld id="{EEC45F42-1B3E-444B-8A3D-C4F64A022B8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FA7A-4278-8178-8D82C0F3392A}"/>
                </c:ext>
              </c:extLst>
            </c:dLbl>
            <c:dLbl>
              <c:idx val="6"/>
              <c:tx>
                <c:rich>
                  <a:bodyPr/>
                  <a:lstStyle/>
                  <a:p>
                    <a:fld id="{419C577D-5DD4-4EFC-8749-E11CE4832C3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FA7A-4278-8178-8D82C0F3392A}"/>
                </c:ext>
              </c:extLst>
            </c:dLbl>
            <c:dLbl>
              <c:idx val="7"/>
              <c:tx>
                <c:rich>
                  <a:bodyPr/>
                  <a:lstStyle/>
                  <a:p>
                    <a:fld id="{E0422440-D15E-4FCD-80B1-01B15B74BA0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FA7A-4278-8178-8D82C0F3392A}"/>
                </c:ext>
              </c:extLst>
            </c:dLbl>
            <c:dLbl>
              <c:idx val="8"/>
              <c:tx>
                <c:rich>
                  <a:bodyPr/>
                  <a:lstStyle/>
                  <a:p>
                    <a:fld id="{31F09A8C-4A43-4517-8C57-88B5F0151E8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FA7A-4278-8178-8D82C0F3392A}"/>
                </c:ext>
              </c:extLst>
            </c:dLbl>
            <c:dLbl>
              <c:idx val="9"/>
              <c:tx>
                <c:rich>
                  <a:bodyPr/>
                  <a:lstStyle/>
                  <a:p>
                    <a:fld id="{8A8F1959-0A82-44BA-81C1-9C5A7CACA2C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FA7A-4278-8178-8D82C0F3392A}"/>
                </c:ext>
              </c:extLst>
            </c:dLbl>
            <c:dLbl>
              <c:idx val="10"/>
              <c:tx>
                <c:rich>
                  <a:bodyPr/>
                  <a:lstStyle/>
                  <a:p>
                    <a:fld id="{2F98D278-5C18-4E90-8E39-AEE554C2C80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FA7A-4278-8178-8D82C0F3392A}"/>
                </c:ext>
              </c:extLst>
            </c:dLbl>
            <c:dLbl>
              <c:idx val="11"/>
              <c:tx>
                <c:rich>
                  <a:bodyPr/>
                  <a:lstStyle/>
                  <a:p>
                    <a:fld id="{6C97FC83-0949-4082-89EA-FBABA5B6C5D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FA7A-4278-8178-8D82C0F3392A}"/>
                </c:ext>
              </c:extLst>
            </c:dLbl>
            <c:dLbl>
              <c:idx val="12"/>
              <c:tx>
                <c:rich>
                  <a:bodyPr/>
                  <a:lstStyle/>
                  <a:p>
                    <a:fld id="{A3278922-8980-4FF9-B9A6-61966E8AAE3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FA7A-4278-8178-8D82C0F3392A}"/>
                </c:ext>
              </c:extLst>
            </c:dLbl>
            <c:dLbl>
              <c:idx val="13"/>
              <c:tx>
                <c:rich>
                  <a:bodyPr/>
                  <a:lstStyle/>
                  <a:p>
                    <a:fld id="{148A2896-83FA-4394-850E-EB05239FA6B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FA7A-4278-8178-8D82C0F3392A}"/>
                </c:ext>
              </c:extLst>
            </c:dLbl>
            <c:dLbl>
              <c:idx val="14"/>
              <c:tx>
                <c:rich>
                  <a:bodyPr/>
                  <a:lstStyle/>
                  <a:p>
                    <a:fld id="{731CB7CC-B890-4167-8D5D-E48D5778CCA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FA7A-4278-8178-8D82C0F3392A}"/>
                </c:ext>
              </c:extLst>
            </c:dLbl>
            <c:dLbl>
              <c:idx val="15"/>
              <c:tx>
                <c:rich>
                  <a:bodyPr/>
                  <a:lstStyle/>
                  <a:p>
                    <a:fld id="{96D3D6A3-98EC-466B-BC6D-32505E2D8B2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FA7A-4278-8178-8D82C0F3392A}"/>
                </c:ext>
              </c:extLst>
            </c:dLbl>
            <c:dLbl>
              <c:idx val="16"/>
              <c:tx>
                <c:rich>
                  <a:bodyPr/>
                  <a:lstStyle/>
                  <a:p>
                    <a:fld id="{1875AFD2-6D8E-4D80-9569-E598D7ED7A4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FA7A-4278-8178-8D82C0F3392A}"/>
                </c:ext>
              </c:extLst>
            </c:dLbl>
            <c:dLbl>
              <c:idx val="17"/>
              <c:tx>
                <c:rich>
                  <a:bodyPr/>
                  <a:lstStyle/>
                  <a:p>
                    <a:fld id="{EE9955BF-26B7-4BB3-A88D-C595B0F7E9C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FA7A-4278-8178-8D82C0F3392A}"/>
                </c:ext>
              </c:extLst>
            </c:dLbl>
            <c:dLbl>
              <c:idx val="18"/>
              <c:tx>
                <c:rich>
                  <a:bodyPr/>
                  <a:lstStyle/>
                  <a:p>
                    <a:fld id="{1E537BAD-78E2-444D-A48B-622757D8FC7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FA7A-4278-8178-8D82C0F3392A}"/>
                </c:ext>
              </c:extLst>
            </c:dLbl>
            <c:dLbl>
              <c:idx val="19"/>
              <c:tx>
                <c:rich>
                  <a:bodyPr/>
                  <a:lstStyle/>
                  <a:p>
                    <a:fld id="{C2BD7BED-654A-426C-911C-FD56C105F61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FA7A-4278-8178-8D82C0F3392A}"/>
                </c:ext>
              </c:extLst>
            </c:dLbl>
            <c:dLbl>
              <c:idx val="20"/>
              <c:tx>
                <c:rich>
                  <a:bodyPr/>
                  <a:lstStyle/>
                  <a:p>
                    <a:fld id="{153D8DE4-D666-4349-BCC3-0F2C8B1B280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FA7A-4278-8178-8D82C0F3392A}"/>
                </c:ext>
              </c:extLst>
            </c:dLbl>
            <c:dLbl>
              <c:idx val="21"/>
              <c:tx>
                <c:rich>
                  <a:bodyPr/>
                  <a:lstStyle/>
                  <a:p>
                    <a:fld id="{86C3DB7E-F314-472E-85E3-FBD25C2DC7C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FA7A-4278-8178-8D82C0F3392A}"/>
                </c:ext>
              </c:extLst>
            </c:dLbl>
            <c:dLbl>
              <c:idx val="22"/>
              <c:tx>
                <c:rich>
                  <a:bodyPr/>
                  <a:lstStyle/>
                  <a:p>
                    <a:fld id="{8C5D66B4-7BB2-4423-A0FA-F36054B6515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FA7A-4278-8178-8D82C0F3392A}"/>
                </c:ext>
              </c:extLst>
            </c:dLbl>
            <c:dLbl>
              <c:idx val="23"/>
              <c:tx>
                <c:rich>
                  <a:bodyPr/>
                  <a:lstStyle/>
                  <a:p>
                    <a:fld id="{A8425915-6175-4587-BD2E-77A6E22EFCF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FA7A-4278-8178-8D82C0F3392A}"/>
                </c:ext>
              </c:extLst>
            </c:dLbl>
            <c:dLbl>
              <c:idx val="24"/>
              <c:tx>
                <c:rich>
                  <a:bodyPr/>
                  <a:lstStyle/>
                  <a:p>
                    <a:fld id="{F45DE6D1-3E75-4A50-B0EA-32F35B741BF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FA7A-4278-8178-8D82C0F3392A}"/>
                </c:ext>
              </c:extLst>
            </c:dLbl>
            <c:dLbl>
              <c:idx val="25"/>
              <c:tx>
                <c:rich>
                  <a:bodyPr/>
                  <a:lstStyle/>
                  <a:p>
                    <a:fld id="{48BC3CA6-1972-43BB-A08C-4494D8FE620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FA7A-4278-8178-8D82C0F3392A}"/>
                </c:ext>
              </c:extLst>
            </c:dLbl>
            <c:dLbl>
              <c:idx val="26"/>
              <c:tx>
                <c:rich>
                  <a:bodyPr/>
                  <a:lstStyle/>
                  <a:p>
                    <a:fld id="{9B754E89-8DB3-45BA-ABDF-FB926D7D5EA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FA7A-4278-8178-8D82C0F3392A}"/>
                </c:ext>
              </c:extLst>
            </c:dLbl>
            <c:dLbl>
              <c:idx val="27"/>
              <c:tx>
                <c:rich>
                  <a:bodyPr/>
                  <a:lstStyle/>
                  <a:p>
                    <a:fld id="{394DDCA9-BD2E-4C65-B20D-6D8CC7D5062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FA7A-4278-8178-8D82C0F3392A}"/>
                </c:ext>
              </c:extLst>
            </c:dLbl>
            <c:dLbl>
              <c:idx val="28"/>
              <c:tx>
                <c:rich>
                  <a:bodyPr/>
                  <a:lstStyle/>
                  <a:p>
                    <a:fld id="{AC97FD4D-458E-478F-A035-03AFAEA68F7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FA7A-4278-8178-8D82C0F3392A}"/>
                </c:ext>
              </c:extLst>
            </c:dLbl>
            <c:dLbl>
              <c:idx val="29"/>
              <c:tx>
                <c:rich>
                  <a:bodyPr/>
                  <a:lstStyle/>
                  <a:p>
                    <a:fld id="{0CF992D0-8CC3-4CC6-B15D-D0EF4FEBAB4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FA7A-4278-8178-8D82C0F3392A}"/>
                </c:ext>
              </c:extLst>
            </c:dLbl>
            <c:dLbl>
              <c:idx val="30"/>
              <c:tx>
                <c:rich>
                  <a:bodyPr/>
                  <a:lstStyle/>
                  <a:p>
                    <a:fld id="{866A7E04-C497-42A9-9489-CBCC88CA763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FA7A-4278-8178-8D82C0F3392A}"/>
                </c:ext>
              </c:extLst>
            </c:dLbl>
            <c:dLbl>
              <c:idx val="31"/>
              <c:tx>
                <c:rich>
                  <a:bodyPr/>
                  <a:lstStyle/>
                  <a:p>
                    <a:fld id="{B16020CF-DF52-414C-8CF6-AB37BA3ADF2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FA7A-4278-8178-8D82C0F3392A}"/>
                </c:ext>
              </c:extLst>
            </c:dLbl>
            <c:dLbl>
              <c:idx val="32"/>
              <c:tx>
                <c:rich>
                  <a:bodyPr/>
                  <a:lstStyle/>
                  <a:p>
                    <a:fld id="{4667A277-953B-4488-B35D-020C0E2F0F2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FA7A-4278-8178-8D82C0F3392A}"/>
                </c:ext>
              </c:extLst>
            </c:dLbl>
            <c:dLbl>
              <c:idx val="33"/>
              <c:tx>
                <c:rich>
                  <a:bodyPr/>
                  <a:lstStyle/>
                  <a:p>
                    <a:fld id="{98DC3CEE-F2C9-4CCE-958C-3089DFF34E6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FA7A-4278-8178-8D82C0F3392A}"/>
                </c:ext>
              </c:extLst>
            </c:dLbl>
            <c:dLbl>
              <c:idx val="34"/>
              <c:tx>
                <c:rich>
                  <a:bodyPr/>
                  <a:lstStyle/>
                  <a:p>
                    <a:fld id="{672FE8C7-D59C-418C-8121-5D5243AF377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FA7A-4278-8178-8D82C0F3392A}"/>
                </c:ext>
              </c:extLst>
            </c:dLbl>
            <c:dLbl>
              <c:idx val="35"/>
              <c:tx>
                <c:rich>
                  <a:bodyPr/>
                  <a:lstStyle/>
                  <a:p>
                    <a:fld id="{111AEDE5-C64E-4CAB-9A49-8680AFF8B8B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FA7A-4278-8178-8D82C0F3392A}"/>
                </c:ext>
              </c:extLst>
            </c:dLbl>
            <c:dLbl>
              <c:idx val="36"/>
              <c:tx>
                <c:rich>
                  <a:bodyPr/>
                  <a:lstStyle/>
                  <a:p>
                    <a:fld id="{80EED487-3A46-49BF-9662-90C52EFA8D5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FA7A-4278-8178-8D82C0F3392A}"/>
                </c:ext>
              </c:extLst>
            </c:dLbl>
            <c:dLbl>
              <c:idx val="37"/>
              <c:tx>
                <c:rich>
                  <a:bodyPr/>
                  <a:lstStyle/>
                  <a:p>
                    <a:fld id="{9D4C3171-9184-4FCA-BE5B-6CC9EBB32CB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FA7A-4278-8178-8D82C0F3392A}"/>
                </c:ext>
              </c:extLst>
            </c:dLbl>
            <c:dLbl>
              <c:idx val="38"/>
              <c:tx>
                <c:rich>
                  <a:bodyPr/>
                  <a:lstStyle/>
                  <a:p>
                    <a:fld id="{2E2F6E8A-46E9-4648-BDE1-02F64C2F683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FA7A-4278-8178-8D82C0F3392A}"/>
                </c:ext>
              </c:extLst>
            </c:dLbl>
            <c:dLbl>
              <c:idx val="39"/>
              <c:tx>
                <c:rich>
                  <a:bodyPr/>
                  <a:lstStyle/>
                  <a:p>
                    <a:fld id="{49E6D960-45A0-4BBD-9FD0-21BD025F03C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FA7A-4278-8178-8D82C0F3392A}"/>
                </c:ext>
              </c:extLst>
            </c:dLbl>
            <c:dLbl>
              <c:idx val="40"/>
              <c:tx>
                <c:rich>
                  <a:bodyPr/>
                  <a:lstStyle/>
                  <a:p>
                    <a:fld id="{E02835E0-BE72-4993-AD6D-1E9EAB6C6E3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FA7A-4278-8178-8D82C0F3392A}"/>
                </c:ext>
              </c:extLst>
            </c:dLbl>
            <c:dLbl>
              <c:idx val="41"/>
              <c:tx>
                <c:rich>
                  <a:bodyPr/>
                  <a:lstStyle/>
                  <a:p>
                    <a:fld id="{66CE5F0F-B9D0-4B44-9771-E1D5826289A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FA7A-4278-8178-8D82C0F3392A}"/>
                </c:ext>
              </c:extLst>
            </c:dLbl>
            <c:dLbl>
              <c:idx val="42"/>
              <c:tx>
                <c:rich>
                  <a:bodyPr/>
                  <a:lstStyle/>
                  <a:p>
                    <a:fld id="{9CA83739-3832-40FF-84DF-4F51D541C5D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FA7A-4278-8178-8D82C0F3392A}"/>
                </c:ext>
              </c:extLst>
            </c:dLbl>
            <c:dLbl>
              <c:idx val="43"/>
              <c:tx>
                <c:rich>
                  <a:bodyPr/>
                  <a:lstStyle/>
                  <a:p>
                    <a:fld id="{3DCD759F-745C-420E-8B3C-3C63A3582D5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FA7A-4278-8178-8D82C0F3392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graf'!$AW$44:$AW$87</c:f>
              <c:numCache>
                <c:formatCode>General</c:formatCode>
                <c:ptCount val="44"/>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pt idx="40">
                  <c:v>70</c:v>
                </c:pt>
                <c:pt idx="41">
                  <c:v>70</c:v>
                </c:pt>
                <c:pt idx="42">
                  <c:v>70</c:v>
                </c:pt>
                <c:pt idx="43">
                  <c:v>70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FA7A-4278-8178-8D82C0F3392A}"/>
            </c:ext>
          </c:extLst>
        </c:ser>
        <c:ser>
          <c:idx val="0"/>
          <c:order val="2"/>
          <c:tx>
            <c:strRef>
              <c:f>'Prerađivačka_FS graf'!$AX$7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graf'!$AX$44:$AX$87</c:f>
              <c:numCache>
                <c:formatCode>0.0</c:formatCode>
                <c:ptCount val="44"/>
                <c:pt idx="0">
                  <c:v>79.985249377708129</c:v>
                </c:pt>
                <c:pt idx="1">
                  <c:v>100.67299714206692</c:v>
                </c:pt>
                <c:pt idx="2">
                  <c:v>117.93122522356411</c:v>
                </c:pt>
                <c:pt idx="3">
                  <c:v>109.41274085000461</c:v>
                </c:pt>
                <c:pt idx="4">
                  <c:v>110.96155619065181</c:v>
                </c:pt>
                <c:pt idx="5">
                  <c:v>114.05918687194617</c:v>
                </c:pt>
                <c:pt idx="6">
                  <c:v>108.97022218124827</c:v>
                </c:pt>
                <c:pt idx="7">
                  <c:v>108.63833317968101</c:v>
                </c:pt>
                <c:pt idx="8">
                  <c:v>113.61666820318983</c:v>
                </c:pt>
                <c:pt idx="9">
                  <c:v>120.69696690329124</c:v>
                </c:pt>
                <c:pt idx="10">
                  <c:v>122.02452290956025</c:v>
                </c:pt>
                <c:pt idx="11">
                  <c:v>120.47570756891308</c:v>
                </c:pt>
                <c:pt idx="12">
                  <c:v>85.737992071540518</c:v>
                </c:pt>
                <c:pt idx="13">
                  <c:v>107.75329584216836</c:v>
                </c:pt>
                <c:pt idx="14">
                  <c:v>130.1004886143634</c:v>
                </c:pt>
                <c:pt idx="15">
                  <c:v>108.30644417811376</c:v>
                </c:pt>
                <c:pt idx="16">
                  <c:v>123.24144924864018</c:v>
                </c:pt>
                <c:pt idx="17">
                  <c:v>119.92255923296764</c:v>
                </c:pt>
                <c:pt idx="18">
                  <c:v>96.6903291232599</c:v>
                </c:pt>
                <c:pt idx="19">
                  <c:v>107.75329584216836</c:v>
                </c:pt>
                <c:pt idx="20">
                  <c:v>112.51037153129899</c:v>
                </c:pt>
                <c:pt idx="21">
                  <c:v>114.39107587351343</c:v>
                </c:pt>
                <c:pt idx="22">
                  <c:v>114.28044620632434</c:v>
                </c:pt>
                <c:pt idx="23">
                  <c:v>121.0288559048585</c:v>
                </c:pt>
                <c:pt idx="24">
                  <c:v>78.104545035493672</c:v>
                </c:pt>
                <c:pt idx="25">
                  <c:v>88.614363418456705</c:v>
                </c:pt>
                <c:pt idx="26">
                  <c:v>113.28477920162257</c:v>
                </c:pt>
                <c:pt idx="27">
                  <c:v>95.030884115423632</c:v>
                </c:pt>
                <c:pt idx="28">
                  <c:v>104.87692449525214</c:v>
                </c:pt>
                <c:pt idx="29">
                  <c:v>112.17848252973172</c:v>
                </c:pt>
                <c:pt idx="30">
                  <c:v>99.677330137365161</c:v>
                </c:pt>
                <c:pt idx="31">
                  <c:v>99.124181801419738</c:v>
                </c:pt>
                <c:pt idx="32">
                  <c:v>104.32377615930673</c:v>
                </c:pt>
                <c:pt idx="33">
                  <c:v>96.6903291232599</c:v>
                </c:pt>
                <c:pt idx="34">
                  <c:v>100.67299714206692</c:v>
                </c:pt>
                <c:pt idx="35">
                  <c:v>107.42140684060108</c:v>
                </c:pt>
                <c:pt idx="36">
                  <c:v>83.9</c:v>
                </c:pt>
                <c:pt idx="37">
                  <c:v>105.1</c:v>
                </c:pt>
                <c:pt idx="38">
                  <c:v>106.5</c:v>
                </c:pt>
                <c:pt idx="39">
                  <c:v>124.1</c:v>
                </c:pt>
                <c:pt idx="40">
                  <c:v>116.9</c:v>
                </c:pt>
                <c:pt idx="41">
                  <c:v>116.1</c:v>
                </c:pt>
                <c:pt idx="42">
                  <c:v>107.9</c:v>
                </c:pt>
                <c:pt idx="43">
                  <c:v>111.7</c:v>
                </c:pt>
              </c:numCache>
            </c:numRef>
          </c:val>
          <c:smooth val="0"/>
          <c:extLst>
            <c:ext xmlns:c16="http://schemas.microsoft.com/office/drawing/2014/chart" uri="{C3380CC4-5D6E-409C-BE32-E72D297353CC}">
              <c16:uniqueId val="{00000032-FA7A-4278-8178-8D82C0F3392A}"/>
            </c:ext>
          </c:extLst>
        </c:ser>
        <c:ser>
          <c:idx val="1"/>
          <c:order val="3"/>
          <c:tx>
            <c:strRef>
              <c:f>'Prerađivačka_FS graf'!$AY$7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graf'!$AY$44:$AY$87</c:f>
              <c:numCache>
                <c:formatCode>0.0</c:formatCode>
                <c:ptCount val="44"/>
                <c:pt idx="0">
                  <c:v>107.71970038960536</c:v>
                </c:pt>
                <c:pt idx="1">
                  <c:v>109.0154821839627</c:v>
                </c:pt>
                <c:pt idx="2">
                  <c:v>107.56237823099782</c:v>
                </c:pt>
                <c:pt idx="3">
                  <c:v>110.82651307704378</c:v>
                </c:pt>
                <c:pt idx="4">
                  <c:v>109.23931981993752</c:v>
                </c:pt>
                <c:pt idx="5">
                  <c:v>105.8562820997369</c:v>
                </c:pt>
                <c:pt idx="6">
                  <c:v>112.15817959748594</c:v>
                </c:pt>
                <c:pt idx="7">
                  <c:v>110.9321997732594</c:v>
                </c:pt>
                <c:pt idx="8">
                  <c:v>107.10347005034798</c:v>
                </c:pt>
                <c:pt idx="9">
                  <c:v>115.01280432844497</c:v>
                </c:pt>
                <c:pt idx="10">
                  <c:v>116.16387109971137</c:v>
                </c:pt>
                <c:pt idx="11">
                  <c:v>110.73315902564802</c:v>
                </c:pt>
                <c:pt idx="12">
                  <c:v>112.89348138652636</c:v>
                </c:pt>
                <c:pt idx="13">
                  <c:v>117.59087523504509</c:v>
                </c:pt>
                <c:pt idx="14">
                  <c:v>119.10517962109826</c:v>
                </c:pt>
                <c:pt idx="15">
                  <c:v>112.57265706614542</c:v>
                </c:pt>
                <c:pt idx="16">
                  <c:v>117.38549633011036</c:v>
                </c:pt>
                <c:pt idx="17">
                  <c:v>110.95981021741274</c:v>
                </c:pt>
                <c:pt idx="18">
                  <c:v>101.89462800954703</c:v>
                </c:pt>
                <c:pt idx="19">
                  <c:v>107.88415579452501</c:v>
                </c:pt>
                <c:pt idx="20">
                  <c:v>106.57044581934861</c:v>
                </c:pt>
                <c:pt idx="21">
                  <c:v>109.91117551888938</c:v>
                </c:pt>
                <c:pt idx="22">
                  <c:v>109.7799296442977</c:v>
                </c:pt>
                <c:pt idx="23">
                  <c:v>112.96185645435317</c:v>
                </c:pt>
                <c:pt idx="24">
                  <c:v>101.08465434874456</c:v>
                </c:pt>
                <c:pt idx="25">
                  <c:v>96.667094234399968</c:v>
                </c:pt>
                <c:pt idx="26">
                  <c:v>103.88329747031938</c:v>
                </c:pt>
                <c:pt idx="27">
                  <c:v>99.791262883977197</c:v>
                </c:pt>
                <c:pt idx="28">
                  <c:v>99.345339027897495</c:v>
                </c:pt>
                <c:pt idx="29">
                  <c:v>103.49233606789154</c:v>
                </c:pt>
                <c:pt idx="30">
                  <c:v>105.95217542714998</c:v>
                </c:pt>
                <c:pt idx="31">
                  <c:v>99.130755153419514</c:v>
                </c:pt>
                <c:pt idx="32">
                  <c:v>101.17240275077545</c:v>
                </c:pt>
                <c:pt idx="33">
                  <c:v>91.692919207601136</c:v>
                </c:pt>
                <c:pt idx="34">
                  <c:v>95.45810873520162</c:v>
                </c:pt>
                <c:pt idx="35">
                  <c:v>101.83411641197611</c:v>
                </c:pt>
                <c:pt idx="36">
                  <c:v>109.10462930547415</c:v>
                </c:pt>
                <c:pt idx="37">
                  <c:v>110.74803881337014</c:v>
                </c:pt>
                <c:pt idx="38">
                  <c:v>101.70849656536645</c:v>
                </c:pt>
                <c:pt idx="39">
                  <c:v>119.10610217743272</c:v>
                </c:pt>
                <c:pt idx="40">
                  <c:v>114.33661341852847</c:v>
                </c:pt>
                <c:pt idx="41">
                  <c:v>111.29754984671048</c:v>
                </c:pt>
                <c:pt idx="42">
                  <c:v>110.20116895897088</c:v>
                </c:pt>
                <c:pt idx="43">
                  <c:v>114.43335336605605</c:v>
                </c:pt>
              </c:numCache>
            </c:numRef>
          </c:val>
          <c:smooth val="0"/>
          <c:extLst>
            <c:ext xmlns:c16="http://schemas.microsoft.com/office/drawing/2014/chart" uri="{C3380CC4-5D6E-409C-BE32-E72D297353CC}">
              <c16:uniqueId val="{00000033-FA7A-4278-8178-8D82C0F3392A}"/>
            </c:ext>
          </c:extLst>
        </c:ser>
        <c:ser>
          <c:idx val="2"/>
          <c:order val="4"/>
          <c:tx>
            <c:strRef>
              <c:f>'Prerađivačka_FS graf'!$AZ$7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graf'!$AZ$44:$AZ$87</c:f>
              <c:numCache>
                <c:formatCode>0.0</c:formatCode>
                <c:ptCount val="44"/>
                <c:pt idx="0">
                  <c:v>108.23147629305754</c:v>
                </c:pt>
                <c:pt idx="1">
                  <c:v>108.18903479603587</c:v>
                </c:pt>
                <c:pt idx="2">
                  <c:v>108.57487314068005</c:v>
                </c:pt>
                <c:pt idx="3">
                  <c:v>108.87723054645546</c:v>
                </c:pt>
                <c:pt idx="4">
                  <c:v>108.9087987506779</c:v>
                </c:pt>
                <c:pt idx="5">
                  <c:v>109.09361922121475</c:v>
                </c:pt>
                <c:pt idx="6">
                  <c:v>109.6683925215232</c:v>
                </c:pt>
                <c:pt idx="7">
                  <c:v>110.4069218074047</c:v>
                </c:pt>
                <c:pt idx="8">
                  <c:v>111.2182884431196</c:v>
                </c:pt>
                <c:pt idx="9">
                  <c:v>112.18163189255017</c:v>
                </c:pt>
                <c:pt idx="10">
                  <c:v>113.18458114347295</c:v>
                </c:pt>
                <c:pt idx="11">
                  <c:v>114.17685861889196</c:v>
                </c:pt>
                <c:pt idx="12">
                  <c:v>115.28788552090396</c:v>
                </c:pt>
                <c:pt idx="13">
                  <c:v>116.09796154581937</c:v>
                </c:pt>
                <c:pt idx="14">
                  <c:v>116.03142037017119</c:v>
                </c:pt>
                <c:pt idx="15">
                  <c:v>114.89933911509047</c:v>
                </c:pt>
                <c:pt idx="16">
                  <c:v>112.90301129039905</c:v>
                </c:pt>
                <c:pt idx="17">
                  <c:v>110.36914538226956</c:v>
                </c:pt>
                <c:pt idx="18">
                  <c:v>108.37455453062144</c:v>
                </c:pt>
                <c:pt idx="19">
                  <c:v>107.72315776621159</c:v>
                </c:pt>
                <c:pt idx="20">
                  <c:v>107.97619285191401</c:v>
                </c:pt>
                <c:pt idx="21">
                  <c:v>108.3187802327335</c:v>
                </c:pt>
                <c:pt idx="22">
                  <c:v>108.05306713946931</c:v>
                </c:pt>
                <c:pt idx="23">
                  <c:v>106.78005422366527</c:v>
                </c:pt>
                <c:pt idx="24">
                  <c:v>104.50418604768647</c:v>
                </c:pt>
                <c:pt idx="25">
                  <c:v>102.25694710657716</c:v>
                </c:pt>
                <c:pt idx="26">
                  <c:v>100.91232061611173</c:v>
                </c:pt>
                <c:pt idx="27">
                  <c:v>100.75080403534099</c:v>
                </c:pt>
                <c:pt idx="28">
                  <c:v>101.43319713317364</c:v>
                </c:pt>
                <c:pt idx="29">
                  <c:v>101.95610333679608</c:v>
                </c:pt>
                <c:pt idx="30">
                  <c:v>101.48706961548821</c:v>
                </c:pt>
                <c:pt idx="31">
                  <c:v>100.06201204698182</c:v>
                </c:pt>
                <c:pt idx="32">
                  <c:v>98.82960944116509</c:v>
                </c:pt>
                <c:pt idx="33">
                  <c:v>98.434072445262942</c:v>
                </c:pt>
                <c:pt idx="34">
                  <c:v>99.278007088612284</c:v>
                </c:pt>
                <c:pt idx="35">
                  <c:v>101.66585766441109</c:v>
                </c:pt>
                <c:pt idx="36">
                  <c:v>105.14144840606144</c:v>
                </c:pt>
                <c:pt idx="37">
                  <c:v>108.58378080879132</c:v>
                </c:pt>
                <c:pt idx="38">
                  <c:v>111.09484769340689</c:v>
                </c:pt>
                <c:pt idx="39">
                  <c:v>112.43944977916514</c:v>
                </c:pt>
                <c:pt idx="40">
                  <c:v>112.83836884315077</c:v>
                </c:pt>
                <c:pt idx="41">
                  <c:v>113.01323358046878</c:v>
                </c:pt>
                <c:pt idx="42">
                  <c:v>113.25800382092262</c:v>
                </c:pt>
                <c:pt idx="43">
                  <c:v>113.58178943824424</c:v>
                </c:pt>
              </c:numCache>
            </c:numRef>
          </c:val>
          <c:smooth val="0"/>
          <c:extLst>
            <c:ext xmlns:c16="http://schemas.microsoft.com/office/drawing/2014/chart" uri="{C3380CC4-5D6E-409C-BE32-E72D297353CC}">
              <c16:uniqueId val="{00000034-FA7A-4278-8178-8D82C0F3392A}"/>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3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43576388888889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946-49DE-9999-E105CC355CDE}"/>
                </c:ext>
              </c:extLst>
            </c:dLbl>
            <c:dLbl>
              <c:idx val="12"/>
              <c:layout>
                <c:manualLayout>
                  <c:x val="7.52844920703435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946-49DE-9999-E105CC355CDE}"/>
                </c:ext>
              </c:extLst>
            </c:dLbl>
            <c:dLbl>
              <c:idx val="24"/>
              <c:layout>
                <c:manualLayout>
                  <c:x val="7.209945001802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946-49DE-9999-E105CC355CDE}"/>
                </c:ext>
              </c:extLst>
            </c:dLbl>
            <c:dLbl>
              <c:idx val="36"/>
              <c:layout>
                <c:manualLayout>
                  <c:x val="-8.8560556243974103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946-49DE-9999-E105CC355CDE}"/>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graf'!$AP$44:$AP$87</c:f>
              <c:numCache>
                <c:formatCode>General</c:formatCode>
                <c:ptCount val="44"/>
                <c:pt idx="0">
                  <c:v>40</c:v>
                </c:pt>
                <c:pt idx="12">
                  <c:v>40</c:v>
                </c:pt>
                <c:pt idx="24">
                  <c:v>40</c:v>
                </c:pt>
                <c:pt idx="36">
                  <c:v>40</c:v>
                </c:pt>
              </c:numCache>
            </c:numRef>
          </c:val>
          <c:smooth val="0"/>
          <c:extLst>
            <c:ext xmlns:c16="http://schemas.microsoft.com/office/drawing/2014/chart" uri="{C3380CC4-5D6E-409C-BE32-E72D297353CC}">
              <c16:uniqueId val="{00000004-D946-49DE-9999-E105CC355CDE}"/>
            </c:ext>
          </c:extLst>
        </c:ser>
        <c:ser>
          <c:idx val="4"/>
          <c:order val="1"/>
          <c:tx>
            <c:strRef>
              <c:f>'Prerađivačka_FS graf'!$AQ$7</c:f>
              <c:strCache>
                <c:ptCount val="1"/>
                <c:pt idx="0">
                  <c:v>Series5</c:v>
                </c:pt>
              </c:strCache>
            </c:strRef>
          </c:tx>
          <c:spPr>
            <a:ln w="25400" cap="rnd">
              <a:noFill/>
              <a:round/>
            </a:ln>
            <a:effectLst/>
          </c:spPr>
          <c:marker>
            <c:symbol val="none"/>
          </c:marker>
          <c:dLbls>
            <c:dLbl>
              <c:idx val="0"/>
              <c:tx>
                <c:rich>
                  <a:bodyPr/>
                  <a:lstStyle/>
                  <a:p>
                    <a:fld id="{E7050EBE-5B78-4F6D-9CEA-AF172D3298F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D946-49DE-9999-E105CC355CDE}"/>
                </c:ext>
              </c:extLst>
            </c:dLbl>
            <c:dLbl>
              <c:idx val="1"/>
              <c:tx>
                <c:rich>
                  <a:bodyPr/>
                  <a:lstStyle/>
                  <a:p>
                    <a:fld id="{9C2BF71C-0667-49AA-BC73-96560D2D4F6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D946-49DE-9999-E105CC355CDE}"/>
                </c:ext>
              </c:extLst>
            </c:dLbl>
            <c:dLbl>
              <c:idx val="2"/>
              <c:tx>
                <c:rich>
                  <a:bodyPr/>
                  <a:lstStyle/>
                  <a:p>
                    <a:fld id="{05B50799-AEEC-495B-A03D-DA8CDED9792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D946-49DE-9999-E105CC355CDE}"/>
                </c:ext>
              </c:extLst>
            </c:dLbl>
            <c:dLbl>
              <c:idx val="3"/>
              <c:tx>
                <c:rich>
                  <a:bodyPr/>
                  <a:lstStyle/>
                  <a:p>
                    <a:fld id="{1D57775D-7C67-4E0F-A67B-DB96D7A9968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D946-49DE-9999-E105CC355CDE}"/>
                </c:ext>
              </c:extLst>
            </c:dLbl>
            <c:dLbl>
              <c:idx val="4"/>
              <c:tx>
                <c:rich>
                  <a:bodyPr/>
                  <a:lstStyle/>
                  <a:p>
                    <a:fld id="{999C7AFB-621C-43E6-966A-AFEC50F04EC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D946-49DE-9999-E105CC355CDE}"/>
                </c:ext>
              </c:extLst>
            </c:dLbl>
            <c:dLbl>
              <c:idx val="5"/>
              <c:tx>
                <c:rich>
                  <a:bodyPr/>
                  <a:lstStyle/>
                  <a:p>
                    <a:fld id="{0923A442-88AD-4CDF-8CE7-4B15F3FE618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D946-49DE-9999-E105CC355CDE}"/>
                </c:ext>
              </c:extLst>
            </c:dLbl>
            <c:dLbl>
              <c:idx val="6"/>
              <c:tx>
                <c:rich>
                  <a:bodyPr/>
                  <a:lstStyle/>
                  <a:p>
                    <a:fld id="{845B7A5E-0812-4BBB-93F0-77B02F0BC0C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D946-49DE-9999-E105CC355CDE}"/>
                </c:ext>
              </c:extLst>
            </c:dLbl>
            <c:dLbl>
              <c:idx val="7"/>
              <c:tx>
                <c:rich>
                  <a:bodyPr/>
                  <a:lstStyle/>
                  <a:p>
                    <a:fld id="{82D74FAA-F571-477E-A78D-4B240C825BA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D946-49DE-9999-E105CC355CDE}"/>
                </c:ext>
              </c:extLst>
            </c:dLbl>
            <c:dLbl>
              <c:idx val="8"/>
              <c:tx>
                <c:rich>
                  <a:bodyPr/>
                  <a:lstStyle/>
                  <a:p>
                    <a:fld id="{41B3802B-4297-404F-975F-0689A6C08E8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D946-49DE-9999-E105CC355CDE}"/>
                </c:ext>
              </c:extLst>
            </c:dLbl>
            <c:dLbl>
              <c:idx val="9"/>
              <c:tx>
                <c:rich>
                  <a:bodyPr/>
                  <a:lstStyle/>
                  <a:p>
                    <a:fld id="{02B35930-3F3E-4C1A-9F70-4251A80C8C9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D946-49DE-9999-E105CC355CDE}"/>
                </c:ext>
              </c:extLst>
            </c:dLbl>
            <c:dLbl>
              <c:idx val="10"/>
              <c:tx>
                <c:rich>
                  <a:bodyPr/>
                  <a:lstStyle/>
                  <a:p>
                    <a:fld id="{B211E727-A6D3-4911-9C47-50F7465D54B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D946-49DE-9999-E105CC355CDE}"/>
                </c:ext>
              </c:extLst>
            </c:dLbl>
            <c:dLbl>
              <c:idx val="11"/>
              <c:tx>
                <c:rich>
                  <a:bodyPr/>
                  <a:lstStyle/>
                  <a:p>
                    <a:fld id="{01327D83-8956-4476-AB5E-74E01B66B0D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D946-49DE-9999-E105CC355CDE}"/>
                </c:ext>
              </c:extLst>
            </c:dLbl>
            <c:dLbl>
              <c:idx val="12"/>
              <c:tx>
                <c:rich>
                  <a:bodyPr/>
                  <a:lstStyle/>
                  <a:p>
                    <a:fld id="{4F7845AD-3396-4208-8CD2-C424D5E8D26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D946-49DE-9999-E105CC355CDE}"/>
                </c:ext>
              </c:extLst>
            </c:dLbl>
            <c:dLbl>
              <c:idx val="13"/>
              <c:tx>
                <c:rich>
                  <a:bodyPr/>
                  <a:lstStyle/>
                  <a:p>
                    <a:fld id="{4AA2ED69-E917-476A-85BA-DC0B8EDB605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D946-49DE-9999-E105CC355CDE}"/>
                </c:ext>
              </c:extLst>
            </c:dLbl>
            <c:dLbl>
              <c:idx val="14"/>
              <c:tx>
                <c:rich>
                  <a:bodyPr/>
                  <a:lstStyle/>
                  <a:p>
                    <a:fld id="{06267FB0-C848-40FE-A7B0-CE4C6670766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D946-49DE-9999-E105CC355CDE}"/>
                </c:ext>
              </c:extLst>
            </c:dLbl>
            <c:dLbl>
              <c:idx val="15"/>
              <c:tx>
                <c:rich>
                  <a:bodyPr/>
                  <a:lstStyle/>
                  <a:p>
                    <a:fld id="{262EFAA5-1EA2-4BFE-8391-C7CD8EC27B3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D946-49DE-9999-E105CC355CDE}"/>
                </c:ext>
              </c:extLst>
            </c:dLbl>
            <c:dLbl>
              <c:idx val="16"/>
              <c:tx>
                <c:rich>
                  <a:bodyPr/>
                  <a:lstStyle/>
                  <a:p>
                    <a:fld id="{01538DB1-ACE4-431B-9E0D-6D20B12C204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D946-49DE-9999-E105CC355CDE}"/>
                </c:ext>
              </c:extLst>
            </c:dLbl>
            <c:dLbl>
              <c:idx val="17"/>
              <c:tx>
                <c:rich>
                  <a:bodyPr/>
                  <a:lstStyle/>
                  <a:p>
                    <a:fld id="{0F3C2F87-CD85-4A1B-B621-240D87A50C8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D946-49DE-9999-E105CC355CDE}"/>
                </c:ext>
              </c:extLst>
            </c:dLbl>
            <c:dLbl>
              <c:idx val="18"/>
              <c:tx>
                <c:rich>
                  <a:bodyPr/>
                  <a:lstStyle/>
                  <a:p>
                    <a:fld id="{BF62957E-6FCC-4927-AC94-7888D08FDB4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D946-49DE-9999-E105CC355CDE}"/>
                </c:ext>
              </c:extLst>
            </c:dLbl>
            <c:dLbl>
              <c:idx val="19"/>
              <c:tx>
                <c:rich>
                  <a:bodyPr/>
                  <a:lstStyle/>
                  <a:p>
                    <a:fld id="{5116F82E-5EF9-4D5F-A9C0-9FAA4D42BC0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D946-49DE-9999-E105CC355CDE}"/>
                </c:ext>
              </c:extLst>
            </c:dLbl>
            <c:dLbl>
              <c:idx val="20"/>
              <c:tx>
                <c:rich>
                  <a:bodyPr/>
                  <a:lstStyle/>
                  <a:p>
                    <a:fld id="{8D2DC521-6CB4-4CC3-A4E0-17B2B44CF30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D946-49DE-9999-E105CC355CDE}"/>
                </c:ext>
              </c:extLst>
            </c:dLbl>
            <c:dLbl>
              <c:idx val="21"/>
              <c:tx>
                <c:rich>
                  <a:bodyPr/>
                  <a:lstStyle/>
                  <a:p>
                    <a:fld id="{4C501FE7-61AD-48DF-83A1-883FE35BA2A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D946-49DE-9999-E105CC355CDE}"/>
                </c:ext>
              </c:extLst>
            </c:dLbl>
            <c:dLbl>
              <c:idx val="22"/>
              <c:tx>
                <c:rich>
                  <a:bodyPr/>
                  <a:lstStyle/>
                  <a:p>
                    <a:fld id="{EA17F8CC-897D-44D2-9A38-353879D604F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D946-49DE-9999-E105CC355CDE}"/>
                </c:ext>
              </c:extLst>
            </c:dLbl>
            <c:dLbl>
              <c:idx val="23"/>
              <c:tx>
                <c:rich>
                  <a:bodyPr/>
                  <a:lstStyle/>
                  <a:p>
                    <a:fld id="{70C9DAA9-80CD-42F0-B081-518F634BB98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D946-49DE-9999-E105CC355CDE}"/>
                </c:ext>
              </c:extLst>
            </c:dLbl>
            <c:dLbl>
              <c:idx val="24"/>
              <c:tx>
                <c:rich>
                  <a:bodyPr/>
                  <a:lstStyle/>
                  <a:p>
                    <a:fld id="{EF01504B-20B7-4E06-8A36-3E5F5ADCF16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D946-49DE-9999-E105CC355CDE}"/>
                </c:ext>
              </c:extLst>
            </c:dLbl>
            <c:dLbl>
              <c:idx val="25"/>
              <c:tx>
                <c:rich>
                  <a:bodyPr/>
                  <a:lstStyle/>
                  <a:p>
                    <a:fld id="{0B2ECDEA-7576-41A7-B50D-DDCFDDCE240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D946-49DE-9999-E105CC355CDE}"/>
                </c:ext>
              </c:extLst>
            </c:dLbl>
            <c:dLbl>
              <c:idx val="26"/>
              <c:tx>
                <c:rich>
                  <a:bodyPr/>
                  <a:lstStyle/>
                  <a:p>
                    <a:fld id="{62B5EAC7-4441-475E-A71B-98DC33AFC09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D946-49DE-9999-E105CC355CDE}"/>
                </c:ext>
              </c:extLst>
            </c:dLbl>
            <c:dLbl>
              <c:idx val="27"/>
              <c:tx>
                <c:rich>
                  <a:bodyPr/>
                  <a:lstStyle/>
                  <a:p>
                    <a:fld id="{665892D4-E6E2-4990-AF0E-D5A767F307E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D946-49DE-9999-E105CC355CDE}"/>
                </c:ext>
              </c:extLst>
            </c:dLbl>
            <c:dLbl>
              <c:idx val="28"/>
              <c:tx>
                <c:rich>
                  <a:bodyPr/>
                  <a:lstStyle/>
                  <a:p>
                    <a:fld id="{3DCE032E-13B1-42B8-9625-12D5EDAA222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D946-49DE-9999-E105CC355CDE}"/>
                </c:ext>
              </c:extLst>
            </c:dLbl>
            <c:dLbl>
              <c:idx val="29"/>
              <c:tx>
                <c:rich>
                  <a:bodyPr/>
                  <a:lstStyle/>
                  <a:p>
                    <a:fld id="{F2A322E2-B045-408B-8432-A156F35EF15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D946-49DE-9999-E105CC355CDE}"/>
                </c:ext>
              </c:extLst>
            </c:dLbl>
            <c:dLbl>
              <c:idx val="30"/>
              <c:tx>
                <c:rich>
                  <a:bodyPr/>
                  <a:lstStyle/>
                  <a:p>
                    <a:fld id="{D294F1DD-6016-402E-99F5-B338FC6E991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D946-49DE-9999-E105CC355CDE}"/>
                </c:ext>
              </c:extLst>
            </c:dLbl>
            <c:dLbl>
              <c:idx val="31"/>
              <c:tx>
                <c:rich>
                  <a:bodyPr/>
                  <a:lstStyle/>
                  <a:p>
                    <a:fld id="{BC888E1E-4FA3-4137-8DA4-EEB5ABB3FC6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D946-49DE-9999-E105CC355CDE}"/>
                </c:ext>
              </c:extLst>
            </c:dLbl>
            <c:dLbl>
              <c:idx val="32"/>
              <c:tx>
                <c:rich>
                  <a:bodyPr/>
                  <a:lstStyle/>
                  <a:p>
                    <a:fld id="{DC19204F-5F8C-4058-9918-69DADB47CB9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D946-49DE-9999-E105CC355CDE}"/>
                </c:ext>
              </c:extLst>
            </c:dLbl>
            <c:dLbl>
              <c:idx val="33"/>
              <c:tx>
                <c:rich>
                  <a:bodyPr/>
                  <a:lstStyle/>
                  <a:p>
                    <a:fld id="{63CC61A0-CF29-4BAF-B26F-FEED6977B15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D946-49DE-9999-E105CC355CDE}"/>
                </c:ext>
              </c:extLst>
            </c:dLbl>
            <c:dLbl>
              <c:idx val="34"/>
              <c:tx>
                <c:rich>
                  <a:bodyPr/>
                  <a:lstStyle/>
                  <a:p>
                    <a:fld id="{B9A421BA-9C7C-4422-AFD8-43BB3865E4E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D946-49DE-9999-E105CC355CDE}"/>
                </c:ext>
              </c:extLst>
            </c:dLbl>
            <c:dLbl>
              <c:idx val="35"/>
              <c:tx>
                <c:rich>
                  <a:bodyPr/>
                  <a:lstStyle/>
                  <a:p>
                    <a:fld id="{DE043CD1-7F2E-4844-86D5-D94E1F633D2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D946-49DE-9999-E105CC355CDE}"/>
                </c:ext>
              </c:extLst>
            </c:dLbl>
            <c:dLbl>
              <c:idx val="36"/>
              <c:tx>
                <c:rich>
                  <a:bodyPr/>
                  <a:lstStyle/>
                  <a:p>
                    <a:fld id="{9EBE6DAF-3C03-42FB-BDA0-6CBF729289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D946-49DE-9999-E105CC355CDE}"/>
                </c:ext>
              </c:extLst>
            </c:dLbl>
            <c:dLbl>
              <c:idx val="37"/>
              <c:tx>
                <c:rich>
                  <a:bodyPr/>
                  <a:lstStyle/>
                  <a:p>
                    <a:fld id="{17465E6B-282C-4DED-A32D-C66D97E5638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D946-49DE-9999-E105CC355CDE}"/>
                </c:ext>
              </c:extLst>
            </c:dLbl>
            <c:dLbl>
              <c:idx val="38"/>
              <c:tx>
                <c:rich>
                  <a:bodyPr/>
                  <a:lstStyle/>
                  <a:p>
                    <a:fld id="{F744A239-2041-4BAB-BF8F-539AEC576CD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D946-49DE-9999-E105CC355CDE}"/>
                </c:ext>
              </c:extLst>
            </c:dLbl>
            <c:dLbl>
              <c:idx val="39"/>
              <c:tx>
                <c:rich>
                  <a:bodyPr/>
                  <a:lstStyle/>
                  <a:p>
                    <a:fld id="{289E5E06-4EBF-46D6-B746-DE4F6FE2001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D946-49DE-9999-E105CC355CDE}"/>
                </c:ext>
              </c:extLst>
            </c:dLbl>
            <c:dLbl>
              <c:idx val="40"/>
              <c:tx>
                <c:rich>
                  <a:bodyPr/>
                  <a:lstStyle/>
                  <a:p>
                    <a:fld id="{F95896FE-923F-4503-9F52-7BBB234F1E3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D946-49DE-9999-E105CC355CDE}"/>
                </c:ext>
              </c:extLst>
            </c:dLbl>
            <c:dLbl>
              <c:idx val="41"/>
              <c:tx>
                <c:rich>
                  <a:bodyPr/>
                  <a:lstStyle/>
                  <a:p>
                    <a:fld id="{9D76AFD2-DADD-4B0B-A4D0-32ECB2AB9F2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D946-49DE-9999-E105CC355CDE}"/>
                </c:ext>
              </c:extLst>
            </c:dLbl>
            <c:dLbl>
              <c:idx val="42"/>
              <c:tx>
                <c:rich>
                  <a:bodyPr/>
                  <a:lstStyle/>
                  <a:p>
                    <a:fld id="{E026AD1A-062C-45CE-B0B5-689C3950837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D946-49DE-9999-E105CC355CDE}"/>
                </c:ext>
              </c:extLst>
            </c:dLbl>
            <c:dLbl>
              <c:idx val="43"/>
              <c:tx>
                <c:rich>
                  <a:bodyPr/>
                  <a:lstStyle/>
                  <a:p>
                    <a:fld id="{0647F2D2-89E6-4FBA-BD97-3B0E3AC58EA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D946-49DE-9999-E105CC355CDE}"/>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graf'!$AQ$44:$AQ$87</c:f>
              <c:numCache>
                <c:formatCode>General</c:formatCode>
                <c:ptCount val="44"/>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pt idx="43">
                  <c:v>40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D946-49DE-9999-E105CC355CDE}"/>
            </c:ext>
          </c:extLst>
        </c:ser>
        <c:ser>
          <c:idx val="0"/>
          <c:order val="2"/>
          <c:tx>
            <c:strRef>
              <c:f>'Prerađivačka_FS graf'!$AR$7</c:f>
              <c:strCache>
                <c:ptCount val="1"/>
                <c:pt idx="0">
                  <c:v>y</c:v>
                </c:pt>
              </c:strCache>
            </c:strRef>
          </c:tx>
          <c:spPr>
            <a:ln w="12700" cap="rnd">
              <a:solidFill>
                <a:srgbClr val="7F3F98"/>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graf'!$AR$44:$AR$87</c:f>
              <c:numCache>
                <c:formatCode>0.0</c:formatCode>
                <c:ptCount val="44"/>
                <c:pt idx="0">
                  <c:v>79.136583550428</c:v>
                </c:pt>
                <c:pt idx="1">
                  <c:v>95.839225902493496</c:v>
                </c:pt>
                <c:pt idx="2">
                  <c:v>116.56122069222184</c:v>
                </c:pt>
                <c:pt idx="3">
                  <c:v>94.678079642724242</c:v>
                </c:pt>
                <c:pt idx="4">
                  <c:v>85.835504279866029</c:v>
                </c:pt>
                <c:pt idx="5">
                  <c:v>95.124674358020116</c:v>
                </c:pt>
                <c:pt idx="6">
                  <c:v>81.905470785262395</c:v>
                </c:pt>
                <c:pt idx="7">
                  <c:v>53.68068477856346</c:v>
                </c:pt>
                <c:pt idx="8">
                  <c:v>93.248976553777467</c:v>
                </c:pt>
                <c:pt idx="9">
                  <c:v>101.91291403051733</c:v>
                </c:pt>
                <c:pt idx="10">
                  <c:v>102.35950874581319</c:v>
                </c:pt>
                <c:pt idx="11">
                  <c:v>71.455154447339055</c:v>
                </c:pt>
                <c:pt idx="12">
                  <c:v>84.317082247860085</c:v>
                </c:pt>
                <c:pt idx="13">
                  <c:v>89.58689988835134</c:v>
                </c:pt>
                <c:pt idx="14">
                  <c:v>89.497580945292171</c:v>
                </c:pt>
                <c:pt idx="15">
                  <c:v>86.014142165984381</c:v>
                </c:pt>
                <c:pt idx="16">
                  <c:v>94.946036471901763</c:v>
                </c:pt>
                <c:pt idx="17">
                  <c:v>90.658727205061425</c:v>
                </c:pt>
                <c:pt idx="18">
                  <c:v>78.511350949013789</c:v>
                </c:pt>
                <c:pt idx="19">
                  <c:v>74.93859322664683</c:v>
                </c:pt>
                <c:pt idx="20">
                  <c:v>100.03721622627468</c:v>
                </c:pt>
                <c:pt idx="21">
                  <c:v>96.1965016747302</c:v>
                </c:pt>
                <c:pt idx="22">
                  <c:v>104.50316337923336</c:v>
                </c:pt>
                <c:pt idx="23">
                  <c:v>79.583178265723859</c:v>
                </c:pt>
                <c:pt idx="24">
                  <c:v>90.480089318943072</c:v>
                </c:pt>
                <c:pt idx="25">
                  <c:v>103.52065500558246</c:v>
                </c:pt>
                <c:pt idx="26">
                  <c:v>116.47190174916267</c:v>
                </c:pt>
                <c:pt idx="27">
                  <c:v>93.516933382954988</c:v>
                </c:pt>
                <c:pt idx="28">
                  <c:v>104.14588760699665</c:v>
                </c:pt>
                <c:pt idx="29">
                  <c:v>109.32638630442875</c:v>
                </c:pt>
                <c:pt idx="30">
                  <c:v>84.585039077037607</c:v>
                </c:pt>
                <c:pt idx="31">
                  <c:v>82.441384443617423</c:v>
                </c:pt>
                <c:pt idx="32">
                  <c:v>105.75362858206181</c:v>
                </c:pt>
                <c:pt idx="33">
                  <c:v>112.00595459620398</c:v>
                </c:pt>
                <c:pt idx="34">
                  <c:v>112.80982508373651</c:v>
                </c:pt>
                <c:pt idx="35">
                  <c:v>84.942314849274297</c:v>
                </c:pt>
                <c:pt idx="36">
                  <c:v>101.2</c:v>
                </c:pt>
                <c:pt idx="37">
                  <c:v>110.2</c:v>
                </c:pt>
                <c:pt idx="38">
                  <c:v>116.1</c:v>
                </c:pt>
                <c:pt idx="39">
                  <c:v>116.2</c:v>
                </c:pt>
                <c:pt idx="40">
                  <c:v>93.7</c:v>
                </c:pt>
                <c:pt idx="41">
                  <c:v>111.2</c:v>
                </c:pt>
                <c:pt idx="42">
                  <c:v>99</c:v>
                </c:pt>
                <c:pt idx="43">
                  <c:v>86.8</c:v>
                </c:pt>
              </c:numCache>
            </c:numRef>
          </c:val>
          <c:smooth val="0"/>
          <c:extLst>
            <c:ext xmlns:c16="http://schemas.microsoft.com/office/drawing/2014/chart" uri="{C3380CC4-5D6E-409C-BE32-E72D297353CC}">
              <c16:uniqueId val="{00000032-D946-49DE-9999-E105CC355CDE}"/>
            </c:ext>
          </c:extLst>
        </c:ser>
        <c:ser>
          <c:idx val="1"/>
          <c:order val="3"/>
          <c:tx>
            <c:strRef>
              <c:f>'Prerađivačka_FS graf'!$AS$7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graf'!$AS$44:$AS$87</c:f>
              <c:numCache>
                <c:formatCode>0.0</c:formatCode>
                <c:ptCount val="44"/>
                <c:pt idx="0">
                  <c:v>84.835953978510133</c:v>
                </c:pt>
                <c:pt idx="1">
                  <c:v>87.040965338579312</c:v>
                </c:pt>
                <c:pt idx="2">
                  <c:v>96.408119813169776</c:v>
                </c:pt>
                <c:pt idx="3">
                  <c:v>87.598036258194938</c:v>
                </c:pt>
                <c:pt idx="4">
                  <c:v>83.894273137339368</c:v>
                </c:pt>
                <c:pt idx="5">
                  <c:v>92.171061271011581</c:v>
                </c:pt>
                <c:pt idx="6">
                  <c:v>99.412405454200325</c:v>
                </c:pt>
                <c:pt idx="7">
                  <c:v>80.942707481348336</c:v>
                </c:pt>
                <c:pt idx="8">
                  <c:v>80.224852603023336</c:v>
                </c:pt>
                <c:pt idx="9">
                  <c:v>93.172976016789974</c:v>
                </c:pt>
                <c:pt idx="10">
                  <c:v>90.729890482961807</c:v>
                </c:pt>
                <c:pt idx="11">
                  <c:v>81.531415467160556</c:v>
                </c:pt>
                <c:pt idx="12">
                  <c:v>87.01358190543634</c:v>
                </c:pt>
                <c:pt idx="13">
                  <c:v>82.754716646806685</c:v>
                </c:pt>
                <c:pt idx="14">
                  <c:v>70.615344128804153</c:v>
                </c:pt>
                <c:pt idx="15">
                  <c:v>88.758520287283332</c:v>
                </c:pt>
                <c:pt idx="16">
                  <c:v>91.777778421313712</c:v>
                </c:pt>
                <c:pt idx="17">
                  <c:v>86.820731977424501</c:v>
                </c:pt>
                <c:pt idx="18">
                  <c:v>96.142947190153023</c:v>
                </c:pt>
                <c:pt idx="19">
                  <c:v>95.732278682229506</c:v>
                </c:pt>
                <c:pt idx="20">
                  <c:v>88.692697715468427</c:v>
                </c:pt>
                <c:pt idx="21">
                  <c:v>86.616082720693328</c:v>
                </c:pt>
                <c:pt idx="22">
                  <c:v>92.590235781644836</c:v>
                </c:pt>
                <c:pt idx="23">
                  <c:v>93.561680999596305</c:v>
                </c:pt>
                <c:pt idx="24">
                  <c:v>90.664636773199504</c:v>
                </c:pt>
                <c:pt idx="25">
                  <c:v>97.895092698753089</c:v>
                </c:pt>
                <c:pt idx="26">
                  <c:v>97.845457314079709</c:v>
                </c:pt>
                <c:pt idx="27">
                  <c:v>100.67052842864013</c:v>
                </c:pt>
                <c:pt idx="28">
                  <c:v>103.8794185909185</c:v>
                </c:pt>
                <c:pt idx="29">
                  <c:v>103.74042455303335</c:v>
                </c:pt>
                <c:pt idx="30">
                  <c:v>100.09217613640376</c:v>
                </c:pt>
                <c:pt idx="31">
                  <c:v>101.54376190134495</c:v>
                </c:pt>
                <c:pt idx="32">
                  <c:v>99.29363885989217</c:v>
                </c:pt>
                <c:pt idx="33">
                  <c:v>99.115089606120506</c:v>
                </c:pt>
                <c:pt idx="34">
                  <c:v>97.470674490946621</c:v>
                </c:pt>
                <c:pt idx="35">
                  <c:v>103.36604062039579</c:v>
                </c:pt>
                <c:pt idx="36">
                  <c:v>103.72161015686008</c:v>
                </c:pt>
                <c:pt idx="37">
                  <c:v>103.91607055502834</c:v>
                </c:pt>
                <c:pt idx="38">
                  <c:v>105.692393975448</c:v>
                </c:pt>
                <c:pt idx="39">
                  <c:v>106.70625073866249</c:v>
                </c:pt>
                <c:pt idx="40">
                  <c:v>101.25109705229846</c:v>
                </c:pt>
                <c:pt idx="41">
                  <c:v>111.64397308022136</c:v>
                </c:pt>
                <c:pt idx="42">
                  <c:v>105.94788771692633</c:v>
                </c:pt>
                <c:pt idx="43">
                  <c:v>109.74330591860247</c:v>
                </c:pt>
              </c:numCache>
            </c:numRef>
          </c:val>
          <c:smooth val="0"/>
          <c:extLst>
            <c:ext xmlns:c16="http://schemas.microsoft.com/office/drawing/2014/chart" uri="{C3380CC4-5D6E-409C-BE32-E72D297353CC}">
              <c16:uniqueId val="{00000033-D946-49DE-9999-E105CC355CDE}"/>
            </c:ext>
          </c:extLst>
        </c:ser>
        <c:ser>
          <c:idx val="2"/>
          <c:order val="4"/>
          <c:tx>
            <c:strRef>
              <c:f>'Prerađivačka_FS graf'!$AT$7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graf'!$AT$44:$AT$87</c:f>
              <c:numCache>
                <c:formatCode>0.0</c:formatCode>
                <c:ptCount val="44"/>
                <c:pt idx="0">
                  <c:v>94.006892045191336</c:v>
                </c:pt>
                <c:pt idx="1">
                  <c:v>91.147646053137393</c:v>
                </c:pt>
                <c:pt idx="2">
                  <c:v>89.850662734263338</c:v>
                </c:pt>
                <c:pt idx="3">
                  <c:v>89.413885383516387</c:v>
                </c:pt>
                <c:pt idx="4">
                  <c:v>89.323950259563588</c:v>
                </c:pt>
                <c:pt idx="5">
                  <c:v>89.316145585713301</c:v>
                </c:pt>
                <c:pt idx="6">
                  <c:v>88.970014445721816</c:v>
                </c:pt>
                <c:pt idx="7">
                  <c:v>88.285499213555823</c:v>
                </c:pt>
                <c:pt idx="8">
                  <c:v>87.701739922879298</c:v>
                </c:pt>
                <c:pt idx="9">
                  <c:v>87.020905588858653</c:v>
                </c:pt>
                <c:pt idx="10">
                  <c:v>86.149830840264812</c:v>
                </c:pt>
                <c:pt idx="11">
                  <c:v>85.671097751651416</c:v>
                </c:pt>
                <c:pt idx="12">
                  <c:v>85.559637702202508</c:v>
                </c:pt>
                <c:pt idx="13">
                  <c:v>85.604054451237715</c:v>
                </c:pt>
                <c:pt idx="14">
                  <c:v>86.180984778225962</c:v>
                </c:pt>
                <c:pt idx="15">
                  <c:v>87.858288777181443</c:v>
                </c:pt>
                <c:pt idx="16">
                  <c:v>89.921958865613377</c:v>
                </c:pt>
                <c:pt idx="17">
                  <c:v>91.336878254955508</c:v>
                </c:pt>
                <c:pt idx="18">
                  <c:v>91.935829841848545</c:v>
                </c:pt>
                <c:pt idx="19">
                  <c:v>91.81939386964396</c:v>
                </c:pt>
                <c:pt idx="20">
                  <c:v>91.246895318112706</c:v>
                </c:pt>
                <c:pt idx="21">
                  <c:v>90.827422215694867</c:v>
                </c:pt>
                <c:pt idx="22">
                  <c:v>90.945986695889204</c:v>
                </c:pt>
                <c:pt idx="23">
                  <c:v>91.883336843623738</c:v>
                </c:pt>
                <c:pt idx="24">
                  <c:v>93.773408744019378</c:v>
                </c:pt>
                <c:pt idx="25">
                  <c:v>96.316066710403945</c:v>
                </c:pt>
                <c:pt idx="26">
                  <c:v>98.757061586863756</c:v>
                </c:pt>
                <c:pt idx="27">
                  <c:v>100.66856626235722</c:v>
                </c:pt>
                <c:pt idx="28">
                  <c:v>101.93243062994731</c:v>
                </c:pt>
                <c:pt idx="29">
                  <c:v>102.27814193713709</c:v>
                </c:pt>
                <c:pt idx="30">
                  <c:v>101.68173861640295</c:v>
                </c:pt>
                <c:pt idx="31">
                  <c:v>100.66943714413948</c:v>
                </c:pt>
                <c:pt idx="32">
                  <c:v>99.881677441651078</c:v>
                </c:pt>
                <c:pt idx="33">
                  <c:v>99.65786103884038</c:v>
                </c:pt>
                <c:pt idx="34">
                  <c:v>100.33614692551016</c:v>
                </c:pt>
                <c:pt idx="35">
                  <c:v>101.50168355252065</c:v>
                </c:pt>
                <c:pt idx="36">
                  <c:v>102.81723746688911</c:v>
                </c:pt>
                <c:pt idx="37">
                  <c:v>103.99390031471711</c:v>
                </c:pt>
                <c:pt idx="38">
                  <c:v>104.87803016047869</c:v>
                </c:pt>
                <c:pt idx="39">
                  <c:v>105.55492951460489</c:v>
                </c:pt>
                <c:pt idx="40">
                  <c:v>106.32291582123752</c:v>
                </c:pt>
                <c:pt idx="41">
                  <c:v>107.31562519494665</c:v>
                </c:pt>
                <c:pt idx="42">
                  <c:v>108.43650798327988</c:v>
                </c:pt>
                <c:pt idx="43">
                  <c:v>109.42450434724456</c:v>
                </c:pt>
              </c:numCache>
            </c:numRef>
          </c:val>
          <c:smooth val="0"/>
          <c:extLst>
            <c:ext xmlns:c16="http://schemas.microsoft.com/office/drawing/2014/chart" uri="{C3380CC4-5D6E-409C-BE32-E72D297353CC}">
              <c16:uniqueId val="{00000034-D946-49DE-9999-E105CC355CDE}"/>
            </c:ext>
          </c:extLst>
        </c:ser>
        <c:dLbls>
          <c:showLegendKey val="0"/>
          <c:showVal val="0"/>
          <c:showCatName val="0"/>
          <c:showSerName val="0"/>
          <c:showPercent val="0"/>
          <c:showBubbleSize val="0"/>
        </c:dLbls>
        <c:marker val="1"/>
        <c:smooth val="0"/>
        <c:axId val="2092167600"/>
        <c:axId val="2092172496"/>
      </c:lineChart>
      <c:dateAx>
        <c:axId val="20921676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2496"/>
        <c:crosses val="autoZero"/>
        <c:auto val="1"/>
        <c:lblOffset val="0"/>
        <c:baseTimeUnit val="months"/>
        <c:majorUnit val="12"/>
        <c:majorTimeUnit val="months"/>
      </c:dateAx>
      <c:valAx>
        <c:axId val="2092172496"/>
        <c:scaling>
          <c:orientation val="minMax"/>
          <c:max val="13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67600"/>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graf'!$AF$7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891482249703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DD0-42F3-97B3-4F6FEDBA44A2}"/>
                </c:ext>
              </c:extLst>
            </c:dLbl>
            <c:dLbl>
              <c:idx val="12"/>
              <c:layout>
                <c:manualLayout>
                  <c:x val="7.08282472011890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DD0-42F3-97B3-4F6FEDBA44A2}"/>
                </c:ext>
              </c:extLst>
            </c:dLbl>
            <c:dLbl>
              <c:idx val="24"/>
              <c:layout>
                <c:manualLayout>
                  <c:x val="7.64989140868165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DD0-42F3-97B3-4F6FEDBA44A2}"/>
                </c:ext>
              </c:extLst>
            </c:dLbl>
            <c:dLbl>
              <c:idx val="36"/>
              <c:layout>
                <c:manualLayout>
                  <c:x val="-1.014716050002578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DD0-42F3-97B3-4F6FEDBA44A2}"/>
                </c:ext>
              </c:extLst>
            </c:dLbl>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graf'!$AF$44:$AF$87</c:f>
              <c:numCache>
                <c:formatCode>General</c:formatCode>
                <c:ptCount val="44"/>
                <c:pt idx="0">
                  <c:v>80</c:v>
                </c:pt>
                <c:pt idx="12">
                  <c:v>80</c:v>
                </c:pt>
                <c:pt idx="24">
                  <c:v>80</c:v>
                </c:pt>
                <c:pt idx="36">
                  <c:v>80</c:v>
                </c:pt>
              </c:numCache>
            </c:numRef>
          </c:val>
          <c:smooth val="0"/>
          <c:extLst>
            <c:ext xmlns:c16="http://schemas.microsoft.com/office/drawing/2014/chart" uri="{C3380CC4-5D6E-409C-BE32-E72D297353CC}">
              <c16:uniqueId val="{00000004-CDD0-42F3-97B3-4F6FEDBA44A2}"/>
            </c:ext>
          </c:extLst>
        </c:ser>
        <c:ser>
          <c:idx val="4"/>
          <c:order val="1"/>
          <c:tx>
            <c:strRef>
              <c:f>'Prerađivačka_FS graf'!$AG$7</c:f>
              <c:strCache>
                <c:ptCount val="1"/>
                <c:pt idx="0">
                  <c:v>Series5</c:v>
                </c:pt>
              </c:strCache>
            </c:strRef>
          </c:tx>
          <c:spPr>
            <a:ln w="28575" cap="rnd">
              <a:noFill/>
              <a:round/>
            </a:ln>
            <a:effectLst/>
          </c:spPr>
          <c:marker>
            <c:symbol val="none"/>
          </c:marker>
          <c:dLbls>
            <c:dLbl>
              <c:idx val="0"/>
              <c:tx>
                <c:rich>
                  <a:bodyPr/>
                  <a:lstStyle/>
                  <a:p>
                    <a:fld id="{90D12CF9-44E7-4F10-8195-BFD2DBBD0E7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CDD0-42F3-97B3-4F6FEDBA44A2}"/>
                </c:ext>
              </c:extLst>
            </c:dLbl>
            <c:dLbl>
              <c:idx val="1"/>
              <c:tx>
                <c:rich>
                  <a:bodyPr/>
                  <a:lstStyle/>
                  <a:p>
                    <a:fld id="{A3C9CBFF-3236-4D63-A4BC-B70DE376BB0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CDD0-42F3-97B3-4F6FEDBA44A2}"/>
                </c:ext>
              </c:extLst>
            </c:dLbl>
            <c:dLbl>
              <c:idx val="2"/>
              <c:tx>
                <c:rich>
                  <a:bodyPr/>
                  <a:lstStyle/>
                  <a:p>
                    <a:fld id="{786ACBD1-9429-49B1-A5D9-D1EAF51BC9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CDD0-42F3-97B3-4F6FEDBA44A2}"/>
                </c:ext>
              </c:extLst>
            </c:dLbl>
            <c:dLbl>
              <c:idx val="3"/>
              <c:tx>
                <c:rich>
                  <a:bodyPr/>
                  <a:lstStyle/>
                  <a:p>
                    <a:fld id="{0927F47C-C7B9-418F-9CF2-9506F34EEB0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CDD0-42F3-97B3-4F6FEDBA44A2}"/>
                </c:ext>
              </c:extLst>
            </c:dLbl>
            <c:dLbl>
              <c:idx val="4"/>
              <c:tx>
                <c:rich>
                  <a:bodyPr/>
                  <a:lstStyle/>
                  <a:p>
                    <a:fld id="{4794042F-1929-4EE2-8B20-4F10732468A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DD0-42F3-97B3-4F6FEDBA44A2}"/>
                </c:ext>
              </c:extLst>
            </c:dLbl>
            <c:dLbl>
              <c:idx val="5"/>
              <c:tx>
                <c:rich>
                  <a:bodyPr/>
                  <a:lstStyle/>
                  <a:p>
                    <a:fld id="{FE1AF74A-E119-48F8-B59B-6245AC75686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DD0-42F3-97B3-4F6FEDBA44A2}"/>
                </c:ext>
              </c:extLst>
            </c:dLbl>
            <c:dLbl>
              <c:idx val="6"/>
              <c:tx>
                <c:rich>
                  <a:bodyPr/>
                  <a:lstStyle/>
                  <a:p>
                    <a:fld id="{AE3027F3-7929-4F40-AF80-13DACF7E7A1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CDD0-42F3-97B3-4F6FEDBA44A2}"/>
                </c:ext>
              </c:extLst>
            </c:dLbl>
            <c:dLbl>
              <c:idx val="7"/>
              <c:tx>
                <c:rich>
                  <a:bodyPr/>
                  <a:lstStyle/>
                  <a:p>
                    <a:fld id="{EE14F1B5-AAC0-4FC0-8EB5-AB22DB75DAE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DD0-42F3-97B3-4F6FEDBA44A2}"/>
                </c:ext>
              </c:extLst>
            </c:dLbl>
            <c:dLbl>
              <c:idx val="8"/>
              <c:tx>
                <c:rich>
                  <a:bodyPr/>
                  <a:lstStyle/>
                  <a:p>
                    <a:fld id="{1065D23E-1B0F-4373-9F1C-27D5B3DF0C8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DD0-42F3-97B3-4F6FEDBA44A2}"/>
                </c:ext>
              </c:extLst>
            </c:dLbl>
            <c:dLbl>
              <c:idx val="9"/>
              <c:tx>
                <c:rich>
                  <a:bodyPr/>
                  <a:lstStyle/>
                  <a:p>
                    <a:fld id="{BBD27E79-2269-440A-A02B-8DB40375363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CDD0-42F3-97B3-4F6FEDBA44A2}"/>
                </c:ext>
              </c:extLst>
            </c:dLbl>
            <c:dLbl>
              <c:idx val="10"/>
              <c:tx>
                <c:rich>
                  <a:bodyPr/>
                  <a:lstStyle/>
                  <a:p>
                    <a:fld id="{6C50517F-DB2A-46CE-81E3-AFF524D61BB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DD0-42F3-97B3-4F6FEDBA44A2}"/>
                </c:ext>
              </c:extLst>
            </c:dLbl>
            <c:dLbl>
              <c:idx val="11"/>
              <c:tx>
                <c:rich>
                  <a:bodyPr/>
                  <a:lstStyle/>
                  <a:p>
                    <a:fld id="{4D60221D-5077-4861-9583-519878588E6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DD0-42F3-97B3-4F6FEDBA44A2}"/>
                </c:ext>
              </c:extLst>
            </c:dLbl>
            <c:dLbl>
              <c:idx val="12"/>
              <c:tx>
                <c:rich>
                  <a:bodyPr/>
                  <a:lstStyle/>
                  <a:p>
                    <a:fld id="{6691D968-031A-4772-9AAA-1235BC0C4FA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CDD0-42F3-97B3-4F6FEDBA44A2}"/>
                </c:ext>
              </c:extLst>
            </c:dLbl>
            <c:dLbl>
              <c:idx val="13"/>
              <c:tx>
                <c:rich>
                  <a:bodyPr/>
                  <a:lstStyle/>
                  <a:p>
                    <a:fld id="{E3644C6B-0360-48BF-957F-5C4F4AE4CE6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DD0-42F3-97B3-4F6FEDBA44A2}"/>
                </c:ext>
              </c:extLst>
            </c:dLbl>
            <c:dLbl>
              <c:idx val="14"/>
              <c:tx>
                <c:rich>
                  <a:bodyPr/>
                  <a:lstStyle/>
                  <a:p>
                    <a:fld id="{D01408C6-60BA-4625-B362-23CC4941EB0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DD0-42F3-97B3-4F6FEDBA44A2}"/>
                </c:ext>
              </c:extLst>
            </c:dLbl>
            <c:dLbl>
              <c:idx val="15"/>
              <c:tx>
                <c:rich>
                  <a:bodyPr/>
                  <a:lstStyle/>
                  <a:p>
                    <a:fld id="{780A8FAA-B9E7-4E5B-8AF0-1C792B838EF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CDD0-42F3-97B3-4F6FEDBA44A2}"/>
                </c:ext>
              </c:extLst>
            </c:dLbl>
            <c:dLbl>
              <c:idx val="16"/>
              <c:tx>
                <c:rich>
                  <a:bodyPr/>
                  <a:lstStyle/>
                  <a:p>
                    <a:fld id="{18ABFC92-A364-42A6-B8A9-2CBC4CD4ADD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DD0-42F3-97B3-4F6FEDBA44A2}"/>
                </c:ext>
              </c:extLst>
            </c:dLbl>
            <c:dLbl>
              <c:idx val="17"/>
              <c:tx>
                <c:rich>
                  <a:bodyPr/>
                  <a:lstStyle/>
                  <a:p>
                    <a:fld id="{F809376D-B482-4926-9AEC-E5EE27475A4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DD0-42F3-97B3-4F6FEDBA44A2}"/>
                </c:ext>
              </c:extLst>
            </c:dLbl>
            <c:dLbl>
              <c:idx val="18"/>
              <c:tx>
                <c:rich>
                  <a:bodyPr/>
                  <a:lstStyle/>
                  <a:p>
                    <a:fld id="{24CC6626-52B7-4275-8830-683ED1D2E8B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CDD0-42F3-97B3-4F6FEDBA44A2}"/>
                </c:ext>
              </c:extLst>
            </c:dLbl>
            <c:dLbl>
              <c:idx val="19"/>
              <c:tx>
                <c:rich>
                  <a:bodyPr/>
                  <a:lstStyle/>
                  <a:p>
                    <a:fld id="{39138E04-7D10-4BB2-A2D1-0649EFA4CF7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DD0-42F3-97B3-4F6FEDBA44A2}"/>
                </c:ext>
              </c:extLst>
            </c:dLbl>
            <c:dLbl>
              <c:idx val="20"/>
              <c:tx>
                <c:rich>
                  <a:bodyPr/>
                  <a:lstStyle/>
                  <a:p>
                    <a:fld id="{601D406F-CBEB-4DBA-8E97-4431F021710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DD0-42F3-97B3-4F6FEDBA44A2}"/>
                </c:ext>
              </c:extLst>
            </c:dLbl>
            <c:dLbl>
              <c:idx val="21"/>
              <c:tx>
                <c:rich>
                  <a:bodyPr/>
                  <a:lstStyle/>
                  <a:p>
                    <a:fld id="{2018703C-4F5E-4297-A8EA-DE6B4861240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CDD0-42F3-97B3-4F6FEDBA44A2}"/>
                </c:ext>
              </c:extLst>
            </c:dLbl>
            <c:dLbl>
              <c:idx val="22"/>
              <c:tx>
                <c:rich>
                  <a:bodyPr/>
                  <a:lstStyle/>
                  <a:p>
                    <a:fld id="{81AD60F4-92C3-424B-8701-E6C70F2CBDA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CDD0-42F3-97B3-4F6FEDBA44A2}"/>
                </c:ext>
              </c:extLst>
            </c:dLbl>
            <c:dLbl>
              <c:idx val="23"/>
              <c:tx>
                <c:rich>
                  <a:bodyPr/>
                  <a:lstStyle/>
                  <a:p>
                    <a:fld id="{2C3FE999-3A81-46AF-B044-BBC3AA6CF7B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CDD0-42F3-97B3-4F6FEDBA44A2}"/>
                </c:ext>
              </c:extLst>
            </c:dLbl>
            <c:dLbl>
              <c:idx val="24"/>
              <c:tx>
                <c:rich>
                  <a:bodyPr/>
                  <a:lstStyle/>
                  <a:p>
                    <a:fld id="{B0ED01F7-EB08-493B-94AA-FCB7E404E3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CDD0-42F3-97B3-4F6FEDBA44A2}"/>
                </c:ext>
              </c:extLst>
            </c:dLbl>
            <c:dLbl>
              <c:idx val="25"/>
              <c:tx>
                <c:rich>
                  <a:bodyPr/>
                  <a:lstStyle/>
                  <a:p>
                    <a:fld id="{B37370DA-2760-459B-B08F-366979C5B32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CDD0-42F3-97B3-4F6FEDBA44A2}"/>
                </c:ext>
              </c:extLst>
            </c:dLbl>
            <c:dLbl>
              <c:idx val="26"/>
              <c:tx>
                <c:rich>
                  <a:bodyPr/>
                  <a:lstStyle/>
                  <a:p>
                    <a:fld id="{A492B06D-ECCE-4311-BDA9-7FE1E4BD1EC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CDD0-42F3-97B3-4F6FEDBA44A2}"/>
                </c:ext>
              </c:extLst>
            </c:dLbl>
            <c:dLbl>
              <c:idx val="27"/>
              <c:tx>
                <c:rich>
                  <a:bodyPr/>
                  <a:lstStyle/>
                  <a:p>
                    <a:fld id="{3CD23AE4-9C3A-4227-BA27-9FAFFA5EDE4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CDD0-42F3-97B3-4F6FEDBA44A2}"/>
                </c:ext>
              </c:extLst>
            </c:dLbl>
            <c:dLbl>
              <c:idx val="28"/>
              <c:tx>
                <c:rich>
                  <a:bodyPr/>
                  <a:lstStyle/>
                  <a:p>
                    <a:fld id="{75E779AB-4D7E-47DD-8212-29B30317E7A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CDD0-42F3-97B3-4F6FEDBA44A2}"/>
                </c:ext>
              </c:extLst>
            </c:dLbl>
            <c:dLbl>
              <c:idx val="29"/>
              <c:tx>
                <c:rich>
                  <a:bodyPr/>
                  <a:lstStyle/>
                  <a:p>
                    <a:fld id="{BCBF494C-B9DF-4C65-9543-95F01ED571C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CDD0-42F3-97B3-4F6FEDBA44A2}"/>
                </c:ext>
              </c:extLst>
            </c:dLbl>
            <c:dLbl>
              <c:idx val="30"/>
              <c:tx>
                <c:rich>
                  <a:bodyPr/>
                  <a:lstStyle/>
                  <a:p>
                    <a:fld id="{D6B063BB-B54D-47AF-97BE-5DE9C01D210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CDD0-42F3-97B3-4F6FEDBA44A2}"/>
                </c:ext>
              </c:extLst>
            </c:dLbl>
            <c:dLbl>
              <c:idx val="31"/>
              <c:tx>
                <c:rich>
                  <a:bodyPr/>
                  <a:lstStyle/>
                  <a:p>
                    <a:fld id="{16A13009-6A15-4BA7-B6BB-32B6ED451D7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CDD0-42F3-97B3-4F6FEDBA44A2}"/>
                </c:ext>
              </c:extLst>
            </c:dLbl>
            <c:dLbl>
              <c:idx val="32"/>
              <c:tx>
                <c:rich>
                  <a:bodyPr/>
                  <a:lstStyle/>
                  <a:p>
                    <a:fld id="{186BD62E-91FF-4A6F-AE14-37EEDAFF4E7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CDD0-42F3-97B3-4F6FEDBA44A2}"/>
                </c:ext>
              </c:extLst>
            </c:dLbl>
            <c:dLbl>
              <c:idx val="33"/>
              <c:tx>
                <c:rich>
                  <a:bodyPr/>
                  <a:lstStyle/>
                  <a:p>
                    <a:fld id="{F3BED9AB-EA43-40F1-9C8D-E5512202D55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CDD0-42F3-97B3-4F6FEDBA44A2}"/>
                </c:ext>
              </c:extLst>
            </c:dLbl>
            <c:dLbl>
              <c:idx val="34"/>
              <c:tx>
                <c:rich>
                  <a:bodyPr/>
                  <a:lstStyle/>
                  <a:p>
                    <a:fld id="{15689A56-C0A7-4C07-839A-884E86F5F12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CDD0-42F3-97B3-4F6FEDBA44A2}"/>
                </c:ext>
              </c:extLst>
            </c:dLbl>
            <c:dLbl>
              <c:idx val="35"/>
              <c:tx>
                <c:rich>
                  <a:bodyPr/>
                  <a:lstStyle/>
                  <a:p>
                    <a:fld id="{7F726170-7470-4D10-9655-7237B01D667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CDD0-42F3-97B3-4F6FEDBA44A2}"/>
                </c:ext>
              </c:extLst>
            </c:dLbl>
            <c:dLbl>
              <c:idx val="36"/>
              <c:tx>
                <c:rich>
                  <a:bodyPr/>
                  <a:lstStyle/>
                  <a:p>
                    <a:fld id="{C8D1BB49-ED65-4EFC-BDEF-95374A871F9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CDD0-42F3-97B3-4F6FEDBA44A2}"/>
                </c:ext>
              </c:extLst>
            </c:dLbl>
            <c:dLbl>
              <c:idx val="37"/>
              <c:tx>
                <c:rich>
                  <a:bodyPr/>
                  <a:lstStyle/>
                  <a:p>
                    <a:fld id="{1CD9616F-B99C-4520-A247-F63773BA3AA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CDD0-42F3-97B3-4F6FEDBA44A2}"/>
                </c:ext>
              </c:extLst>
            </c:dLbl>
            <c:dLbl>
              <c:idx val="38"/>
              <c:tx>
                <c:rich>
                  <a:bodyPr/>
                  <a:lstStyle/>
                  <a:p>
                    <a:fld id="{8D142E8A-0776-45F4-81FD-529AD6783DD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CDD0-42F3-97B3-4F6FEDBA44A2}"/>
                </c:ext>
              </c:extLst>
            </c:dLbl>
            <c:dLbl>
              <c:idx val="39"/>
              <c:tx>
                <c:rich>
                  <a:bodyPr/>
                  <a:lstStyle/>
                  <a:p>
                    <a:fld id="{99F4D2D7-1FF7-456F-B21D-825EC7B18F2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CDD0-42F3-97B3-4F6FEDBA44A2}"/>
                </c:ext>
              </c:extLst>
            </c:dLbl>
            <c:dLbl>
              <c:idx val="40"/>
              <c:tx>
                <c:rich>
                  <a:bodyPr/>
                  <a:lstStyle/>
                  <a:p>
                    <a:fld id="{0E15B651-B893-4B04-880C-BBD617FA70C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CDD0-42F3-97B3-4F6FEDBA44A2}"/>
                </c:ext>
              </c:extLst>
            </c:dLbl>
            <c:dLbl>
              <c:idx val="41"/>
              <c:tx>
                <c:rich>
                  <a:bodyPr/>
                  <a:lstStyle/>
                  <a:p>
                    <a:fld id="{8A5F8C3E-F963-407F-AE8D-1C88E04A072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CDD0-42F3-97B3-4F6FEDBA44A2}"/>
                </c:ext>
              </c:extLst>
            </c:dLbl>
            <c:dLbl>
              <c:idx val="42"/>
              <c:tx>
                <c:rich>
                  <a:bodyPr/>
                  <a:lstStyle/>
                  <a:p>
                    <a:fld id="{2018B87D-14A0-4CCC-9F98-E0487AE864A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CDD0-42F3-97B3-4F6FEDBA44A2}"/>
                </c:ext>
              </c:extLst>
            </c:dLbl>
            <c:dLbl>
              <c:idx val="43"/>
              <c:tx>
                <c:rich>
                  <a:bodyPr/>
                  <a:lstStyle/>
                  <a:p>
                    <a:fld id="{40332EB6-2F57-48F3-963C-3621E3A8DDD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CDD0-42F3-97B3-4F6FEDBA44A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graf'!$AG$44:$AG$87</c:f>
              <c:numCache>
                <c:formatCode>General</c:formatCode>
                <c:ptCount val="44"/>
                <c:pt idx="0">
                  <c:v>80</c:v>
                </c:pt>
                <c:pt idx="1">
                  <c:v>80</c:v>
                </c:pt>
                <c:pt idx="2">
                  <c:v>80</c:v>
                </c:pt>
                <c:pt idx="3">
                  <c:v>80</c:v>
                </c:pt>
                <c:pt idx="4">
                  <c:v>80</c:v>
                </c:pt>
                <c:pt idx="5">
                  <c:v>80</c:v>
                </c:pt>
                <c:pt idx="6">
                  <c:v>80</c:v>
                </c:pt>
                <c:pt idx="7">
                  <c:v>80</c:v>
                </c:pt>
                <c:pt idx="8">
                  <c:v>80</c:v>
                </c:pt>
                <c:pt idx="9">
                  <c:v>80</c:v>
                </c:pt>
                <c:pt idx="10">
                  <c:v>80</c:v>
                </c:pt>
                <c:pt idx="11">
                  <c:v>80</c:v>
                </c:pt>
                <c:pt idx="12">
                  <c:v>80</c:v>
                </c:pt>
                <c:pt idx="13">
                  <c:v>80</c:v>
                </c:pt>
                <c:pt idx="14">
                  <c:v>80</c:v>
                </c:pt>
                <c:pt idx="15">
                  <c:v>80</c:v>
                </c:pt>
                <c:pt idx="16">
                  <c:v>80</c:v>
                </c:pt>
                <c:pt idx="17">
                  <c:v>80</c:v>
                </c:pt>
                <c:pt idx="18">
                  <c:v>80</c:v>
                </c:pt>
                <c:pt idx="19">
                  <c:v>80</c:v>
                </c:pt>
                <c:pt idx="20">
                  <c:v>80</c:v>
                </c:pt>
                <c:pt idx="21">
                  <c:v>80</c:v>
                </c:pt>
                <c:pt idx="22">
                  <c:v>80</c:v>
                </c:pt>
                <c:pt idx="23">
                  <c:v>80</c:v>
                </c:pt>
                <c:pt idx="24">
                  <c:v>80</c:v>
                </c:pt>
                <c:pt idx="25">
                  <c:v>80</c:v>
                </c:pt>
                <c:pt idx="26">
                  <c:v>80</c:v>
                </c:pt>
                <c:pt idx="27">
                  <c:v>80</c:v>
                </c:pt>
                <c:pt idx="28">
                  <c:v>80</c:v>
                </c:pt>
                <c:pt idx="29">
                  <c:v>80</c:v>
                </c:pt>
                <c:pt idx="30">
                  <c:v>80</c:v>
                </c:pt>
                <c:pt idx="31">
                  <c:v>80</c:v>
                </c:pt>
                <c:pt idx="32">
                  <c:v>80</c:v>
                </c:pt>
                <c:pt idx="33">
                  <c:v>80</c:v>
                </c:pt>
                <c:pt idx="34">
                  <c:v>80</c:v>
                </c:pt>
                <c:pt idx="35">
                  <c:v>80</c:v>
                </c:pt>
                <c:pt idx="36">
                  <c:v>80</c:v>
                </c:pt>
                <c:pt idx="37">
                  <c:v>80</c:v>
                </c:pt>
                <c:pt idx="38">
                  <c:v>80</c:v>
                </c:pt>
                <c:pt idx="39">
                  <c:v>80</c:v>
                </c:pt>
                <c:pt idx="40">
                  <c:v>80</c:v>
                </c:pt>
                <c:pt idx="41">
                  <c:v>80</c:v>
                </c:pt>
                <c:pt idx="42">
                  <c:v>80</c:v>
                </c:pt>
                <c:pt idx="43">
                  <c:v>80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CDD0-42F3-97B3-4F6FEDBA44A2}"/>
            </c:ext>
          </c:extLst>
        </c:ser>
        <c:ser>
          <c:idx val="0"/>
          <c:order val="2"/>
          <c:tx>
            <c:strRef>
              <c:f>'Prerađivačka_FS graf'!$AH$7</c:f>
              <c:strCache>
                <c:ptCount val="1"/>
                <c:pt idx="0">
                  <c:v>y</c:v>
                </c:pt>
              </c:strCache>
            </c:strRef>
          </c:tx>
          <c:spPr>
            <a:ln w="12700" cap="rnd">
              <a:solidFill>
                <a:srgbClr val="7F3F98"/>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graf'!$AH$44:$AH$87</c:f>
              <c:numCache>
                <c:formatCode>0.0</c:formatCode>
                <c:ptCount val="44"/>
                <c:pt idx="0">
                  <c:v>89.672453910864519</c:v>
                </c:pt>
                <c:pt idx="1">
                  <c:v>107.49955253266512</c:v>
                </c:pt>
                <c:pt idx="2">
                  <c:v>114.80221943798104</c:v>
                </c:pt>
                <c:pt idx="3">
                  <c:v>108.78825845713263</c:v>
                </c:pt>
                <c:pt idx="4">
                  <c:v>104.81474852335779</c:v>
                </c:pt>
                <c:pt idx="5">
                  <c:v>113.72829783425811</c:v>
                </c:pt>
                <c:pt idx="6">
                  <c:v>109.96957222122788</c:v>
                </c:pt>
                <c:pt idx="7">
                  <c:v>99.982101306604619</c:v>
                </c:pt>
                <c:pt idx="8">
                  <c:v>109.86218006085555</c:v>
                </c:pt>
                <c:pt idx="9">
                  <c:v>112.97655271165206</c:v>
                </c:pt>
                <c:pt idx="10">
                  <c:v>110.50653302308933</c:v>
                </c:pt>
                <c:pt idx="11">
                  <c:v>106.10345444782531</c:v>
                </c:pt>
                <c:pt idx="12">
                  <c:v>91.820297118310364</c:v>
                </c:pt>
                <c:pt idx="13">
                  <c:v>106.64041524968677</c:v>
                </c:pt>
                <c:pt idx="14">
                  <c:v>115.23178807947021</c:v>
                </c:pt>
                <c:pt idx="15">
                  <c:v>100.73384642921069</c:v>
                </c:pt>
                <c:pt idx="16">
                  <c:v>107.821729013782</c:v>
                </c:pt>
                <c:pt idx="17">
                  <c:v>110.07696438160015</c:v>
                </c:pt>
                <c:pt idx="18">
                  <c:v>98.693395382137112</c:v>
                </c:pt>
                <c:pt idx="19">
                  <c:v>96.652944335063552</c:v>
                </c:pt>
                <c:pt idx="20">
                  <c:v>106.10345444782531</c:v>
                </c:pt>
                <c:pt idx="21">
                  <c:v>112.01002326830142</c:v>
                </c:pt>
                <c:pt idx="22">
                  <c:v>98.371218901020228</c:v>
                </c:pt>
                <c:pt idx="23">
                  <c:v>92.679434401288702</c:v>
                </c:pt>
                <c:pt idx="24">
                  <c:v>88.168963665652413</c:v>
                </c:pt>
                <c:pt idx="25">
                  <c:v>101.91516019330591</c:v>
                </c:pt>
                <c:pt idx="26">
                  <c:v>114.26525863611958</c:v>
                </c:pt>
                <c:pt idx="27">
                  <c:v>99.659924825487749</c:v>
                </c:pt>
                <c:pt idx="28">
                  <c:v>106.96259173080365</c:v>
                </c:pt>
                <c:pt idx="29">
                  <c:v>107.49955253266512</c:v>
                </c:pt>
                <c:pt idx="30">
                  <c:v>98.908179702881696</c:v>
                </c:pt>
                <c:pt idx="31">
                  <c:v>86.558081260068022</c:v>
                </c:pt>
                <c:pt idx="32">
                  <c:v>101.91516019330591</c:v>
                </c:pt>
                <c:pt idx="33">
                  <c:v>107.49955253266512</c:v>
                </c:pt>
                <c:pt idx="34">
                  <c:v>97.18990513692502</c:v>
                </c:pt>
                <c:pt idx="35">
                  <c:v>89.45766959011992</c:v>
                </c:pt>
                <c:pt idx="36">
                  <c:v>89.1</c:v>
                </c:pt>
                <c:pt idx="37">
                  <c:v>108.3</c:v>
                </c:pt>
                <c:pt idx="38">
                  <c:v>121.9</c:v>
                </c:pt>
                <c:pt idx="39">
                  <c:v>116.6</c:v>
                </c:pt>
                <c:pt idx="40">
                  <c:v>107.6</c:v>
                </c:pt>
                <c:pt idx="41">
                  <c:v>118.2</c:v>
                </c:pt>
                <c:pt idx="42">
                  <c:v>111.2</c:v>
                </c:pt>
                <c:pt idx="43">
                  <c:v>109.3</c:v>
                </c:pt>
              </c:numCache>
            </c:numRef>
          </c:val>
          <c:smooth val="0"/>
          <c:extLst>
            <c:ext xmlns:c16="http://schemas.microsoft.com/office/drawing/2014/chart" uri="{C3380CC4-5D6E-409C-BE32-E72D297353CC}">
              <c16:uniqueId val="{00000032-CDD0-42F3-97B3-4F6FEDBA44A2}"/>
            </c:ext>
          </c:extLst>
        </c:ser>
        <c:ser>
          <c:idx val="1"/>
          <c:order val="3"/>
          <c:tx>
            <c:strRef>
              <c:f>'Prerađivačka_FS graf'!$AI$7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graf'!$AI$44:$AI$87</c:f>
              <c:numCache>
                <c:formatCode>0.0</c:formatCode>
                <c:ptCount val="44"/>
                <c:pt idx="0">
                  <c:v>106.78891349462326</c:v>
                </c:pt>
                <c:pt idx="1">
                  <c:v>108.88095167717397</c:v>
                </c:pt>
                <c:pt idx="2">
                  <c:v>104.7209426864771</c:v>
                </c:pt>
                <c:pt idx="3">
                  <c:v>108.88700195452596</c:v>
                </c:pt>
                <c:pt idx="4">
                  <c:v>103.83133201534065</c:v>
                </c:pt>
                <c:pt idx="5">
                  <c:v>107.62949932313876</c:v>
                </c:pt>
                <c:pt idx="6">
                  <c:v>108.06703175797784</c:v>
                </c:pt>
                <c:pt idx="7">
                  <c:v>104.29971156209342</c:v>
                </c:pt>
                <c:pt idx="8">
                  <c:v>103.67586817155293</c:v>
                </c:pt>
                <c:pt idx="9">
                  <c:v>105.31408265176852</c:v>
                </c:pt>
                <c:pt idx="10">
                  <c:v>110.26565165701044</c:v>
                </c:pt>
                <c:pt idx="11">
                  <c:v>114.90216735604284</c:v>
                </c:pt>
                <c:pt idx="12">
                  <c:v>107.18178036491351</c:v>
                </c:pt>
                <c:pt idx="13">
                  <c:v>107.43520977334036</c:v>
                </c:pt>
                <c:pt idx="14">
                  <c:v>104.80535074250966</c:v>
                </c:pt>
                <c:pt idx="15">
                  <c:v>102.36498555708626</c:v>
                </c:pt>
                <c:pt idx="16">
                  <c:v>105.2783253895789</c:v>
                </c:pt>
                <c:pt idx="17">
                  <c:v>103.32176126294229</c:v>
                </c:pt>
                <c:pt idx="18">
                  <c:v>99.324193817166417</c:v>
                </c:pt>
                <c:pt idx="19">
                  <c:v>100.38656863757161</c:v>
                </c:pt>
                <c:pt idx="20">
                  <c:v>100.71766827589774</c:v>
                </c:pt>
                <c:pt idx="21">
                  <c:v>104.37768455323926</c:v>
                </c:pt>
                <c:pt idx="22">
                  <c:v>98.99703796499297</c:v>
                </c:pt>
                <c:pt idx="23">
                  <c:v>102.5473145342205</c:v>
                </c:pt>
                <c:pt idx="24">
                  <c:v>102.20113351064326</c:v>
                </c:pt>
                <c:pt idx="25">
                  <c:v>102.20834383710833</c:v>
                </c:pt>
                <c:pt idx="26">
                  <c:v>103.03342671067661</c:v>
                </c:pt>
                <c:pt idx="27">
                  <c:v>101.7400086579823</c:v>
                </c:pt>
                <c:pt idx="28">
                  <c:v>104.71743203874689</c:v>
                </c:pt>
                <c:pt idx="29">
                  <c:v>99.989518378200614</c:v>
                </c:pt>
                <c:pt idx="30">
                  <c:v>100.61849331874177</c:v>
                </c:pt>
                <c:pt idx="31">
                  <c:v>90.64826028976789</c:v>
                </c:pt>
                <c:pt idx="32">
                  <c:v>98.456879549807766</c:v>
                </c:pt>
                <c:pt idx="33">
                  <c:v>98.469990438874817</c:v>
                </c:pt>
                <c:pt idx="34">
                  <c:v>97.509718977249037</c:v>
                </c:pt>
                <c:pt idx="35">
                  <c:v>100.63911601623582</c:v>
                </c:pt>
                <c:pt idx="36">
                  <c:v>103.65616747297986</c:v>
                </c:pt>
                <c:pt idx="37">
                  <c:v>105.53375289515695</c:v>
                </c:pt>
                <c:pt idx="38">
                  <c:v>112.58090691393819</c:v>
                </c:pt>
                <c:pt idx="39">
                  <c:v>112.43695883347571</c:v>
                </c:pt>
                <c:pt idx="40">
                  <c:v>107.77169492050494</c:v>
                </c:pt>
                <c:pt idx="41">
                  <c:v>113.14286841570357</c:v>
                </c:pt>
                <c:pt idx="42">
                  <c:v>110.5102611838074</c:v>
                </c:pt>
                <c:pt idx="43">
                  <c:v>115.10301096537111</c:v>
                </c:pt>
              </c:numCache>
            </c:numRef>
          </c:val>
          <c:smooth val="0"/>
          <c:extLst>
            <c:ext xmlns:c16="http://schemas.microsoft.com/office/drawing/2014/chart" uri="{C3380CC4-5D6E-409C-BE32-E72D297353CC}">
              <c16:uniqueId val="{00000033-CDD0-42F3-97B3-4F6FEDBA44A2}"/>
            </c:ext>
          </c:extLst>
        </c:ser>
        <c:ser>
          <c:idx val="2"/>
          <c:order val="4"/>
          <c:tx>
            <c:strRef>
              <c:f>'Prerađivačka_FS graf'!$AJ$7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graf'!$AJ$44:$AJ$87</c:f>
              <c:numCache>
                <c:formatCode>0.0</c:formatCode>
                <c:ptCount val="44"/>
                <c:pt idx="0">
                  <c:v>109.82103644475961</c:v>
                </c:pt>
                <c:pt idx="1">
                  <c:v>108.2724381648285</c:v>
                </c:pt>
                <c:pt idx="2">
                  <c:v>107.19954516431415</c:v>
                </c:pt>
                <c:pt idx="3">
                  <c:v>106.59627936534</c:v>
                </c:pt>
                <c:pt idx="4">
                  <c:v>106.21927569836518</c:v>
                </c:pt>
                <c:pt idx="5">
                  <c:v>105.98908282988791</c:v>
                </c:pt>
                <c:pt idx="6">
                  <c:v>105.81298826671383</c:v>
                </c:pt>
                <c:pt idx="7">
                  <c:v>105.73229919818321</c:v>
                </c:pt>
                <c:pt idx="8">
                  <c:v>105.97255806120707</c:v>
                </c:pt>
                <c:pt idx="9">
                  <c:v>106.48978629126246</c:v>
                </c:pt>
                <c:pt idx="10">
                  <c:v>107.04731084469122</c:v>
                </c:pt>
                <c:pt idx="11">
                  <c:v>107.3038708581375</c:v>
                </c:pt>
                <c:pt idx="12">
                  <c:v>107.21625350641129</c:v>
                </c:pt>
                <c:pt idx="13">
                  <c:v>106.59842007955041</c:v>
                </c:pt>
                <c:pt idx="14">
                  <c:v>105.53144187128187</c:v>
                </c:pt>
                <c:pt idx="15">
                  <c:v>104.24666067435993</c:v>
                </c:pt>
                <c:pt idx="16">
                  <c:v>103.10661539143389</c:v>
                </c:pt>
                <c:pt idx="17">
                  <c:v>102.19147197240365</c:v>
                </c:pt>
                <c:pt idx="18">
                  <c:v>101.4980287074651</c:v>
                </c:pt>
                <c:pt idx="19">
                  <c:v>101.13450743111018</c:v>
                </c:pt>
                <c:pt idx="20">
                  <c:v>101.05132538606178</c:v>
                </c:pt>
                <c:pt idx="21">
                  <c:v>101.21094096176631</c:v>
                </c:pt>
                <c:pt idx="22">
                  <c:v>101.50910707587197</c:v>
                </c:pt>
                <c:pt idx="23">
                  <c:v>101.9077856323929</c:v>
                </c:pt>
                <c:pt idx="24">
                  <c:v>102.23820082244416</c:v>
                </c:pt>
                <c:pt idx="25">
                  <c:v>102.50221999363734</c:v>
                </c:pt>
                <c:pt idx="26">
                  <c:v>102.68263151530411</c:v>
                </c:pt>
                <c:pt idx="27">
                  <c:v>102.60336848849481</c:v>
                </c:pt>
                <c:pt idx="28">
                  <c:v>102.1581124717742</c:v>
                </c:pt>
                <c:pt idx="29">
                  <c:v>101.29070506501034</c:v>
                </c:pt>
                <c:pt idx="30">
                  <c:v>100.21561284382842</c:v>
                </c:pt>
                <c:pt idx="31">
                  <c:v>99.138693921718726</c:v>
                </c:pt>
                <c:pt idx="32">
                  <c:v>98.412761403142625</c:v>
                </c:pt>
                <c:pt idx="33">
                  <c:v>98.336006389661492</c:v>
                </c:pt>
                <c:pt idx="34">
                  <c:v>99.230061939113952</c:v>
                </c:pt>
                <c:pt idx="35">
                  <c:v>100.99123136368252</c:v>
                </c:pt>
                <c:pt idx="36">
                  <c:v>103.31560047012341</c:v>
                </c:pt>
                <c:pt idx="37">
                  <c:v>105.78324690470701</c:v>
                </c:pt>
                <c:pt idx="38">
                  <c:v>107.93655148750091</c:v>
                </c:pt>
                <c:pt idx="39">
                  <c:v>109.62675926025341</c:v>
                </c:pt>
                <c:pt idx="40">
                  <c:v>110.87197600584747</c:v>
                </c:pt>
                <c:pt idx="41">
                  <c:v>111.8544767471639</c:v>
                </c:pt>
                <c:pt idx="42">
                  <c:v>112.8134483886316</c:v>
                </c:pt>
                <c:pt idx="43">
                  <c:v>113.81643261862264</c:v>
                </c:pt>
              </c:numCache>
            </c:numRef>
          </c:val>
          <c:smooth val="0"/>
          <c:extLst>
            <c:ext xmlns:c16="http://schemas.microsoft.com/office/drawing/2014/chart" uri="{C3380CC4-5D6E-409C-BE32-E72D297353CC}">
              <c16:uniqueId val="{00000034-CDD0-42F3-97B3-4F6FEDBA44A2}"/>
            </c:ext>
          </c:extLst>
        </c:ser>
        <c:dLbls>
          <c:showLegendKey val="0"/>
          <c:showVal val="0"/>
          <c:showCatName val="0"/>
          <c:showSerName val="0"/>
          <c:showPercent val="0"/>
          <c:showBubbleSize val="0"/>
        </c:dLbls>
        <c:marker val="1"/>
        <c:smooth val="0"/>
        <c:axId val="2092125712"/>
        <c:axId val="2092128432"/>
      </c:lineChart>
      <c:dateAx>
        <c:axId val="20921257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28432"/>
        <c:crosses val="autoZero"/>
        <c:auto val="1"/>
        <c:lblOffset val="0"/>
        <c:baseTimeUnit val="months"/>
        <c:majorUnit val="12"/>
        <c:majorTimeUnit val="months"/>
      </c:dateAx>
      <c:valAx>
        <c:axId val="2092128432"/>
        <c:scaling>
          <c:orientation val="minMax"/>
          <c:min val="8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25712"/>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299262709008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8FB-4080-BB65-7836EF62FB26}"/>
                </c:ext>
              </c:extLst>
            </c:dLbl>
            <c:dLbl>
              <c:idx val="12"/>
              <c:layout>
                <c:manualLayout>
                  <c:x val="7.078404730482976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8FB-4080-BB65-7836EF62FB26}"/>
                </c:ext>
              </c:extLst>
            </c:dLbl>
            <c:dLbl>
              <c:idx val="24"/>
              <c:layout>
                <c:manualLayout>
                  <c:x val="7.20180348269542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8FB-4080-BB65-7836EF62FB26}"/>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8FB-4080-BB65-7836EF62FB2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graf'!$BA$44:$BA$87</c:f>
              <c:numCache>
                <c:formatCode>General</c:formatCode>
                <c:ptCount val="44"/>
                <c:pt idx="0">
                  <c:v>70</c:v>
                </c:pt>
                <c:pt idx="12">
                  <c:v>70</c:v>
                </c:pt>
                <c:pt idx="24">
                  <c:v>70</c:v>
                </c:pt>
                <c:pt idx="36">
                  <c:v>70</c:v>
                </c:pt>
              </c:numCache>
            </c:numRef>
          </c:val>
          <c:smooth val="0"/>
          <c:extLst>
            <c:ext xmlns:c16="http://schemas.microsoft.com/office/drawing/2014/chart" uri="{C3380CC4-5D6E-409C-BE32-E72D297353CC}">
              <c16:uniqueId val="{00000004-A8FB-4080-BB65-7836EF62FB26}"/>
            </c:ext>
          </c:extLst>
        </c:ser>
        <c:ser>
          <c:idx val="4"/>
          <c:order val="1"/>
          <c:tx>
            <c:strRef>
              <c:f>'Prerađivačka_FS graf'!$BB$7</c:f>
              <c:strCache>
                <c:ptCount val="1"/>
                <c:pt idx="0">
                  <c:v>Series5</c:v>
                </c:pt>
              </c:strCache>
            </c:strRef>
          </c:tx>
          <c:spPr>
            <a:ln w="25400" cap="rnd">
              <a:noFill/>
              <a:round/>
            </a:ln>
            <a:effectLst/>
          </c:spPr>
          <c:marker>
            <c:symbol val="none"/>
          </c:marker>
          <c:dLbls>
            <c:dLbl>
              <c:idx val="0"/>
              <c:tx>
                <c:rich>
                  <a:bodyPr/>
                  <a:lstStyle/>
                  <a:p>
                    <a:fld id="{D3FFA259-0E34-413A-855B-6749E679D2C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A8FB-4080-BB65-7836EF62FB26}"/>
                </c:ext>
              </c:extLst>
            </c:dLbl>
            <c:dLbl>
              <c:idx val="1"/>
              <c:tx>
                <c:rich>
                  <a:bodyPr/>
                  <a:lstStyle/>
                  <a:p>
                    <a:fld id="{823FC6BC-BD07-44C3-9390-1A9E6B4DE30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A8FB-4080-BB65-7836EF62FB26}"/>
                </c:ext>
              </c:extLst>
            </c:dLbl>
            <c:dLbl>
              <c:idx val="2"/>
              <c:tx>
                <c:rich>
                  <a:bodyPr/>
                  <a:lstStyle/>
                  <a:p>
                    <a:fld id="{0745B5C0-EB40-4AD5-A47A-A0979DFB146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A8FB-4080-BB65-7836EF62FB26}"/>
                </c:ext>
              </c:extLst>
            </c:dLbl>
            <c:dLbl>
              <c:idx val="3"/>
              <c:tx>
                <c:rich>
                  <a:bodyPr/>
                  <a:lstStyle/>
                  <a:p>
                    <a:fld id="{37BF2882-B004-4D7F-816E-997518DD41F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8FB-4080-BB65-7836EF62FB26}"/>
                </c:ext>
              </c:extLst>
            </c:dLbl>
            <c:dLbl>
              <c:idx val="4"/>
              <c:tx>
                <c:rich>
                  <a:bodyPr/>
                  <a:lstStyle/>
                  <a:p>
                    <a:fld id="{BAC3A130-E9A6-4299-BC2F-3B942A4589E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A8FB-4080-BB65-7836EF62FB26}"/>
                </c:ext>
              </c:extLst>
            </c:dLbl>
            <c:dLbl>
              <c:idx val="5"/>
              <c:tx>
                <c:rich>
                  <a:bodyPr/>
                  <a:lstStyle/>
                  <a:p>
                    <a:fld id="{CC58BE47-7305-4CDE-9082-DD20E4FE721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A8FB-4080-BB65-7836EF62FB26}"/>
                </c:ext>
              </c:extLst>
            </c:dLbl>
            <c:dLbl>
              <c:idx val="6"/>
              <c:tx>
                <c:rich>
                  <a:bodyPr/>
                  <a:lstStyle/>
                  <a:p>
                    <a:fld id="{24CF3A94-3DD3-4298-B1D1-2A1CFAD2B62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8FB-4080-BB65-7836EF62FB26}"/>
                </c:ext>
              </c:extLst>
            </c:dLbl>
            <c:dLbl>
              <c:idx val="7"/>
              <c:tx>
                <c:rich>
                  <a:bodyPr/>
                  <a:lstStyle/>
                  <a:p>
                    <a:fld id="{16C2C5D0-54CA-485D-94D2-91DFD801A00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A8FB-4080-BB65-7836EF62FB26}"/>
                </c:ext>
              </c:extLst>
            </c:dLbl>
            <c:dLbl>
              <c:idx val="8"/>
              <c:tx>
                <c:rich>
                  <a:bodyPr/>
                  <a:lstStyle/>
                  <a:p>
                    <a:fld id="{74B4442F-43EF-4A7C-B1A0-5C8C837F5DC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A8FB-4080-BB65-7836EF62FB26}"/>
                </c:ext>
              </c:extLst>
            </c:dLbl>
            <c:dLbl>
              <c:idx val="9"/>
              <c:tx>
                <c:rich>
                  <a:bodyPr/>
                  <a:lstStyle/>
                  <a:p>
                    <a:fld id="{459B73AD-AA30-42A6-91D1-938BBBB12E7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A8FB-4080-BB65-7836EF62FB26}"/>
                </c:ext>
              </c:extLst>
            </c:dLbl>
            <c:dLbl>
              <c:idx val="10"/>
              <c:tx>
                <c:rich>
                  <a:bodyPr/>
                  <a:lstStyle/>
                  <a:p>
                    <a:fld id="{74C18926-E088-439D-B539-59AD0B74FCA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A8FB-4080-BB65-7836EF62FB26}"/>
                </c:ext>
              </c:extLst>
            </c:dLbl>
            <c:dLbl>
              <c:idx val="11"/>
              <c:tx>
                <c:rich>
                  <a:bodyPr/>
                  <a:lstStyle/>
                  <a:p>
                    <a:fld id="{26072E2A-1D19-447E-9306-79D7F14C7BA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A8FB-4080-BB65-7836EF62FB26}"/>
                </c:ext>
              </c:extLst>
            </c:dLbl>
            <c:dLbl>
              <c:idx val="12"/>
              <c:tx>
                <c:rich>
                  <a:bodyPr/>
                  <a:lstStyle/>
                  <a:p>
                    <a:fld id="{CC4A3991-4BE8-4B2A-810A-24A8CBA013E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A8FB-4080-BB65-7836EF62FB26}"/>
                </c:ext>
              </c:extLst>
            </c:dLbl>
            <c:dLbl>
              <c:idx val="13"/>
              <c:tx>
                <c:rich>
                  <a:bodyPr/>
                  <a:lstStyle/>
                  <a:p>
                    <a:fld id="{EBDA25C5-1D6C-48A7-8F21-5BB7DC91ADB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A8FB-4080-BB65-7836EF62FB26}"/>
                </c:ext>
              </c:extLst>
            </c:dLbl>
            <c:dLbl>
              <c:idx val="14"/>
              <c:tx>
                <c:rich>
                  <a:bodyPr/>
                  <a:lstStyle/>
                  <a:p>
                    <a:fld id="{6691C8F1-09D7-462C-A9A5-A05A22A2053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A8FB-4080-BB65-7836EF62FB26}"/>
                </c:ext>
              </c:extLst>
            </c:dLbl>
            <c:dLbl>
              <c:idx val="15"/>
              <c:tx>
                <c:rich>
                  <a:bodyPr/>
                  <a:lstStyle/>
                  <a:p>
                    <a:fld id="{56B77FCD-D3CC-49A3-9B0E-42A0D853783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A8FB-4080-BB65-7836EF62FB26}"/>
                </c:ext>
              </c:extLst>
            </c:dLbl>
            <c:dLbl>
              <c:idx val="16"/>
              <c:tx>
                <c:rich>
                  <a:bodyPr/>
                  <a:lstStyle/>
                  <a:p>
                    <a:fld id="{6EF94CC5-38DE-4D36-AAC4-9B8DF12FA9F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A8FB-4080-BB65-7836EF62FB26}"/>
                </c:ext>
              </c:extLst>
            </c:dLbl>
            <c:dLbl>
              <c:idx val="17"/>
              <c:tx>
                <c:rich>
                  <a:bodyPr/>
                  <a:lstStyle/>
                  <a:p>
                    <a:fld id="{BA698741-4EF4-4BE9-94EB-3A0A64215DF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A8FB-4080-BB65-7836EF62FB26}"/>
                </c:ext>
              </c:extLst>
            </c:dLbl>
            <c:dLbl>
              <c:idx val="18"/>
              <c:tx>
                <c:rich>
                  <a:bodyPr/>
                  <a:lstStyle/>
                  <a:p>
                    <a:fld id="{24C2B70B-20EB-45B4-99A1-C18E91BDE84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A8FB-4080-BB65-7836EF62FB26}"/>
                </c:ext>
              </c:extLst>
            </c:dLbl>
            <c:dLbl>
              <c:idx val="19"/>
              <c:tx>
                <c:rich>
                  <a:bodyPr/>
                  <a:lstStyle/>
                  <a:p>
                    <a:fld id="{10AA1B96-AE5E-482E-B51F-675705E4BDC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A8FB-4080-BB65-7836EF62FB26}"/>
                </c:ext>
              </c:extLst>
            </c:dLbl>
            <c:dLbl>
              <c:idx val="20"/>
              <c:tx>
                <c:rich>
                  <a:bodyPr/>
                  <a:lstStyle/>
                  <a:p>
                    <a:fld id="{97002A8B-35A8-419D-9690-84115895280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A8FB-4080-BB65-7836EF62FB26}"/>
                </c:ext>
              </c:extLst>
            </c:dLbl>
            <c:dLbl>
              <c:idx val="21"/>
              <c:tx>
                <c:rich>
                  <a:bodyPr/>
                  <a:lstStyle/>
                  <a:p>
                    <a:fld id="{6DFA6465-AC0E-4DBE-BFA5-0C7F922D354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A8FB-4080-BB65-7836EF62FB26}"/>
                </c:ext>
              </c:extLst>
            </c:dLbl>
            <c:dLbl>
              <c:idx val="22"/>
              <c:tx>
                <c:rich>
                  <a:bodyPr/>
                  <a:lstStyle/>
                  <a:p>
                    <a:fld id="{B4693AFC-6B35-4FCE-948D-7EAA2FDC965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A8FB-4080-BB65-7836EF62FB26}"/>
                </c:ext>
              </c:extLst>
            </c:dLbl>
            <c:dLbl>
              <c:idx val="23"/>
              <c:tx>
                <c:rich>
                  <a:bodyPr/>
                  <a:lstStyle/>
                  <a:p>
                    <a:fld id="{130CAF0F-923D-46DB-9DF0-B3BAEC2E4F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A8FB-4080-BB65-7836EF62FB26}"/>
                </c:ext>
              </c:extLst>
            </c:dLbl>
            <c:dLbl>
              <c:idx val="24"/>
              <c:tx>
                <c:rich>
                  <a:bodyPr/>
                  <a:lstStyle/>
                  <a:p>
                    <a:fld id="{EF3086A0-E1FE-470C-BFED-CC6B6062ACD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A8FB-4080-BB65-7836EF62FB26}"/>
                </c:ext>
              </c:extLst>
            </c:dLbl>
            <c:dLbl>
              <c:idx val="25"/>
              <c:tx>
                <c:rich>
                  <a:bodyPr/>
                  <a:lstStyle/>
                  <a:p>
                    <a:fld id="{A245E232-BEEC-49CD-B42C-1D8C9C7828D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A8FB-4080-BB65-7836EF62FB26}"/>
                </c:ext>
              </c:extLst>
            </c:dLbl>
            <c:dLbl>
              <c:idx val="26"/>
              <c:tx>
                <c:rich>
                  <a:bodyPr/>
                  <a:lstStyle/>
                  <a:p>
                    <a:fld id="{835F6C6A-013E-4276-84C4-8C25AB8BD8C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A8FB-4080-BB65-7836EF62FB26}"/>
                </c:ext>
              </c:extLst>
            </c:dLbl>
            <c:dLbl>
              <c:idx val="27"/>
              <c:tx>
                <c:rich>
                  <a:bodyPr/>
                  <a:lstStyle/>
                  <a:p>
                    <a:fld id="{3BF931A2-955E-43C2-8D1A-C6336A46616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A8FB-4080-BB65-7836EF62FB26}"/>
                </c:ext>
              </c:extLst>
            </c:dLbl>
            <c:dLbl>
              <c:idx val="28"/>
              <c:tx>
                <c:rich>
                  <a:bodyPr/>
                  <a:lstStyle/>
                  <a:p>
                    <a:fld id="{AFA86A21-3929-40BA-A034-639D6AC1968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A8FB-4080-BB65-7836EF62FB26}"/>
                </c:ext>
              </c:extLst>
            </c:dLbl>
            <c:dLbl>
              <c:idx val="29"/>
              <c:tx>
                <c:rich>
                  <a:bodyPr/>
                  <a:lstStyle/>
                  <a:p>
                    <a:fld id="{1B690041-D7A1-4306-B4D8-E0F2AFCC417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A8FB-4080-BB65-7836EF62FB26}"/>
                </c:ext>
              </c:extLst>
            </c:dLbl>
            <c:dLbl>
              <c:idx val="30"/>
              <c:tx>
                <c:rich>
                  <a:bodyPr/>
                  <a:lstStyle/>
                  <a:p>
                    <a:fld id="{6D7F85FF-E35F-4DB7-B063-71A3E0BA1E9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A8FB-4080-BB65-7836EF62FB26}"/>
                </c:ext>
              </c:extLst>
            </c:dLbl>
            <c:dLbl>
              <c:idx val="31"/>
              <c:tx>
                <c:rich>
                  <a:bodyPr/>
                  <a:lstStyle/>
                  <a:p>
                    <a:fld id="{AF67EA77-0D82-4B3F-B444-DF749731CF0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A8FB-4080-BB65-7836EF62FB26}"/>
                </c:ext>
              </c:extLst>
            </c:dLbl>
            <c:dLbl>
              <c:idx val="32"/>
              <c:tx>
                <c:rich>
                  <a:bodyPr/>
                  <a:lstStyle/>
                  <a:p>
                    <a:fld id="{160F7151-A9D6-453C-BB9A-F7AAB3B9C0B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A8FB-4080-BB65-7836EF62FB26}"/>
                </c:ext>
              </c:extLst>
            </c:dLbl>
            <c:dLbl>
              <c:idx val="33"/>
              <c:tx>
                <c:rich>
                  <a:bodyPr/>
                  <a:lstStyle/>
                  <a:p>
                    <a:fld id="{BC10D120-727E-46BC-81AF-569A3EDAC47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A8FB-4080-BB65-7836EF62FB26}"/>
                </c:ext>
              </c:extLst>
            </c:dLbl>
            <c:dLbl>
              <c:idx val="34"/>
              <c:tx>
                <c:rich>
                  <a:bodyPr/>
                  <a:lstStyle/>
                  <a:p>
                    <a:fld id="{7A88DC6F-1DDB-4CD1-B8BC-10D58342C29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A8FB-4080-BB65-7836EF62FB26}"/>
                </c:ext>
              </c:extLst>
            </c:dLbl>
            <c:dLbl>
              <c:idx val="35"/>
              <c:tx>
                <c:rich>
                  <a:bodyPr/>
                  <a:lstStyle/>
                  <a:p>
                    <a:fld id="{B2667937-3531-457B-A957-CA08933EB0F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A8FB-4080-BB65-7836EF62FB26}"/>
                </c:ext>
              </c:extLst>
            </c:dLbl>
            <c:dLbl>
              <c:idx val="36"/>
              <c:tx>
                <c:rich>
                  <a:bodyPr/>
                  <a:lstStyle/>
                  <a:p>
                    <a:fld id="{25F0A5D7-68E1-44DA-9AD7-ECECD02F7AA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A8FB-4080-BB65-7836EF62FB26}"/>
                </c:ext>
              </c:extLst>
            </c:dLbl>
            <c:dLbl>
              <c:idx val="37"/>
              <c:tx>
                <c:rich>
                  <a:bodyPr/>
                  <a:lstStyle/>
                  <a:p>
                    <a:fld id="{2B9D7662-180C-432D-8336-4142652FBC6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A8FB-4080-BB65-7836EF62FB26}"/>
                </c:ext>
              </c:extLst>
            </c:dLbl>
            <c:dLbl>
              <c:idx val="38"/>
              <c:tx>
                <c:rich>
                  <a:bodyPr/>
                  <a:lstStyle/>
                  <a:p>
                    <a:fld id="{87103034-2B83-4800-869A-B24410102E6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A8FB-4080-BB65-7836EF62FB26}"/>
                </c:ext>
              </c:extLst>
            </c:dLbl>
            <c:dLbl>
              <c:idx val="39"/>
              <c:tx>
                <c:rich>
                  <a:bodyPr/>
                  <a:lstStyle/>
                  <a:p>
                    <a:fld id="{F9080D54-CC89-4724-AAD2-CFA5E86B68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A8FB-4080-BB65-7836EF62FB26}"/>
                </c:ext>
              </c:extLst>
            </c:dLbl>
            <c:dLbl>
              <c:idx val="40"/>
              <c:tx>
                <c:rich>
                  <a:bodyPr/>
                  <a:lstStyle/>
                  <a:p>
                    <a:fld id="{C7260BEA-B754-4AF8-9E86-11C44604C8C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A8FB-4080-BB65-7836EF62FB26}"/>
                </c:ext>
              </c:extLst>
            </c:dLbl>
            <c:dLbl>
              <c:idx val="41"/>
              <c:tx>
                <c:rich>
                  <a:bodyPr/>
                  <a:lstStyle/>
                  <a:p>
                    <a:fld id="{168E42C0-1718-49EF-8119-CD2A424E89B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A8FB-4080-BB65-7836EF62FB26}"/>
                </c:ext>
              </c:extLst>
            </c:dLbl>
            <c:dLbl>
              <c:idx val="42"/>
              <c:tx>
                <c:rich>
                  <a:bodyPr/>
                  <a:lstStyle/>
                  <a:p>
                    <a:fld id="{4B8DA361-15F2-4891-9C96-C478662D41A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A8FB-4080-BB65-7836EF62FB26}"/>
                </c:ext>
              </c:extLst>
            </c:dLbl>
            <c:dLbl>
              <c:idx val="43"/>
              <c:tx>
                <c:rich>
                  <a:bodyPr/>
                  <a:lstStyle/>
                  <a:p>
                    <a:fld id="{61A619F5-57E2-4E07-8AE8-24B931F128D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A8FB-4080-BB65-7836EF62FB26}"/>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graf'!$BB$44:$BB$87</c:f>
              <c:numCache>
                <c:formatCode>General</c:formatCode>
                <c:ptCount val="44"/>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pt idx="40">
                  <c:v>70</c:v>
                </c:pt>
                <c:pt idx="41">
                  <c:v>70</c:v>
                </c:pt>
                <c:pt idx="42">
                  <c:v>70</c:v>
                </c:pt>
                <c:pt idx="43">
                  <c:v>70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A8FB-4080-BB65-7836EF62FB26}"/>
            </c:ext>
          </c:extLst>
        </c:ser>
        <c:ser>
          <c:idx val="0"/>
          <c:order val="2"/>
          <c:tx>
            <c:strRef>
              <c:f>'Prerađivačka_FS graf'!$BC$7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graf'!$BC$44:$BC$87</c:f>
              <c:numCache>
                <c:formatCode>0.0</c:formatCode>
                <c:ptCount val="44"/>
                <c:pt idx="0">
                  <c:v>78.961038961038952</c:v>
                </c:pt>
                <c:pt idx="1">
                  <c:v>91.806375442739082</c:v>
                </c:pt>
                <c:pt idx="2">
                  <c:v>107.10743801652893</c:v>
                </c:pt>
                <c:pt idx="3">
                  <c:v>102.29043683589138</c:v>
                </c:pt>
                <c:pt idx="4">
                  <c:v>92.75088547815821</c:v>
                </c:pt>
                <c:pt idx="5">
                  <c:v>102.85714285714288</c:v>
                </c:pt>
                <c:pt idx="6">
                  <c:v>94.356552538370735</c:v>
                </c:pt>
                <c:pt idx="7">
                  <c:v>79.622195985832349</c:v>
                </c:pt>
                <c:pt idx="8">
                  <c:v>98.512396694214871</c:v>
                </c:pt>
                <c:pt idx="9">
                  <c:v>103.14049586776859</c:v>
                </c:pt>
                <c:pt idx="10">
                  <c:v>95.678866587957486</c:v>
                </c:pt>
                <c:pt idx="11">
                  <c:v>86.422668240850058</c:v>
                </c:pt>
                <c:pt idx="12">
                  <c:v>75.182998819362439</c:v>
                </c:pt>
                <c:pt idx="13">
                  <c:v>89.634002361275094</c:v>
                </c:pt>
                <c:pt idx="14">
                  <c:v>106.72963400236128</c:v>
                </c:pt>
                <c:pt idx="15">
                  <c:v>94.923258559622198</c:v>
                </c:pt>
                <c:pt idx="16">
                  <c:v>99.456906729633999</c:v>
                </c:pt>
                <c:pt idx="17">
                  <c:v>104.46280991735537</c:v>
                </c:pt>
                <c:pt idx="18">
                  <c:v>92.845336481700116</c:v>
                </c:pt>
                <c:pt idx="19">
                  <c:v>87.744982290436852</c:v>
                </c:pt>
                <c:pt idx="20">
                  <c:v>102.10153482880754</c:v>
                </c:pt>
                <c:pt idx="21">
                  <c:v>109.27981109799292</c:v>
                </c:pt>
                <c:pt idx="22">
                  <c:v>104.74616292798112</c:v>
                </c:pt>
                <c:pt idx="23">
                  <c:v>89.539551357733174</c:v>
                </c:pt>
                <c:pt idx="24">
                  <c:v>81.889020070838257</c:v>
                </c:pt>
                <c:pt idx="25">
                  <c:v>93.695395513577338</c:v>
                </c:pt>
                <c:pt idx="26">
                  <c:v>110.88547815820544</c:v>
                </c:pt>
                <c:pt idx="27">
                  <c:v>91.334120425029525</c:v>
                </c:pt>
                <c:pt idx="28">
                  <c:v>100.1180637544274</c:v>
                </c:pt>
                <c:pt idx="29">
                  <c:v>103.61275088547816</c:v>
                </c:pt>
                <c:pt idx="30">
                  <c:v>88.878394332939777</c:v>
                </c:pt>
                <c:pt idx="31">
                  <c:v>103.51829988193624</c:v>
                </c:pt>
                <c:pt idx="32">
                  <c:v>109.18536009445099</c:v>
                </c:pt>
                <c:pt idx="33">
                  <c:v>114.94687131050767</c:v>
                </c:pt>
                <c:pt idx="34">
                  <c:v>116.74144037780401</c:v>
                </c:pt>
                <c:pt idx="35">
                  <c:v>85.194805194805198</c:v>
                </c:pt>
                <c:pt idx="36">
                  <c:v>93.2</c:v>
                </c:pt>
                <c:pt idx="37">
                  <c:v>110.4</c:v>
                </c:pt>
                <c:pt idx="38">
                  <c:v>119.4</c:v>
                </c:pt>
                <c:pt idx="39">
                  <c:v>111.8</c:v>
                </c:pt>
                <c:pt idx="40">
                  <c:v>99.6</c:v>
                </c:pt>
                <c:pt idx="41">
                  <c:v>99.7</c:v>
                </c:pt>
                <c:pt idx="42">
                  <c:v>95.8</c:v>
                </c:pt>
                <c:pt idx="43">
                  <c:v>95.1</c:v>
                </c:pt>
              </c:numCache>
            </c:numRef>
          </c:val>
          <c:smooth val="0"/>
          <c:extLst>
            <c:ext xmlns:c16="http://schemas.microsoft.com/office/drawing/2014/chart" uri="{C3380CC4-5D6E-409C-BE32-E72D297353CC}">
              <c16:uniqueId val="{00000032-A8FB-4080-BB65-7836EF62FB26}"/>
            </c:ext>
          </c:extLst>
        </c:ser>
        <c:ser>
          <c:idx val="1"/>
          <c:order val="3"/>
          <c:tx>
            <c:strRef>
              <c:f>'Prerađivačka_FS graf'!$BD$7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graf'!$BD$44:$BD$87</c:f>
              <c:numCache>
                <c:formatCode>0.0</c:formatCode>
                <c:ptCount val="44"/>
                <c:pt idx="0">
                  <c:v>96.91578235335615</c:v>
                </c:pt>
                <c:pt idx="1">
                  <c:v>94.266741094830195</c:v>
                </c:pt>
                <c:pt idx="2">
                  <c:v>99.813077324820455</c:v>
                </c:pt>
                <c:pt idx="3">
                  <c:v>99.734005928343677</c:v>
                </c:pt>
                <c:pt idx="4">
                  <c:v>92.168363859034486</c:v>
                </c:pt>
                <c:pt idx="5">
                  <c:v>96.165741427054144</c:v>
                </c:pt>
                <c:pt idx="6">
                  <c:v>94.644522139300079</c:v>
                </c:pt>
                <c:pt idx="7">
                  <c:v>92.223801330095085</c:v>
                </c:pt>
                <c:pt idx="8">
                  <c:v>90.794044660747744</c:v>
                </c:pt>
                <c:pt idx="9">
                  <c:v>91.510810509344012</c:v>
                </c:pt>
                <c:pt idx="10">
                  <c:v>91.386782958427531</c:v>
                </c:pt>
                <c:pt idx="11">
                  <c:v>92.932682038894512</c:v>
                </c:pt>
                <c:pt idx="12">
                  <c:v>90.401075107937046</c:v>
                </c:pt>
                <c:pt idx="13">
                  <c:v>92.339445087233599</c:v>
                </c:pt>
                <c:pt idx="14">
                  <c:v>95.588376766234731</c:v>
                </c:pt>
                <c:pt idx="15">
                  <c:v>95.851775830930904</c:v>
                </c:pt>
                <c:pt idx="16">
                  <c:v>97.760703131851741</c:v>
                </c:pt>
                <c:pt idx="17">
                  <c:v>98.072413035232373</c:v>
                </c:pt>
                <c:pt idx="18">
                  <c:v>97.641968349799825</c:v>
                </c:pt>
                <c:pt idx="19">
                  <c:v>96.91877825384843</c:v>
                </c:pt>
                <c:pt idx="20">
                  <c:v>95.849655573648803</c:v>
                </c:pt>
                <c:pt idx="21">
                  <c:v>98.2760313289442</c:v>
                </c:pt>
                <c:pt idx="22">
                  <c:v>97.440813988613868</c:v>
                </c:pt>
                <c:pt idx="23">
                  <c:v>99.05422553251671</c:v>
                </c:pt>
                <c:pt idx="24">
                  <c:v>97.110944740447835</c:v>
                </c:pt>
                <c:pt idx="25">
                  <c:v>96.385777240124639</c:v>
                </c:pt>
                <c:pt idx="26">
                  <c:v>97.504511211315844</c:v>
                </c:pt>
                <c:pt idx="27">
                  <c:v>93.617340171923956</c:v>
                </c:pt>
                <c:pt idx="28">
                  <c:v>97.549848482372965</c:v>
                </c:pt>
                <c:pt idx="29">
                  <c:v>99.241767558962877</c:v>
                </c:pt>
                <c:pt idx="30">
                  <c:v>95.881736320544974</c:v>
                </c:pt>
                <c:pt idx="31">
                  <c:v>110.68171854852487</c:v>
                </c:pt>
                <c:pt idx="32">
                  <c:v>103.80237057347641</c:v>
                </c:pt>
                <c:pt idx="33">
                  <c:v>104.03940384468433</c:v>
                </c:pt>
                <c:pt idx="34">
                  <c:v>108.10947906831124</c:v>
                </c:pt>
                <c:pt idx="35">
                  <c:v>98.576674538549895</c:v>
                </c:pt>
                <c:pt idx="36">
                  <c:v>105.03853285651232</c:v>
                </c:pt>
                <c:pt idx="37">
                  <c:v>108.99455814960415</c:v>
                </c:pt>
                <c:pt idx="38">
                  <c:v>108.68970761391539</c:v>
                </c:pt>
                <c:pt idx="39">
                  <c:v>107.45582577860003</c:v>
                </c:pt>
                <c:pt idx="40">
                  <c:v>103.57893974217858</c:v>
                </c:pt>
                <c:pt idx="41">
                  <c:v>98.622151602891165</c:v>
                </c:pt>
                <c:pt idx="42">
                  <c:v>101.06577194008801</c:v>
                </c:pt>
                <c:pt idx="43">
                  <c:v>102.14471613727794</c:v>
                </c:pt>
              </c:numCache>
            </c:numRef>
          </c:val>
          <c:smooth val="0"/>
          <c:extLst>
            <c:ext xmlns:c16="http://schemas.microsoft.com/office/drawing/2014/chart" uri="{C3380CC4-5D6E-409C-BE32-E72D297353CC}">
              <c16:uniqueId val="{00000033-A8FB-4080-BB65-7836EF62FB26}"/>
            </c:ext>
          </c:extLst>
        </c:ser>
        <c:ser>
          <c:idx val="2"/>
          <c:order val="4"/>
          <c:tx>
            <c:strRef>
              <c:f>'Prerađivačka_FS graf'!$BE$7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graf'!$BE$44:$BE$87</c:f>
              <c:numCache>
                <c:formatCode>0.0</c:formatCode>
                <c:ptCount val="44"/>
                <c:pt idx="0">
                  <c:v>91.857529689119445</c:v>
                </c:pt>
                <c:pt idx="1">
                  <c:v>92.600630593804837</c:v>
                </c:pt>
                <c:pt idx="2">
                  <c:v>93.183479235086665</c:v>
                </c:pt>
                <c:pt idx="3">
                  <c:v>93.611038468688406</c:v>
                </c:pt>
                <c:pt idx="4">
                  <c:v>93.895997692023954</c:v>
                </c:pt>
                <c:pt idx="5">
                  <c:v>94.061848748792571</c:v>
                </c:pt>
                <c:pt idx="6">
                  <c:v>94.135056104410722</c:v>
                </c:pt>
                <c:pt idx="7">
                  <c:v>94.147635124235379</c:v>
                </c:pt>
                <c:pt idx="8">
                  <c:v>94.128841041676793</c:v>
                </c:pt>
                <c:pt idx="9">
                  <c:v>94.108497786263754</c:v>
                </c:pt>
                <c:pt idx="10">
                  <c:v>94.115332999473992</c:v>
                </c:pt>
                <c:pt idx="11">
                  <c:v>94.168095392557973</c:v>
                </c:pt>
                <c:pt idx="12">
                  <c:v>94.277131572880236</c:v>
                </c:pt>
                <c:pt idx="13">
                  <c:v>94.441295596222659</c:v>
                </c:pt>
                <c:pt idx="14">
                  <c:v>94.650944833641901</c:v>
                </c:pt>
                <c:pt idx="15">
                  <c:v>94.902135450942225</c:v>
                </c:pt>
                <c:pt idx="16">
                  <c:v>95.185434569503443</c:v>
                </c:pt>
                <c:pt idx="17">
                  <c:v>95.487217677463548</c:v>
                </c:pt>
                <c:pt idx="18">
                  <c:v>95.792626503403682</c:v>
                </c:pt>
                <c:pt idx="19">
                  <c:v>96.092410236519129</c:v>
                </c:pt>
                <c:pt idx="20">
                  <c:v>96.384510865037626</c:v>
                </c:pt>
                <c:pt idx="21">
                  <c:v>96.67297935718274</c:v>
                </c:pt>
                <c:pt idx="22">
                  <c:v>96.967570458370588</c:v>
                </c:pt>
                <c:pt idx="23">
                  <c:v>97.280507858594177</c:v>
                </c:pt>
                <c:pt idx="24">
                  <c:v>97.621792989154926</c:v>
                </c:pt>
                <c:pt idx="25">
                  <c:v>98.002603893941497</c:v>
                </c:pt>
                <c:pt idx="26">
                  <c:v>98.431813730624143</c:v>
                </c:pt>
                <c:pt idx="27">
                  <c:v>98.909849211079958</c:v>
                </c:pt>
                <c:pt idx="28">
                  <c:v>99.43500411221018</c:v>
                </c:pt>
                <c:pt idx="29">
                  <c:v>100.0002113003649</c:v>
                </c:pt>
                <c:pt idx="30">
                  <c:v>100.59279959039621</c:v>
                </c:pt>
                <c:pt idx="31">
                  <c:v>101.19431337923669</c:v>
                </c:pt>
                <c:pt idx="32">
                  <c:v>101.78387688323971</c:v>
                </c:pt>
                <c:pt idx="33">
                  <c:v>102.33817920090675</c:v>
                </c:pt>
                <c:pt idx="34">
                  <c:v>102.83327106271912</c:v>
                </c:pt>
                <c:pt idx="35">
                  <c:v>103.24577757112303</c:v>
                </c:pt>
                <c:pt idx="36">
                  <c:v>103.5587359582177</c:v>
                </c:pt>
                <c:pt idx="37">
                  <c:v>103.76342607234379</c:v>
                </c:pt>
                <c:pt idx="38">
                  <c:v>103.85831802934543</c:v>
                </c:pt>
                <c:pt idx="39">
                  <c:v>103.85044358357214</c:v>
                </c:pt>
                <c:pt idx="40">
                  <c:v>103.75408165296507</c:v>
                </c:pt>
                <c:pt idx="41">
                  <c:v>103.58996354621264</c:v>
                </c:pt>
                <c:pt idx="42">
                  <c:v>103.37295065718425</c:v>
                </c:pt>
                <c:pt idx="43">
                  <c:v>103.13377958337529</c:v>
                </c:pt>
              </c:numCache>
            </c:numRef>
          </c:val>
          <c:smooth val="0"/>
          <c:extLst>
            <c:ext xmlns:c16="http://schemas.microsoft.com/office/drawing/2014/chart" uri="{C3380CC4-5D6E-409C-BE32-E72D297353CC}">
              <c16:uniqueId val="{00000034-A8FB-4080-BB65-7836EF62FB26}"/>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25"/>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graf'!$Q$7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68178611553838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CA3-4843-821F-602818CC65D2}"/>
                </c:ext>
              </c:extLst>
            </c:dLbl>
            <c:dLbl>
              <c:idx val="12"/>
              <c:layout>
                <c:manualLayout>
                  <c:x val="7.1083008909675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CA3-4843-821F-602818CC65D2}"/>
                </c:ext>
              </c:extLst>
            </c:dLbl>
            <c:dLbl>
              <c:idx val="24"/>
              <c:layout>
                <c:manualLayout>
                  <c:x val="7.20396450064884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CA3-4843-821F-602818CC65D2}"/>
                </c:ext>
              </c:extLst>
            </c:dLbl>
            <c:dLbl>
              <c:idx val="36"/>
              <c:layout>
                <c:manualLayout>
                  <c:x val="-1.01471010895409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CA3-4843-821F-602818CC65D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graf'!$Q$44:$Q$87</c:f>
              <c:numCache>
                <c:formatCode>General</c:formatCode>
                <c:ptCount val="44"/>
                <c:pt idx="0">
                  <c:v>0</c:v>
                </c:pt>
                <c:pt idx="12">
                  <c:v>0</c:v>
                </c:pt>
                <c:pt idx="24">
                  <c:v>0</c:v>
                </c:pt>
                <c:pt idx="36">
                  <c:v>0</c:v>
                </c:pt>
              </c:numCache>
            </c:numRef>
          </c:val>
          <c:smooth val="0"/>
          <c:extLst>
            <c:ext xmlns:c16="http://schemas.microsoft.com/office/drawing/2014/chart" uri="{C3380CC4-5D6E-409C-BE32-E72D297353CC}">
              <c16:uniqueId val="{00000004-7CA3-4843-821F-602818CC65D2}"/>
            </c:ext>
          </c:extLst>
        </c:ser>
        <c:ser>
          <c:idx val="4"/>
          <c:order val="1"/>
          <c:tx>
            <c:strRef>
              <c:f>'Prerađivačka_FS graf'!$R$7</c:f>
              <c:strCache>
                <c:ptCount val="1"/>
                <c:pt idx="0">
                  <c:v>Series5</c:v>
                </c:pt>
              </c:strCache>
            </c:strRef>
          </c:tx>
          <c:spPr>
            <a:ln w="25400" cap="rnd">
              <a:noFill/>
              <a:round/>
            </a:ln>
            <a:effectLst/>
          </c:spPr>
          <c:marker>
            <c:symbol val="none"/>
          </c:marker>
          <c:dLbls>
            <c:dLbl>
              <c:idx val="0"/>
              <c:tx>
                <c:rich>
                  <a:bodyPr/>
                  <a:lstStyle/>
                  <a:p>
                    <a:fld id="{4139365C-44D1-454D-8421-61798BD2607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7CA3-4843-821F-602818CC65D2}"/>
                </c:ext>
              </c:extLst>
            </c:dLbl>
            <c:dLbl>
              <c:idx val="1"/>
              <c:tx>
                <c:rich>
                  <a:bodyPr/>
                  <a:lstStyle/>
                  <a:p>
                    <a:fld id="{AF76BB5A-C49F-40BA-9EFF-C903F654313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7CA3-4843-821F-602818CC65D2}"/>
                </c:ext>
              </c:extLst>
            </c:dLbl>
            <c:dLbl>
              <c:idx val="2"/>
              <c:tx>
                <c:rich>
                  <a:bodyPr/>
                  <a:lstStyle/>
                  <a:p>
                    <a:fld id="{ED1299EE-D5B1-4720-9EBD-2F37769DBE8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7CA3-4843-821F-602818CC65D2}"/>
                </c:ext>
              </c:extLst>
            </c:dLbl>
            <c:dLbl>
              <c:idx val="3"/>
              <c:tx>
                <c:rich>
                  <a:bodyPr/>
                  <a:lstStyle/>
                  <a:p>
                    <a:fld id="{D0C3DA9C-045C-4370-82AE-D659DA06F0E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CA3-4843-821F-602818CC65D2}"/>
                </c:ext>
              </c:extLst>
            </c:dLbl>
            <c:dLbl>
              <c:idx val="4"/>
              <c:tx>
                <c:rich>
                  <a:bodyPr/>
                  <a:lstStyle/>
                  <a:p>
                    <a:fld id="{A04495C3-4C79-4BAF-BA3B-E8F0DF6CB50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CA3-4843-821F-602818CC65D2}"/>
                </c:ext>
              </c:extLst>
            </c:dLbl>
            <c:dLbl>
              <c:idx val="5"/>
              <c:tx>
                <c:rich>
                  <a:bodyPr/>
                  <a:lstStyle/>
                  <a:p>
                    <a:fld id="{B5CC0852-DD3D-4324-B81D-D15CCB139D9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CA3-4843-821F-602818CC65D2}"/>
                </c:ext>
              </c:extLst>
            </c:dLbl>
            <c:dLbl>
              <c:idx val="6"/>
              <c:tx>
                <c:rich>
                  <a:bodyPr/>
                  <a:lstStyle/>
                  <a:p>
                    <a:fld id="{169CFE58-424D-4DD4-8617-D64E03D1C02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CA3-4843-821F-602818CC65D2}"/>
                </c:ext>
              </c:extLst>
            </c:dLbl>
            <c:dLbl>
              <c:idx val="7"/>
              <c:tx>
                <c:rich>
                  <a:bodyPr/>
                  <a:lstStyle/>
                  <a:p>
                    <a:fld id="{E0F5D205-E141-4AEF-B95D-C28AB0E04AF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CA3-4843-821F-602818CC65D2}"/>
                </c:ext>
              </c:extLst>
            </c:dLbl>
            <c:dLbl>
              <c:idx val="8"/>
              <c:tx>
                <c:rich>
                  <a:bodyPr/>
                  <a:lstStyle/>
                  <a:p>
                    <a:fld id="{11919493-C2A9-4C6B-8147-E488F4AC95E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CA3-4843-821F-602818CC65D2}"/>
                </c:ext>
              </c:extLst>
            </c:dLbl>
            <c:dLbl>
              <c:idx val="9"/>
              <c:tx>
                <c:rich>
                  <a:bodyPr/>
                  <a:lstStyle/>
                  <a:p>
                    <a:fld id="{C0AE751D-9731-4718-9A79-D79787EA614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CA3-4843-821F-602818CC65D2}"/>
                </c:ext>
              </c:extLst>
            </c:dLbl>
            <c:dLbl>
              <c:idx val="10"/>
              <c:tx>
                <c:rich>
                  <a:bodyPr/>
                  <a:lstStyle/>
                  <a:p>
                    <a:fld id="{7F3942C4-0275-4EC6-BF8F-5CBADB46A7C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CA3-4843-821F-602818CC65D2}"/>
                </c:ext>
              </c:extLst>
            </c:dLbl>
            <c:dLbl>
              <c:idx val="11"/>
              <c:tx>
                <c:rich>
                  <a:bodyPr/>
                  <a:lstStyle/>
                  <a:p>
                    <a:fld id="{82173A2B-F7C8-4E4F-8CE0-A19953A1BD3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CA3-4843-821F-602818CC65D2}"/>
                </c:ext>
              </c:extLst>
            </c:dLbl>
            <c:dLbl>
              <c:idx val="12"/>
              <c:tx>
                <c:rich>
                  <a:bodyPr/>
                  <a:lstStyle/>
                  <a:p>
                    <a:fld id="{07D4B7F3-8813-4DF2-8E23-71574B895A8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CA3-4843-821F-602818CC65D2}"/>
                </c:ext>
              </c:extLst>
            </c:dLbl>
            <c:dLbl>
              <c:idx val="13"/>
              <c:tx>
                <c:rich>
                  <a:bodyPr/>
                  <a:lstStyle/>
                  <a:p>
                    <a:fld id="{7ADE02CF-7CBC-4602-AB01-79E51A22E7C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CA3-4843-821F-602818CC65D2}"/>
                </c:ext>
              </c:extLst>
            </c:dLbl>
            <c:dLbl>
              <c:idx val="14"/>
              <c:tx>
                <c:rich>
                  <a:bodyPr/>
                  <a:lstStyle/>
                  <a:p>
                    <a:fld id="{479D778D-0C6B-4F0C-89DD-70403974101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CA3-4843-821F-602818CC65D2}"/>
                </c:ext>
              </c:extLst>
            </c:dLbl>
            <c:dLbl>
              <c:idx val="15"/>
              <c:tx>
                <c:rich>
                  <a:bodyPr/>
                  <a:lstStyle/>
                  <a:p>
                    <a:fld id="{C3156A4E-2949-4C31-B84A-52BE90E689F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CA3-4843-821F-602818CC65D2}"/>
                </c:ext>
              </c:extLst>
            </c:dLbl>
            <c:dLbl>
              <c:idx val="16"/>
              <c:tx>
                <c:rich>
                  <a:bodyPr/>
                  <a:lstStyle/>
                  <a:p>
                    <a:fld id="{AE6EA2B3-6E82-41CB-85FB-2326CE7159F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CA3-4843-821F-602818CC65D2}"/>
                </c:ext>
              </c:extLst>
            </c:dLbl>
            <c:dLbl>
              <c:idx val="17"/>
              <c:tx>
                <c:rich>
                  <a:bodyPr/>
                  <a:lstStyle/>
                  <a:p>
                    <a:fld id="{145AD58C-3580-4752-B5B3-D9C76844DF7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CA3-4843-821F-602818CC65D2}"/>
                </c:ext>
              </c:extLst>
            </c:dLbl>
            <c:dLbl>
              <c:idx val="18"/>
              <c:tx>
                <c:rich>
                  <a:bodyPr/>
                  <a:lstStyle/>
                  <a:p>
                    <a:fld id="{A91F39F9-AFB4-4067-B6AA-706ABC8A66E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CA3-4843-821F-602818CC65D2}"/>
                </c:ext>
              </c:extLst>
            </c:dLbl>
            <c:dLbl>
              <c:idx val="19"/>
              <c:tx>
                <c:rich>
                  <a:bodyPr/>
                  <a:lstStyle/>
                  <a:p>
                    <a:fld id="{26EFFCF4-8FAF-4214-8295-98030637056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CA3-4843-821F-602818CC65D2}"/>
                </c:ext>
              </c:extLst>
            </c:dLbl>
            <c:dLbl>
              <c:idx val="20"/>
              <c:tx>
                <c:rich>
                  <a:bodyPr/>
                  <a:lstStyle/>
                  <a:p>
                    <a:fld id="{BC7F4D35-F927-4FB2-8D30-B1B3C82DAA1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CA3-4843-821F-602818CC65D2}"/>
                </c:ext>
              </c:extLst>
            </c:dLbl>
            <c:dLbl>
              <c:idx val="21"/>
              <c:tx>
                <c:rich>
                  <a:bodyPr/>
                  <a:lstStyle/>
                  <a:p>
                    <a:fld id="{19599B29-9F09-41E3-B04A-E182D5215CF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7CA3-4843-821F-602818CC65D2}"/>
                </c:ext>
              </c:extLst>
            </c:dLbl>
            <c:dLbl>
              <c:idx val="22"/>
              <c:tx>
                <c:rich>
                  <a:bodyPr/>
                  <a:lstStyle/>
                  <a:p>
                    <a:fld id="{AD3E4F9E-635C-41F9-ACB3-F5619ABB635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CA3-4843-821F-602818CC65D2}"/>
                </c:ext>
              </c:extLst>
            </c:dLbl>
            <c:dLbl>
              <c:idx val="23"/>
              <c:tx>
                <c:rich>
                  <a:bodyPr/>
                  <a:lstStyle/>
                  <a:p>
                    <a:fld id="{BD99C78C-85B1-4DE3-849F-96B5A3B273D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CA3-4843-821F-602818CC65D2}"/>
                </c:ext>
              </c:extLst>
            </c:dLbl>
            <c:dLbl>
              <c:idx val="24"/>
              <c:tx>
                <c:rich>
                  <a:bodyPr/>
                  <a:lstStyle/>
                  <a:p>
                    <a:fld id="{605AD1D1-A819-4AC4-9B71-38B3F575CA6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7CA3-4843-821F-602818CC65D2}"/>
                </c:ext>
              </c:extLst>
            </c:dLbl>
            <c:dLbl>
              <c:idx val="25"/>
              <c:tx>
                <c:rich>
                  <a:bodyPr/>
                  <a:lstStyle/>
                  <a:p>
                    <a:fld id="{04B16358-E2EA-4919-8EF7-8CEAAC334FA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CA3-4843-821F-602818CC65D2}"/>
                </c:ext>
              </c:extLst>
            </c:dLbl>
            <c:dLbl>
              <c:idx val="26"/>
              <c:tx>
                <c:rich>
                  <a:bodyPr/>
                  <a:lstStyle/>
                  <a:p>
                    <a:fld id="{CAA7FC09-139F-4E63-93B6-D6FED8D3C6E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CA3-4843-821F-602818CC65D2}"/>
                </c:ext>
              </c:extLst>
            </c:dLbl>
            <c:dLbl>
              <c:idx val="27"/>
              <c:tx>
                <c:rich>
                  <a:bodyPr/>
                  <a:lstStyle/>
                  <a:p>
                    <a:fld id="{5B94F702-FFCD-4846-A889-61323F0B987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7CA3-4843-821F-602818CC65D2}"/>
                </c:ext>
              </c:extLst>
            </c:dLbl>
            <c:dLbl>
              <c:idx val="28"/>
              <c:tx>
                <c:rich>
                  <a:bodyPr/>
                  <a:lstStyle/>
                  <a:p>
                    <a:fld id="{8C26CF56-73C9-4962-B469-8760F49E4EC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CA3-4843-821F-602818CC65D2}"/>
                </c:ext>
              </c:extLst>
            </c:dLbl>
            <c:dLbl>
              <c:idx val="29"/>
              <c:tx>
                <c:rich>
                  <a:bodyPr/>
                  <a:lstStyle/>
                  <a:p>
                    <a:fld id="{F8C7F05B-3114-4D06-A885-496291E76BC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CA3-4843-821F-602818CC65D2}"/>
                </c:ext>
              </c:extLst>
            </c:dLbl>
            <c:dLbl>
              <c:idx val="30"/>
              <c:tx>
                <c:rich>
                  <a:bodyPr/>
                  <a:lstStyle/>
                  <a:p>
                    <a:fld id="{7A97BEFB-596A-4B6B-A240-B3C931AE79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7CA3-4843-821F-602818CC65D2}"/>
                </c:ext>
              </c:extLst>
            </c:dLbl>
            <c:dLbl>
              <c:idx val="31"/>
              <c:tx>
                <c:rich>
                  <a:bodyPr/>
                  <a:lstStyle/>
                  <a:p>
                    <a:fld id="{901C39D0-E17D-4F14-8CB2-8CA44725F5C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CA3-4843-821F-602818CC65D2}"/>
                </c:ext>
              </c:extLst>
            </c:dLbl>
            <c:dLbl>
              <c:idx val="32"/>
              <c:tx>
                <c:rich>
                  <a:bodyPr/>
                  <a:lstStyle/>
                  <a:p>
                    <a:fld id="{80F9BD2B-E741-49B7-9F49-0CE7CE2BB58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7CA3-4843-821F-602818CC65D2}"/>
                </c:ext>
              </c:extLst>
            </c:dLbl>
            <c:dLbl>
              <c:idx val="33"/>
              <c:tx>
                <c:rich>
                  <a:bodyPr/>
                  <a:lstStyle/>
                  <a:p>
                    <a:fld id="{1F6B4BF0-E297-47EA-A8D2-E6EBA9B8C7E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7CA3-4843-821F-602818CC65D2}"/>
                </c:ext>
              </c:extLst>
            </c:dLbl>
            <c:dLbl>
              <c:idx val="34"/>
              <c:tx>
                <c:rich>
                  <a:bodyPr/>
                  <a:lstStyle/>
                  <a:p>
                    <a:fld id="{5569F81A-0E11-4A1D-A3FB-5425600ACAC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7CA3-4843-821F-602818CC65D2}"/>
                </c:ext>
              </c:extLst>
            </c:dLbl>
            <c:dLbl>
              <c:idx val="35"/>
              <c:tx>
                <c:rich>
                  <a:bodyPr/>
                  <a:lstStyle/>
                  <a:p>
                    <a:fld id="{84A4C6E3-C8D7-4CEA-B109-1A022531C07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7CA3-4843-821F-602818CC65D2}"/>
                </c:ext>
              </c:extLst>
            </c:dLbl>
            <c:dLbl>
              <c:idx val="36"/>
              <c:tx>
                <c:rich>
                  <a:bodyPr/>
                  <a:lstStyle/>
                  <a:p>
                    <a:fld id="{15C5DD25-0D5B-449A-9E59-790DF76B94D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7CA3-4843-821F-602818CC65D2}"/>
                </c:ext>
              </c:extLst>
            </c:dLbl>
            <c:dLbl>
              <c:idx val="37"/>
              <c:tx>
                <c:rich>
                  <a:bodyPr/>
                  <a:lstStyle/>
                  <a:p>
                    <a:fld id="{E824DA83-0ECC-4CBE-ACEF-62C664B821B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7CA3-4843-821F-602818CC65D2}"/>
                </c:ext>
              </c:extLst>
            </c:dLbl>
            <c:dLbl>
              <c:idx val="38"/>
              <c:tx>
                <c:rich>
                  <a:bodyPr/>
                  <a:lstStyle/>
                  <a:p>
                    <a:fld id="{FC90D6E6-7EE1-4BBF-A2C5-868DB0F9C64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7CA3-4843-821F-602818CC65D2}"/>
                </c:ext>
              </c:extLst>
            </c:dLbl>
            <c:dLbl>
              <c:idx val="39"/>
              <c:tx>
                <c:rich>
                  <a:bodyPr/>
                  <a:lstStyle/>
                  <a:p>
                    <a:fld id="{F8702712-3838-43A2-8A57-B483373DFA0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7CA3-4843-821F-602818CC65D2}"/>
                </c:ext>
              </c:extLst>
            </c:dLbl>
            <c:dLbl>
              <c:idx val="40"/>
              <c:tx>
                <c:rich>
                  <a:bodyPr/>
                  <a:lstStyle/>
                  <a:p>
                    <a:fld id="{00555D77-1A9F-44FA-892F-0C2F5F4413C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7CA3-4843-821F-602818CC65D2}"/>
                </c:ext>
              </c:extLst>
            </c:dLbl>
            <c:dLbl>
              <c:idx val="41"/>
              <c:tx>
                <c:rich>
                  <a:bodyPr/>
                  <a:lstStyle/>
                  <a:p>
                    <a:fld id="{739EAC1C-7544-4E2E-8822-0794016C4C1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7CA3-4843-821F-602818CC65D2}"/>
                </c:ext>
              </c:extLst>
            </c:dLbl>
            <c:dLbl>
              <c:idx val="42"/>
              <c:tx>
                <c:rich>
                  <a:bodyPr/>
                  <a:lstStyle/>
                  <a:p>
                    <a:fld id="{4A9DFC73-653C-4A45-8FE3-482A45CFFD3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7CA3-4843-821F-602818CC65D2}"/>
                </c:ext>
              </c:extLst>
            </c:dLbl>
            <c:dLbl>
              <c:idx val="43"/>
              <c:tx>
                <c:rich>
                  <a:bodyPr/>
                  <a:lstStyle/>
                  <a:p>
                    <a:fld id="{AF078CDA-59E1-4234-B8FB-7FC49E6795E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7CA3-4843-821F-602818CC65D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graf'!$R$44:$R$87</c:f>
              <c:numCache>
                <c:formatCode>General</c:formatCode>
                <c:ptCount val="44"/>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7CA3-4843-821F-602818CC65D2}"/>
            </c:ext>
          </c:extLst>
        </c:ser>
        <c:ser>
          <c:idx val="0"/>
          <c:order val="2"/>
          <c:tx>
            <c:strRef>
              <c:f>'Prerađivačka_FS graf'!$S$7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graf'!$S$44:$S$87</c:f>
              <c:numCache>
                <c:formatCode>0.0</c:formatCode>
                <c:ptCount val="44"/>
                <c:pt idx="0">
                  <c:v>96.0111966410077</c:v>
                </c:pt>
                <c:pt idx="1">
                  <c:v>96.291112666200135</c:v>
                </c:pt>
                <c:pt idx="2">
                  <c:v>35.456029857709353</c:v>
                </c:pt>
                <c:pt idx="3">
                  <c:v>93.771868439468165</c:v>
                </c:pt>
                <c:pt idx="4">
                  <c:v>79.86937252157685</c:v>
                </c:pt>
                <c:pt idx="5">
                  <c:v>96.571028691392584</c:v>
                </c:pt>
                <c:pt idx="6">
                  <c:v>103.75554000466526</c:v>
                </c:pt>
                <c:pt idx="7">
                  <c:v>106.64800559832051</c:v>
                </c:pt>
                <c:pt idx="8">
                  <c:v>102.07604385351061</c:v>
                </c:pt>
                <c:pt idx="9">
                  <c:v>106.36808957312806</c:v>
                </c:pt>
                <c:pt idx="10">
                  <c:v>103.84884534639609</c:v>
                </c:pt>
                <c:pt idx="11">
                  <c:v>99.090272918124569</c:v>
                </c:pt>
                <c:pt idx="12">
                  <c:v>81.922090039654776</c:v>
                </c:pt>
                <c:pt idx="13">
                  <c:v>85.560998367156529</c:v>
                </c:pt>
                <c:pt idx="14">
                  <c:v>105.06181478889667</c:v>
                </c:pt>
                <c:pt idx="15">
                  <c:v>110.75344063447632</c:v>
                </c:pt>
                <c:pt idx="16">
                  <c:v>117.37811989736413</c:v>
                </c:pt>
                <c:pt idx="17">
                  <c:v>114.01912759505481</c:v>
                </c:pt>
                <c:pt idx="18">
                  <c:v>112.80615815255423</c:v>
                </c:pt>
                <c:pt idx="19">
                  <c:v>105.80825752274319</c:v>
                </c:pt>
                <c:pt idx="20">
                  <c:v>110.28691392582226</c:v>
                </c:pt>
                <c:pt idx="21">
                  <c:v>111.12666200139958</c:v>
                </c:pt>
                <c:pt idx="22">
                  <c:v>109.82038721716818</c:v>
                </c:pt>
                <c:pt idx="23">
                  <c:v>110.66013529274549</c:v>
                </c:pt>
                <c:pt idx="24">
                  <c:v>98.996967576393743</c:v>
                </c:pt>
                <c:pt idx="25">
                  <c:v>87.520410543503615</c:v>
                </c:pt>
                <c:pt idx="26">
                  <c:v>96.384418007930947</c:v>
                </c:pt>
                <c:pt idx="27">
                  <c:v>97.59738745043154</c:v>
                </c:pt>
                <c:pt idx="28">
                  <c:v>99.650104968509439</c:v>
                </c:pt>
                <c:pt idx="29">
                  <c:v>102.91579192908793</c:v>
                </c:pt>
                <c:pt idx="30">
                  <c:v>102.72918124562631</c:v>
                </c:pt>
                <c:pt idx="31">
                  <c:v>108.70072311639842</c:v>
                </c:pt>
                <c:pt idx="32">
                  <c:v>103.84884534639609</c:v>
                </c:pt>
                <c:pt idx="33">
                  <c:v>100.11663167716351</c:v>
                </c:pt>
                <c:pt idx="34">
                  <c:v>99.836715651971076</c:v>
                </c:pt>
                <c:pt idx="35">
                  <c:v>101.70282248658735</c:v>
                </c:pt>
                <c:pt idx="36">
                  <c:v>92.3</c:v>
                </c:pt>
                <c:pt idx="37">
                  <c:v>103.5</c:v>
                </c:pt>
                <c:pt idx="38">
                  <c:v>6.8</c:v>
                </c:pt>
                <c:pt idx="39">
                  <c:v>21.5</c:v>
                </c:pt>
                <c:pt idx="40">
                  <c:v>96.1</c:v>
                </c:pt>
                <c:pt idx="41">
                  <c:v>106.2</c:v>
                </c:pt>
                <c:pt idx="42">
                  <c:v>113.7</c:v>
                </c:pt>
                <c:pt idx="43">
                  <c:v>109.8</c:v>
                </c:pt>
              </c:numCache>
            </c:numRef>
          </c:val>
          <c:smooth val="0"/>
          <c:extLst>
            <c:ext xmlns:c16="http://schemas.microsoft.com/office/drawing/2014/chart" uri="{C3380CC4-5D6E-409C-BE32-E72D297353CC}">
              <c16:uniqueId val="{00000032-7CA3-4843-821F-602818CC65D2}"/>
            </c:ext>
          </c:extLst>
        </c:ser>
        <c:ser>
          <c:idx val="1"/>
          <c:order val="3"/>
          <c:tx>
            <c:strRef>
              <c:f>'Prerađivačka_FS graf'!$T$7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graf'!$T$44:$T$87</c:f>
              <c:numCache>
                <c:formatCode>0.0</c:formatCode>
                <c:ptCount val="44"/>
                <c:pt idx="0">
                  <c:v>100.74943321770658</c:v>
                </c:pt>
                <c:pt idx="1">
                  <c:v>109.19187355042399</c:v>
                </c:pt>
                <c:pt idx="2">
                  <c:v>42.998345085622454</c:v>
                </c:pt>
                <c:pt idx="3">
                  <c:v>100.76656263437303</c:v>
                </c:pt>
                <c:pt idx="4">
                  <c:v>85.562552438944337</c:v>
                </c:pt>
                <c:pt idx="5">
                  <c:v>94.349680807417201</c:v>
                </c:pt>
                <c:pt idx="6">
                  <c:v>97.108940334083258</c:v>
                </c:pt>
                <c:pt idx="7">
                  <c:v>100.55876701177451</c:v>
                </c:pt>
                <c:pt idx="8">
                  <c:v>94.944362420569291</c:v>
                </c:pt>
                <c:pt idx="9">
                  <c:v>99.113616760685517</c:v>
                </c:pt>
                <c:pt idx="10">
                  <c:v>97.81939917092447</c:v>
                </c:pt>
                <c:pt idx="11">
                  <c:v>95.997531268266272</c:v>
                </c:pt>
                <c:pt idx="12">
                  <c:v>86.506590336847268</c:v>
                </c:pt>
                <c:pt idx="13">
                  <c:v>98.767212790547077</c:v>
                </c:pt>
                <c:pt idx="14">
                  <c:v>114.6134386237722</c:v>
                </c:pt>
                <c:pt idx="15">
                  <c:v>117.84668440138834</c:v>
                </c:pt>
                <c:pt idx="16">
                  <c:v>121.79877362305963</c:v>
                </c:pt>
                <c:pt idx="17">
                  <c:v>111.77901504360996</c:v>
                </c:pt>
                <c:pt idx="18">
                  <c:v>105.46266114454907</c:v>
                </c:pt>
                <c:pt idx="19">
                  <c:v>98.622876898653203</c:v>
                </c:pt>
                <c:pt idx="20">
                  <c:v>103.96400173760506</c:v>
                </c:pt>
                <c:pt idx="21">
                  <c:v>104.20796902591117</c:v>
                </c:pt>
                <c:pt idx="22">
                  <c:v>104.28917468452285</c:v>
                </c:pt>
                <c:pt idx="23">
                  <c:v>106.25670235920128</c:v>
                </c:pt>
                <c:pt idx="24">
                  <c:v>103.73874157288998</c:v>
                </c:pt>
                <c:pt idx="25">
                  <c:v>101.32071569612093</c:v>
                </c:pt>
                <c:pt idx="26">
                  <c:v>107.56081697372439</c:v>
                </c:pt>
                <c:pt idx="27">
                  <c:v>105.84003030736342</c:v>
                </c:pt>
                <c:pt idx="28">
                  <c:v>102.3124038484744</c:v>
                </c:pt>
                <c:pt idx="29">
                  <c:v>100.51981169131948</c:v>
                </c:pt>
                <c:pt idx="30">
                  <c:v>94.653190158907222</c:v>
                </c:pt>
                <c:pt idx="31">
                  <c:v>100.5791641693659</c:v>
                </c:pt>
                <c:pt idx="32">
                  <c:v>98.053805893251976</c:v>
                </c:pt>
                <c:pt idx="33">
                  <c:v>93.691965340309721</c:v>
                </c:pt>
                <c:pt idx="34">
                  <c:v>94.427872287438049</c:v>
                </c:pt>
                <c:pt idx="35">
                  <c:v>96.470262652744253</c:v>
                </c:pt>
                <c:pt idx="36">
                  <c:v>96.848788048987714</c:v>
                </c:pt>
                <c:pt idx="37">
                  <c:v>117.2070650841961</c:v>
                </c:pt>
                <c:pt idx="38">
                  <c:v>19.664014457355997</c:v>
                </c:pt>
                <c:pt idx="39">
                  <c:v>31.282767561010907</c:v>
                </c:pt>
                <c:pt idx="40">
                  <c:v>97.600413591647651</c:v>
                </c:pt>
                <c:pt idx="41">
                  <c:v>103.77284019836574</c:v>
                </c:pt>
                <c:pt idx="42">
                  <c:v>105.06975716297531</c:v>
                </c:pt>
                <c:pt idx="43">
                  <c:v>100.63378909276486</c:v>
                </c:pt>
              </c:numCache>
            </c:numRef>
          </c:val>
          <c:smooth val="0"/>
          <c:extLst>
            <c:ext xmlns:c16="http://schemas.microsoft.com/office/drawing/2014/chart" uri="{C3380CC4-5D6E-409C-BE32-E72D297353CC}">
              <c16:uniqueId val="{00000033-7CA3-4843-821F-602818CC65D2}"/>
            </c:ext>
          </c:extLst>
        </c:ser>
        <c:ser>
          <c:idx val="2"/>
          <c:order val="4"/>
          <c:tx>
            <c:strRef>
              <c:f>'Prerađivačka_FS graf'!$U$7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graf'!$U$44:$U$87</c:f>
              <c:numCache>
                <c:formatCode>0.0</c:formatCode>
                <c:ptCount val="44"/>
                <c:pt idx="0">
                  <c:v>96.274233080510982</c:v>
                </c:pt>
                <c:pt idx="1">
                  <c:v>97.379493092974883</c:v>
                </c:pt>
                <c:pt idx="2">
                  <c:v>97.424314220115761</c:v>
                </c:pt>
                <c:pt idx="3">
                  <c:v>96.873014813496269</c:v>
                </c:pt>
                <c:pt idx="4">
                  <c:v>96.190633294569139</c:v>
                </c:pt>
                <c:pt idx="5">
                  <c:v>95.970430211754703</c:v>
                </c:pt>
                <c:pt idx="6">
                  <c:v>96.517772007026181</c:v>
                </c:pt>
                <c:pt idx="7">
                  <c:v>97.248983115093182</c:v>
                </c:pt>
                <c:pt idx="8">
                  <c:v>97.246024199559187</c:v>
                </c:pt>
                <c:pt idx="9">
                  <c:v>96.542881635603322</c:v>
                </c:pt>
                <c:pt idx="10">
                  <c:v>96.046292532772924</c:v>
                </c:pt>
                <c:pt idx="11">
                  <c:v>96.824266654446888</c:v>
                </c:pt>
                <c:pt idx="12">
                  <c:v>99.839003410407585</c:v>
                </c:pt>
                <c:pt idx="13">
                  <c:v>104.74237132402381</c:v>
                </c:pt>
                <c:pt idx="14">
                  <c:v>109.88805417607307</c:v>
                </c:pt>
                <c:pt idx="15">
                  <c:v>113.43613877308826</c:v>
                </c:pt>
                <c:pt idx="16">
                  <c:v>114.30453178702462</c:v>
                </c:pt>
                <c:pt idx="17">
                  <c:v>112.31841055060779</c:v>
                </c:pt>
                <c:pt idx="18">
                  <c:v>108.68547851694146</c:v>
                </c:pt>
                <c:pt idx="19">
                  <c:v>105.23592785934842</c:v>
                </c:pt>
                <c:pt idx="20">
                  <c:v>103.2133845463015</c:v>
                </c:pt>
                <c:pt idx="21">
                  <c:v>102.8265896837876</c:v>
                </c:pt>
                <c:pt idx="22">
                  <c:v>103.44803163558646</c:v>
                </c:pt>
                <c:pt idx="23">
                  <c:v>104.33748919998159</c:v>
                </c:pt>
                <c:pt idx="24">
                  <c:v>104.94751189021706</c:v>
                </c:pt>
                <c:pt idx="25">
                  <c:v>105.00781001642902</c:v>
                </c:pt>
                <c:pt idx="26">
                  <c:v>104.51288903361703</c:v>
                </c:pt>
                <c:pt idx="27">
                  <c:v>103.65938519699193</c:v>
                </c:pt>
                <c:pt idx="28">
                  <c:v>102.39518708432648</c:v>
                </c:pt>
                <c:pt idx="29">
                  <c:v>100.78634030328871</c:v>
                </c:pt>
                <c:pt idx="30">
                  <c:v>99.113871514373344</c:v>
                </c:pt>
                <c:pt idx="31">
                  <c:v>97.832535909214101</c:v>
                </c:pt>
                <c:pt idx="32">
                  <c:v>97.137003841291602</c:v>
                </c:pt>
                <c:pt idx="33">
                  <c:v>96.514014345663625</c:v>
                </c:pt>
                <c:pt idx="34">
                  <c:v>94.978896749012378</c:v>
                </c:pt>
                <c:pt idx="35">
                  <c:v>92.035779419109758</c:v>
                </c:pt>
                <c:pt idx="36">
                  <c:v>87.820934059544911</c:v>
                </c:pt>
                <c:pt idx="37">
                  <c:v>83.470450224417164</c:v>
                </c:pt>
                <c:pt idx="38">
                  <c:v>80.697515659673826</c:v>
                </c:pt>
                <c:pt idx="39">
                  <c:v>80.549598815903863</c:v>
                </c:pt>
                <c:pt idx="40">
                  <c:v>83.254995713625775</c:v>
                </c:pt>
                <c:pt idx="41">
                  <c:v>87.924371919243868</c:v>
                </c:pt>
                <c:pt idx="42">
                  <c:v>92.716720237696279</c:v>
                </c:pt>
                <c:pt idx="43">
                  <c:v>95.815373316090103</c:v>
                </c:pt>
              </c:numCache>
            </c:numRef>
          </c:val>
          <c:smooth val="0"/>
          <c:extLst>
            <c:ext xmlns:c16="http://schemas.microsoft.com/office/drawing/2014/chart" uri="{C3380CC4-5D6E-409C-BE32-E72D297353CC}">
              <c16:uniqueId val="{00000034-7CA3-4843-821F-602818CC65D2}"/>
            </c:ext>
          </c:extLst>
        </c:ser>
        <c:dLbls>
          <c:showLegendKey val="0"/>
          <c:showVal val="0"/>
          <c:showCatName val="0"/>
          <c:showSerName val="0"/>
          <c:showPercent val="0"/>
          <c:showBubbleSize val="0"/>
        </c:dLbls>
        <c:marker val="1"/>
        <c:smooth val="0"/>
        <c:axId val="2092134960"/>
        <c:axId val="2092135504"/>
      </c:lineChart>
      <c:dateAx>
        <c:axId val="209213496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35504"/>
        <c:crosses val="autoZero"/>
        <c:auto val="1"/>
        <c:lblOffset val="0"/>
        <c:baseTimeUnit val="months"/>
        <c:majorUnit val="12"/>
        <c:majorTimeUnit val="months"/>
      </c:dateAx>
      <c:valAx>
        <c:axId val="2092135504"/>
        <c:scaling>
          <c:orientation val="minMax"/>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3496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graf'!$BF$7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88A-42A0-88EB-65DAB94CB3D5}"/>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88A-42A0-88EB-65DAB94CB3D5}"/>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88A-42A0-88EB-65DAB94CB3D5}"/>
                </c:ext>
              </c:extLst>
            </c:dLbl>
            <c:dLbl>
              <c:idx val="36"/>
              <c:layout>
                <c:manualLayout>
                  <c:x val="-1.017368870965903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88A-42A0-88EB-65DAB94CB3D5}"/>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graf'!$BF$44:$BF$87</c:f>
              <c:numCache>
                <c:formatCode>General</c:formatCode>
                <c:ptCount val="44"/>
                <c:pt idx="0">
                  <c:v>60</c:v>
                </c:pt>
                <c:pt idx="12">
                  <c:v>60</c:v>
                </c:pt>
                <c:pt idx="24">
                  <c:v>60</c:v>
                </c:pt>
                <c:pt idx="36">
                  <c:v>60</c:v>
                </c:pt>
              </c:numCache>
            </c:numRef>
          </c:val>
          <c:smooth val="0"/>
          <c:extLst>
            <c:ext xmlns:c16="http://schemas.microsoft.com/office/drawing/2014/chart" uri="{C3380CC4-5D6E-409C-BE32-E72D297353CC}">
              <c16:uniqueId val="{00000004-A88A-42A0-88EB-65DAB94CB3D5}"/>
            </c:ext>
          </c:extLst>
        </c:ser>
        <c:ser>
          <c:idx val="4"/>
          <c:order val="1"/>
          <c:tx>
            <c:strRef>
              <c:f>'Prerađivačka_FS graf'!$BG$7</c:f>
              <c:strCache>
                <c:ptCount val="1"/>
                <c:pt idx="0">
                  <c:v>Series5</c:v>
                </c:pt>
              </c:strCache>
            </c:strRef>
          </c:tx>
          <c:spPr>
            <a:ln w="25400" cap="rnd">
              <a:noFill/>
              <a:round/>
            </a:ln>
            <a:effectLst/>
          </c:spPr>
          <c:marker>
            <c:symbol val="none"/>
          </c:marker>
          <c:dLbls>
            <c:dLbl>
              <c:idx val="0"/>
              <c:tx>
                <c:rich>
                  <a:bodyPr/>
                  <a:lstStyle/>
                  <a:p>
                    <a:fld id="{91C154E2-49FD-405C-BEE8-C44DFC647C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A88A-42A0-88EB-65DAB94CB3D5}"/>
                </c:ext>
              </c:extLst>
            </c:dLbl>
            <c:dLbl>
              <c:idx val="1"/>
              <c:tx>
                <c:rich>
                  <a:bodyPr/>
                  <a:lstStyle/>
                  <a:p>
                    <a:fld id="{C49577A6-A2FB-49D3-97B0-BAE135BF4A9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A88A-42A0-88EB-65DAB94CB3D5}"/>
                </c:ext>
              </c:extLst>
            </c:dLbl>
            <c:dLbl>
              <c:idx val="2"/>
              <c:tx>
                <c:rich>
                  <a:bodyPr/>
                  <a:lstStyle/>
                  <a:p>
                    <a:fld id="{047857D9-3716-4E2A-920F-4FBB5D1DE2E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A88A-42A0-88EB-65DAB94CB3D5}"/>
                </c:ext>
              </c:extLst>
            </c:dLbl>
            <c:dLbl>
              <c:idx val="3"/>
              <c:tx>
                <c:rich>
                  <a:bodyPr/>
                  <a:lstStyle/>
                  <a:p>
                    <a:fld id="{D4DA62AA-C4C2-4639-9D94-3C522B6F544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88A-42A0-88EB-65DAB94CB3D5}"/>
                </c:ext>
              </c:extLst>
            </c:dLbl>
            <c:dLbl>
              <c:idx val="4"/>
              <c:tx>
                <c:rich>
                  <a:bodyPr/>
                  <a:lstStyle/>
                  <a:p>
                    <a:fld id="{B361694A-C788-42C4-8BC1-57FE9DA3D2E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A88A-42A0-88EB-65DAB94CB3D5}"/>
                </c:ext>
              </c:extLst>
            </c:dLbl>
            <c:dLbl>
              <c:idx val="5"/>
              <c:tx>
                <c:rich>
                  <a:bodyPr/>
                  <a:lstStyle/>
                  <a:p>
                    <a:fld id="{50624B7F-2F81-4E7A-9B70-5E90354412C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A88A-42A0-88EB-65DAB94CB3D5}"/>
                </c:ext>
              </c:extLst>
            </c:dLbl>
            <c:dLbl>
              <c:idx val="6"/>
              <c:tx>
                <c:rich>
                  <a:bodyPr/>
                  <a:lstStyle/>
                  <a:p>
                    <a:fld id="{C5C859B3-880F-435E-80F2-2D8CEFBCBFF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88A-42A0-88EB-65DAB94CB3D5}"/>
                </c:ext>
              </c:extLst>
            </c:dLbl>
            <c:dLbl>
              <c:idx val="7"/>
              <c:tx>
                <c:rich>
                  <a:bodyPr/>
                  <a:lstStyle/>
                  <a:p>
                    <a:fld id="{A7F2D142-30FF-45E2-984D-EDB13459075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A88A-42A0-88EB-65DAB94CB3D5}"/>
                </c:ext>
              </c:extLst>
            </c:dLbl>
            <c:dLbl>
              <c:idx val="8"/>
              <c:tx>
                <c:rich>
                  <a:bodyPr/>
                  <a:lstStyle/>
                  <a:p>
                    <a:fld id="{8A865257-CDC6-419C-9CBA-88D7CB86419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A88A-42A0-88EB-65DAB94CB3D5}"/>
                </c:ext>
              </c:extLst>
            </c:dLbl>
            <c:dLbl>
              <c:idx val="9"/>
              <c:tx>
                <c:rich>
                  <a:bodyPr/>
                  <a:lstStyle/>
                  <a:p>
                    <a:fld id="{484E05A6-FD58-41DE-9472-0CC4840009B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A88A-42A0-88EB-65DAB94CB3D5}"/>
                </c:ext>
              </c:extLst>
            </c:dLbl>
            <c:dLbl>
              <c:idx val="10"/>
              <c:tx>
                <c:rich>
                  <a:bodyPr/>
                  <a:lstStyle/>
                  <a:p>
                    <a:fld id="{79AE002A-C3BC-4612-BAFA-1B86C63218C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A88A-42A0-88EB-65DAB94CB3D5}"/>
                </c:ext>
              </c:extLst>
            </c:dLbl>
            <c:dLbl>
              <c:idx val="11"/>
              <c:tx>
                <c:rich>
                  <a:bodyPr/>
                  <a:lstStyle/>
                  <a:p>
                    <a:fld id="{11E0E349-25EC-4A31-9380-D20350B17C1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A88A-42A0-88EB-65DAB94CB3D5}"/>
                </c:ext>
              </c:extLst>
            </c:dLbl>
            <c:dLbl>
              <c:idx val="12"/>
              <c:tx>
                <c:rich>
                  <a:bodyPr/>
                  <a:lstStyle/>
                  <a:p>
                    <a:fld id="{C93FFD23-B509-4CE0-8E30-E7C590F89A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A88A-42A0-88EB-65DAB94CB3D5}"/>
                </c:ext>
              </c:extLst>
            </c:dLbl>
            <c:dLbl>
              <c:idx val="13"/>
              <c:tx>
                <c:rich>
                  <a:bodyPr/>
                  <a:lstStyle/>
                  <a:p>
                    <a:fld id="{B51EC7F2-5A09-4AE4-9BE4-A6F14BB3B0F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A88A-42A0-88EB-65DAB94CB3D5}"/>
                </c:ext>
              </c:extLst>
            </c:dLbl>
            <c:dLbl>
              <c:idx val="14"/>
              <c:tx>
                <c:rich>
                  <a:bodyPr/>
                  <a:lstStyle/>
                  <a:p>
                    <a:fld id="{7319A3AF-0A7C-4D1F-A16B-737421E921F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A88A-42A0-88EB-65DAB94CB3D5}"/>
                </c:ext>
              </c:extLst>
            </c:dLbl>
            <c:dLbl>
              <c:idx val="15"/>
              <c:tx>
                <c:rich>
                  <a:bodyPr/>
                  <a:lstStyle/>
                  <a:p>
                    <a:fld id="{BD2CBD8E-E73D-41F2-8EAA-3A70378FD9E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A88A-42A0-88EB-65DAB94CB3D5}"/>
                </c:ext>
              </c:extLst>
            </c:dLbl>
            <c:dLbl>
              <c:idx val="16"/>
              <c:tx>
                <c:rich>
                  <a:bodyPr/>
                  <a:lstStyle/>
                  <a:p>
                    <a:fld id="{81E28C32-7AF5-4B62-89D4-0D0B34E471F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A88A-42A0-88EB-65DAB94CB3D5}"/>
                </c:ext>
              </c:extLst>
            </c:dLbl>
            <c:dLbl>
              <c:idx val="17"/>
              <c:tx>
                <c:rich>
                  <a:bodyPr/>
                  <a:lstStyle/>
                  <a:p>
                    <a:fld id="{EB94C469-F468-446C-BFD6-C350AFC7614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A88A-42A0-88EB-65DAB94CB3D5}"/>
                </c:ext>
              </c:extLst>
            </c:dLbl>
            <c:dLbl>
              <c:idx val="18"/>
              <c:tx>
                <c:rich>
                  <a:bodyPr/>
                  <a:lstStyle/>
                  <a:p>
                    <a:fld id="{FD9854B4-5926-4376-84B3-3291BD5E1F8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A88A-42A0-88EB-65DAB94CB3D5}"/>
                </c:ext>
              </c:extLst>
            </c:dLbl>
            <c:dLbl>
              <c:idx val="19"/>
              <c:tx>
                <c:rich>
                  <a:bodyPr/>
                  <a:lstStyle/>
                  <a:p>
                    <a:fld id="{537A7EBF-5349-4D9A-BF9A-EEC15C42FAC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A88A-42A0-88EB-65DAB94CB3D5}"/>
                </c:ext>
              </c:extLst>
            </c:dLbl>
            <c:dLbl>
              <c:idx val="20"/>
              <c:tx>
                <c:rich>
                  <a:bodyPr/>
                  <a:lstStyle/>
                  <a:p>
                    <a:fld id="{70F75140-41B6-45F3-A615-642DA288FEA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A88A-42A0-88EB-65DAB94CB3D5}"/>
                </c:ext>
              </c:extLst>
            </c:dLbl>
            <c:dLbl>
              <c:idx val="21"/>
              <c:tx>
                <c:rich>
                  <a:bodyPr/>
                  <a:lstStyle/>
                  <a:p>
                    <a:fld id="{F68087CB-F88F-42D8-B61C-63CDD756930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A88A-42A0-88EB-65DAB94CB3D5}"/>
                </c:ext>
              </c:extLst>
            </c:dLbl>
            <c:dLbl>
              <c:idx val="22"/>
              <c:tx>
                <c:rich>
                  <a:bodyPr/>
                  <a:lstStyle/>
                  <a:p>
                    <a:fld id="{15201E7C-3EF9-423A-A4BE-4ABF0DF1D3D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A88A-42A0-88EB-65DAB94CB3D5}"/>
                </c:ext>
              </c:extLst>
            </c:dLbl>
            <c:dLbl>
              <c:idx val="23"/>
              <c:tx>
                <c:rich>
                  <a:bodyPr/>
                  <a:lstStyle/>
                  <a:p>
                    <a:fld id="{17F7BD42-A3D9-4006-AFD4-A07724F688E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A88A-42A0-88EB-65DAB94CB3D5}"/>
                </c:ext>
              </c:extLst>
            </c:dLbl>
            <c:dLbl>
              <c:idx val="24"/>
              <c:tx>
                <c:rich>
                  <a:bodyPr/>
                  <a:lstStyle/>
                  <a:p>
                    <a:fld id="{AA522BA7-071B-4F79-9712-33589B2E864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A88A-42A0-88EB-65DAB94CB3D5}"/>
                </c:ext>
              </c:extLst>
            </c:dLbl>
            <c:dLbl>
              <c:idx val="25"/>
              <c:tx>
                <c:rich>
                  <a:bodyPr/>
                  <a:lstStyle/>
                  <a:p>
                    <a:fld id="{C6A549BB-0347-4A16-B1B4-C8D17261335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A88A-42A0-88EB-65DAB94CB3D5}"/>
                </c:ext>
              </c:extLst>
            </c:dLbl>
            <c:dLbl>
              <c:idx val="26"/>
              <c:tx>
                <c:rich>
                  <a:bodyPr/>
                  <a:lstStyle/>
                  <a:p>
                    <a:fld id="{65C3A667-A328-417D-A11C-10D2021E36A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A88A-42A0-88EB-65DAB94CB3D5}"/>
                </c:ext>
              </c:extLst>
            </c:dLbl>
            <c:dLbl>
              <c:idx val="27"/>
              <c:tx>
                <c:rich>
                  <a:bodyPr/>
                  <a:lstStyle/>
                  <a:p>
                    <a:fld id="{543ACA17-F5BE-4D64-9CF0-DA2B59F53BA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A88A-42A0-88EB-65DAB94CB3D5}"/>
                </c:ext>
              </c:extLst>
            </c:dLbl>
            <c:dLbl>
              <c:idx val="28"/>
              <c:tx>
                <c:rich>
                  <a:bodyPr/>
                  <a:lstStyle/>
                  <a:p>
                    <a:fld id="{747DF46A-0B2F-444A-B3BE-C6908DC7D40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A88A-42A0-88EB-65DAB94CB3D5}"/>
                </c:ext>
              </c:extLst>
            </c:dLbl>
            <c:dLbl>
              <c:idx val="29"/>
              <c:tx>
                <c:rich>
                  <a:bodyPr/>
                  <a:lstStyle/>
                  <a:p>
                    <a:fld id="{7A4B2ABE-0CCB-4820-8FB8-607ABA01DE7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A88A-42A0-88EB-65DAB94CB3D5}"/>
                </c:ext>
              </c:extLst>
            </c:dLbl>
            <c:dLbl>
              <c:idx val="30"/>
              <c:tx>
                <c:rich>
                  <a:bodyPr/>
                  <a:lstStyle/>
                  <a:p>
                    <a:fld id="{8A72FE48-5B68-4699-908A-C9CE8AED25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A88A-42A0-88EB-65DAB94CB3D5}"/>
                </c:ext>
              </c:extLst>
            </c:dLbl>
            <c:dLbl>
              <c:idx val="31"/>
              <c:tx>
                <c:rich>
                  <a:bodyPr/>
                  <a:lstStyle/>
                  <a:p>
                    <a:fld id="{49D56916-7AC7-42F9-B2FE-22936DE2CBF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A88A-42A0-88EB-65DAB94CB3D5}"/>
                </c:ext>
              </c:extLst>
            </c:dLbl>
            <c:dLbl>
              <c:idx val="32"/>
              <c:tx>
                <c:rich>
                  <a:bodyPr/>
                  <a:lstStyle/>
                  <a:p>
                    <a:fld id="{D2F425A3-A1F4-418D-B28A-A81A18BA1F2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A88A-42A0-88EB-65DAB94CB3D5}"/>
                </c:ext>
              </c:extLst>
            </c:dLbl>
            <c:dLbl>
              <c:idx val="33"/>
              <c:tx>
                <c:rich>
                  <a:bodyPr/>
                  <a:lstStyle/>
                  <a:p>
                    <a:fld id="{F816755F-362C-4C9C-87FD-39791E9D80C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A88A-42A0-88EB-65DAB94CB3D5}"/>
                </c:ext>
              </c:extLst>
            </c:dLbl>
            <c:dLbl>
              <c:idx val="34"/>
              <c:tx>
                <c:rich>
                  <a:bodyPr/>
                  <a:lstStyle/>
                  <a:p>
                    <a:fld id="{945117E5-A99C-41D1-A751-59742397B7D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A88A-42A0-88EB-65DAB94CB3D5}"/>
                </c:ext>
              </c:extLst>
            </c:dLbl>
            <c:dLbl>
              <c:idx val="35"/>
              <c:tx>
                <c:rich>
                  <a:bodyPr/>
                  <a:lstStyle/>
                  <a:p>
                    <a:fld id="{D30A1555-0AFC-48A3-A514-EC44D7D123B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A88A-42A0-88EB-65DAB94CB3D5}"/>
                </c:ext>
              </c:extLst>
            </c:dLbl>
            <c:dLbl>
              <c:idx val="36"/>
              <c:tx>
                <c:rich>
                  <a:bodyPr/>
                  <a:lstStyle/>
                  <a:p>
                    <a:fld id="{35D78253-19E3-407F-9FD9-101D2D519C6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A88A-42A0-88EB-65DAB94CB3D5}"/>
                </c:ext>
              </c:extLst>
            </c:dLbl>
            <c:dLbl>
              <c:idx val="37"/>
              <c:tx>
                <c:rich>
                  <a:bodyPr/>
                  <a:lstStyle/>
                  <a:p>
                    <a:fld id="{38D18FB8-11F2-4ADC-9BF6-8D583DF71E1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A88A-42A0-88EB-65DAB94CB3D5}"/>
                </c:ext>
              </c:extLst>
            </c:dLbl>
            <c:dLbl>
              <c:idx val="38"/>
              <c:tx>
                <c:rich>
                  <a:bodyPr/>
                  <a:lstStyle/>
                  <a:p>
                    <a:fld id="{0BFB951A-884B-47CB-B21A-005C98A345A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A88A-42A0-88EB-65DAB94CB3D5}"/>
                </c:ext>
              </c:extLst>
            </c:dLbl>
            <c:dLbl>
              <c:idx val="39"/>
              <c:tx>
                <c:rich>
                  <a:bodyPr/>
                  <a:lstStyle/>
                  <a:p>
                    <a:fld id="{C3976F20-A017-41E8-A8A6-C9A78492C2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A88A-42A0-88EB-65DAB94CB3D5}"/>
                </c:ext>
              </c:extLst>
            </c:dLbl>
            <c:dLbl>
              <c:idx val="40"/>
              <c:tx>
                <c:rich>
                  <a:bodyPr/>
                  <a:lstStyle/>
                  <a:p>
                    <a:fld id="{E446C384-60AC-42A3-93C6-D8EF654414D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A88A-42A0-88EB-65DAB94CB3D5}"/>
                </c:ext>
              </c:extLst>
            </c:dLbl>
            <c:dLbl>
              <c:idx val="41"/>
              <c:tx>
                <c:rich>
                  <a:bodyPr/>
                  <a:lstStyle/>
                  <a:p>
                    <a:fld id="{0D47CBA6-22D7-435C-8CF7-9C256709046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A88A-42A0-88EB-65DAB94CB3D5}"/>
                </c:ext>
              </c:extLst>
            </c:dLbl>
            <c:dLbl>
              <c:idx val="42"/>
              <c:tx>
                <c:rich>
                  <a:bodyPr/>
                  <a:lstStyle/>
                  <a:p>
                    <a:fld id="{83FFFC54-6E2A-444C-A527-C60E9DC9842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A88A-42A0-88EB-65DAB94CB3D5}"/>
                </c:ext>
              </c:extLst>
            </c:dLbl>
            <c:dLbl>
              <c:idx val="43"/>
              <c:tx>
                <c:rich>
                  <a:bodyPr/>
                  <a:lstStyle/>
                  <a:p>
                    <a:fld id="{75AD334C-9062-4CB6-AF08-7A6461D49DB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A88A-42A0-88EB-65DAB94CB3D5}"/>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graf'!$BG$44:$BG$87</c:f>
              <c:numCache>
                <c:formatCode>General</c:formatCode>
                <c:ptCount val="44"/>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pt idx="43">
                  <c:v>60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A88A-42A0-88EB-65DAB94CB3D5}"/>
            </c:ext>
          </c:extLst>
        </c:ser>
        <c:ser>
          <c:idx val="0"/>
          <c:order val="2"/>
          <c:tx>
            <c:strRef>
              <c:f>'Prerađivačka_FS graf'!$BH$7</c:f>
              <c:strCache>
                <c:ptCount val="1"/>
                <c:pt idx="0">
                  <c:v>y</c:v>
                </c:pt>
              </c:strCache>
            </c:strRef>
          </c:tx>
          <c:spPr>
            <a:ln w="12700" cap="rnd">
              <a:solidFill>
                <a:srgbClr val="92278F"/>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graf'!$BH$44:$BH$87</c:f>
              <c:numCache>
                <c:formatCode>0.0</c:formatCode>
                <c:ptCount val="44"/>
                <c:pt idx="0">
                  <c:v>70.448548812664896</c:v>
                </c:pt>
                <c:pt idx="1">
                  <c:v>81.882145998240972</c:v>
                </c:pt>
                <c:pt idx="2">
                  <c:v>93.491644678979767</c:v>
                </c:pt>
                <c:pt idx="3">
                  <c:v>80.474934036939317</c:v>
                </c:pt>
                <c:pt idx="4">
                  <c:v>81.970096745822346</c:v>
                </c:pt>
                <c:pt idx="5">
                  <c:v>94.459102902374667</c:v>
                </c:pt>
                <c:pt idx="6">
                  <c:v>84.256816182937555</c:v>
                </c:pt>
                <c:pt idx="7">
                  <c:v>100.3518029903254</c:v>
                </c:pt>
                <c:pt idx="8">
                  <c:v>99.912049252418626</c:v>
                </c:pt>
                <c:pt idx="9">
                  <c:v>83.289357959542656</c:v>
                </c:pt>
                <c:pt idx="10">
                  <c:v>87.071240105540895</c:v>
                </c:pt>
                <c:pt idx="11">
                  <c:v>97.801231310466136</c:v>
                </c:pt>
                <c:pt idx="12">
                  <c:v>80.914687774846087</c:v>
                </c:pt>
                <c:pt idx="13">
                  <c:v>80.650835532102022</c:v>
                </c:pt>
                <c:pt idx="14">
                  <c:v>102.72647317502199</c:v>
                </c:pt>
                <c:pt idx="15">
                  <c:v>87.774846086191729</c:v>
                </c:pt>
                <c:pt idx="16">
                  <c:v>97.361477572559366</c:v>
                </c:pt>
                <c:pt idx="17">
                  <c:v>98.856640281442395</c:v>
                </c:pt>
                <c:pt idx="18">
                  <c:v>88.214599824098499</c:v>
                </c:pt>
                <c:pt idx="19">
                  <c:v>95.162708883025502</c:v>
                </c:pt>
                <c:pt idx="20">
                  <c:v>100.9674582233949</c:v>
                </c:pt>
                <c:pt idx="21">
                  <c:v>97.977132805628855</c:v>
                </c:pt>
                <c:pt idx="22">
                  <c:v>107.38786279683377</c:v>
                </c:pt>
                <c:pt idx="23">
                  <c:v>119.87686895338612</c:v>
                </c:pt>
                <c:pt idx="24">
                  <c:v>99.0325417766051</c:v>
                </c:pt>
                <c:pt idx="25">
                  <c:v>104.13368513632366</c:v>
                </c:pt>
                <c:pt idx="26">
                  <c:v>122.33948988566401</c:v>
                </c:pt>
                <c:pt idx="27">
                  <c:v>106.77220756376428</c:v>
                </c:pt>
                <c:pt idx="28">
                  <c:v>105.18909410729991</c:v>
                </c:pt>
                <c:pt idx="29">
                  <c:v>101.75901495162709</c:v>
                </c:pt>
                <c:pt idx="30">
                  <c:v>86.2796833773087</c:v>
                </c:pt>
                <c:pt idx="31">
                  <c:v>86.2796833773087</c:v>
                </c:pt>
                <c:pt idx="32">
                  <c:v>96.833773087071222</c:v>
                </c:pt>
                <c:pt idx="33">
                  <c:v>93.403693931398408</c:v>
                </c:pt>
                <c:pt idx="34">
                  <c:v>96.394019349164466</c:v>
                </c:pt>
                <c:pt idx="35">
                  <c:v>101.58311345646437</c:v>
                </c:pt>
                <c:pt idx="36">
                  <c:v>75</c:v>
                </c:pt>
                <c:pt idx="37">
                  <c:v>88.6</c:v>
                </c:pt>
                <c:pt idx="38">
                  <c:v>103.3</c:v>
                </c:pt>
                <c:pt idx="39">
                  <c:v>100.2</c:v>
                </c:pt>
                <c:pt idx="40">
                  <c:v>101</c:v>
                </c:pt>
                <c:pt idx="41">
                  <c:v>94</c:v>
                </c:pt>
                <c:pt idx="42">
                  <c:v>85.1</c:v>
                </c:pt>
                <c:pt idx="43">
                  <c:v>99.9</c:v>
                </c:pt>
              </c:numCache>
            </c:numRef>
          </c:val>
          <c:smooth val="0"/>
          <c:extLst>
            <c:ext xmlns:c16="http://schemas.microsoft.com/office/drawing/2014/chart" uri="{C3380CC4-5D6E-409C-BE32-E72D297353CC}">
              <c16:uniqueId val="{00000032-A88A-42A0-88EB-65DAB94CB3D5}"/>
            </c:ext>
          </c:extLst>
        </c:ser>
        <c:ser>
          <c:idx val="1"/>
          <c:order val="3"/>
          <c:tx>
            <c:strRef>
              <c:f>'Prerađivačka_FS graf'!$BI$7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graf'!$BI$44:$BI$87</c:f>
              <c:numCache>
                <c:formatCode>0.0</c:formatCode>
                <c:ptCount val="44"/>
                <c:pt idx="0">
                  <c:v>84.356905135293118</c:v>
                </c:pt>
                <c:pt idx="1">
                  <c:v>87.661745328315092</c:v>
                </c:pt>
                <c:pt idx="2">
                  <c:v>83.37711098287879</c:v>
                </c:pt>
                <c:pt idx="3">
                  <c:v>81.132403426996262</c:v>
                </c:pt>
                <c:pt idx="4">
                  <c:v>84.880728248928548</c:v>
                </c:pt>
                <c:pt idx="5">
                  <c:v>86.45697558093002</c:v>
                </c:pt>
                <c:pt idx="6">
                  <c:v>91.937521105155454</c:v>
                </c:pt>
                <c:pt idx="7">
                  <c:v>97.992939603501171</c:v>
                </c:pt>
                <c:pt idx="8">
                  <c:v>94.495786441723567</c:v>
                </c:pt>
                <c:pt idx="9">
                  <c:v>85.361209882533998</c:v>
                </c:pt>
                <c:pt idx="10">
                  <c:v>83.93535839786864</c:v>
                </c:pt>
                <c:pt idx="11">
                  <c:v>89.598200871277001</c:v>
                </c:pt>
                <c:pt idx="12">
                  <c:v>97.055732638415989</c:v>
                </c:pt>
                <c:pt idx="13">
                  <c:v>88.502872738590113</c:v>
                </c:pt>
                <c:pt idx="14">
                  <c:v>90.28655294039757</c:v>
                </c:pt>
                <c:pt idx="15">
                  <c:v>89.925785187877125</c:v>
                </c:pt>
                <c:pt idx="16">
                  <c:v>94.506444969080391</c:v>
                </c:pt>
                <c:pt idx="17">
                  <c:v>95.916987455124939</c:v>
                </c:pt>
                <c:pt idx="18">
                  <c:v>98.108976609524362</c:v>
                </c:pt>
                <c:pt idx="19">
                  <c:v>90.579027531553805</c:v>
                </c:pt>
                <c:pt idx="20">
                  <c:v>95.315487858663246</c:v>
                </c:pt>
                <c:pt idx="21">
                  <c:v>103.56903219110826</c:v>
                </c:pt>
                <c:pt idx="22">
                  <c:v>102.83804309874668</c:v>
                </c:pt>
                <c:pt idx="23">
                  <c:v>110.14063045868771</c:v>
                </c:pt>
                <c:pt idx="24">
                  <c:v>112.49617658913522</c:v>
                </c:pt>
                <c:pt idx="25">
                  <c:v>108.3908722881353</c:v>
                </c:pt>
                <c:pt idx="26">
                  <c:v>110.85865948062745</c:v>
                </c:pt>
                <c:pt idx="27">
                  <c:v>113.67982003599049</c:v>
                </c:pt>
                <c:pt idx="28">
                  <c:v>103.5192275747627</c:v>
                </c:pt>
                <c:pt idx="29">
                  <c:v>98.321018194315357</c:v>
                </c:pt>
                <c:pt idx="30">
                  <c:v>99.026568614391735</c:v>
                </c:pt>
                <c:pt idx="31">
                  <c:v>81.515961370025565</c:v>
                </c:pt>
                <c:pt idx="32">
                  <c:v>91.655702891989804</c:v>
                </c:pt>
                <c:pt idx="33">
                  <c:v>93.986235847463249</c:v>
                </c:pt>
                <c:pt idx="34">
                  <c:v>96.950074042481305</c:v>
                </c:pt>
                <c:pt idx="35">
                  <c:v>96.759006268174517</c:v>
                </c:pt>
                <c:pt idx="36">
                  <c:v>85.104897409930274</c:v>
                </c:pt>
                <c:pt idx="37">
                  <c:v>90.69836616504378</c:v>
                </c:pt>
                <c:pt idx="38">
                  <c:v>95.511830172581114</c:v>
                </c:pt>
                <c:pt idx="39">
                  <c:v>97.151811913609265</c:v>
                </c:pt>
                <c:pt idx="40">
                  <c:v>102.6272931844839</c:v>
                </c:pt>
                <c:pt idx="41">
                  <c:v>93.739045480471518</c:v>
                </c:pt>
                <c:pt idx="42">
                  <c:v>90.109833201743569</c:v>
                </c:pt>
                <c:pt idx="43">
                  <c:v>98.998048925538029</c:v>
                </c:pt>
              </c:numCache>
            </c:numRef>
          </c:val>
          <c:smooth val="0"/>
          <c:extLst>
            <c:ext xmlns:c16="http://schemas.microsoft.com/office/drawing/2014/chart" uri="{C3380CC4-5D6E-409C-BE32-E72D297353CC}">
              <c16:uniqueId val="{00000033-A88A-42A0-88EB-65DAB94CB3D5}"/>
            </c:ext>
          </c:extLst>
        </c:ser>
        <c:ser>
          <c:idx val="2"/>
          <c:order val="4"/>
          <c:tx>
            <c:strRef>
              <c:f>'Prerađivačka_FS graf'!$BJ$7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graf'!$BJ$44:$BJ$87</c:f>
              <c:numCache>
                <c:formatCode>0.0</c:formatCode>
                <c:ptCount val="44"/>
                <c:pt idx="0">
                  <c:v>83.140341164851407</c:v>
                </c:pt>
                <c:pt idx="1">
                  <c:v>83.895334456015235</c:v>
                </c:pt>
                <c:pt idx="2">
                  <c:v>84.637857507693298</c:v>
                </c:pt>
                <c:pt idx="3">
                  <c:v>85.355788844902932</c:v>
                </c:pt>
                <c:pt idx="4">
                  <c:v>86.038261372392995</c:v>
                </c:pt>
                <c:pt idx="5">
                  <c:v>86.67680108191054</c:v>
                </c:pt>
                <c:pt idx="6">
                  <c:v>87.273049042850928</c:v>
                </c:pt>
                <c:pt idx="7">
                  <c:v>87.841236214693268</c:v>
                </c:pt>
                <c:pt idx="8">
                  <c:v>88.405175908619199</c:v>
                </c:pt>
                <c:pt idx="9">
                  <c:v>88.993701261683995</c:v>
                </c:pt>
                <c:pt idx="10">
                  <c:v>89.634193199808252</c:v>
                </c:pt>
                <c:pt idx="11">
                  <c:v>90.354409066826264</c:v>
                </c:pt>
                <c:pt idx="12">
                  <c:v>91.176989346234876</c:v>
                </c:pt>
                <c:pt idx="13">
                  <c:v>92.107252325499516</c:v>
                </c:pt>
                <c:pt idx="14">
                  <c:v>93.133483412007706</c:v>
                </c:pt>
                <c:pt idx="15">
                  <c:v>94.240003641013232</c:v>
                </c:pt>
                <c:pt idx="16">
                  <c:v>95.400654281017466</c:v>
                </c:pt>
                <c:pt idx="17">
                  <c:v>96.5832290001606</c:v>
                </c:pt>
                <c:pt idx="18">
                  <c:v>97.747952205944486</c:v>
                </c:pt>
                <c:pt idx="19">
                  <c:v>98.852773192829488</c:v>
                </c:pt>
                <c:pt idx="20">
                  <c:v>99.857613788515081</c:v>
                </c:pt>
                <c:pt idx="21">
                  <c:v>100.7309814015469</c:v>
                </c:pt>
                <c:pt idx="22">
                  <c:v>101.44430786228644</c:v>
                </c:pt>
                <c:pt idx="23">
                  <c:v>101.97152364616839</c:v>
                </c:pt>
                <c:pt idx="24">
                  <c:v>102.29609735006727</c:v>
                </c:pt>
                <c:pt idx="25">
                  <c:v>102.41184749091691</c:v>
                </c:pt>
                <c:pt idx="26">
                  <c:v>102.31859812946236</c:v>
                </c:pt>
                <c:pt idx="27">
                  <c:v>102.02836189658882</c:v>
                </c:pt>
                <c:pt idx="28">
                  <c:v>101.56398878640604</c:v>
                </c:pt>
                <c:pt idx="29">
                  <c:v>100.95561307835484</c:v>
                </c:pt>
                <c:pt idx="30">
                  <c:v>100.24094319831534</c:v>
                </c:pt>
                <c:pt idx="31">
                  <c:v>99.461778970328012</c:v>
                </c:pt>
                <c:pt idx="32">
                  <c:v>98.658049205004119</c:v>
                </c:pt>
                <c:pt idx="33">
                  <c:v>97.861310339512286</c:v>
                </c:pt>
                <c:pt idx="34">
                  <c:v>97.10507868142065</c:v>
                </c:pt>
                <c:pt idx="35">
                  <c:v>96.424843280194281</c:v>
                </c:pt>
                <c:pt idx="36">
                  <c:v>95.854047902412248</c:v>
                </c:pt>
                <c:pt idx="37">
                  <c:v>95.414768453473869</c:v>
                </c:pt>
                <c:pt idx="38">
                  <c:v>95.118903360329924</c:v>
                </c:pt>
                <c:pt idx="39">
                  <c:v>94.969468993501366</c:v>
                </c:pt>
                <c:pt idx="40">
                  <c:v>94.958535558255775</c:v>
                </c:pt>
                <c:pt idx="41">
                  <c:v>95.090839338590683</c:v>
                </c:pt>
                <c:pt idx="42">
                  <c:v>95.318925191321043</c:v>
                </c:pt>
                <c:pt idx="43">
                  <c:v>95.581219915301588</c:v>
                </c:pt>
              </c:numCache>
            </c:numRef>
          </c:val>
          <c:smooth val="0"/>
          <c:extLst>
            <c:ext xmlns:c16="http://schemas.microsoft.com/office/drawing/2014/chart" uri="{C3380CC4-5D6E-409C-BE32-E72D297353CC}">
              <c16:uniqueId val="{00000034-A88A-42A0-88EB-65DAB94CB3D5}"/>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3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graf'!$AA$7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84661075257579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B67-4C67-B598-6A79B9CCA558}"/>
                </c:ext>
              </c:extLst>
            </c:dLbl>
            <c:dLbl>
              <c:idx val="12"/>
              <c:layout>
                <c:manualLayout>
                  <c:x val="7.08642297877528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B67-4C67-B598-6A79B9CCA558}"/>
                </c:ext>
              </c:extLst>
            </c:dLbl>
            <c:dLbl>
              <c:idx val="24"/>
              <c:layout>
                <c:manualLayout>
                  <c:x val="7.20103815570593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B67-4C67-B598-6A79B9CCA558}"/>
                </c:ext>
              </c:extLst>
            </c:dLbl>
            <c:dLbl>
              <c:idx val="36"/>
              <c:layout>
                <c:manualLayout>
                  <c:x val="-8.848709708323698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B67-4C67-B598-6A79B9CCA55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graf'!$AA$44:$AA$87</c:f>
              <c:numCache>
                <c:formatCode>General</c:formatCode>
                <c:ptCount val="44"/>
                <c:pt idx="0">
                  <c:v>60</c:v>
                </c:pt>
                <c:pt idx="12">
                  <c:v>60</c:v>
                </c:pt>
                <c:pt idx="24">
                  <c:v>60</c:v>
                </c:pt>
                <c:pt idx="36">
                  <c:v>60</c:v>
                </c:pt>
              </c:numCache>
            </c:numRef>
          </c:val>
          <c:smooth val="0"/>
          <c:extLst>
            <c:ext xmlns:c16="http://schemas.microsoft.com/office/drawing/2014/chart" uri="{C3380CC4-5D6E-409C-BE32-E72D297353CC}">
              <c16:uniqueId val="{00000004-1B67-4C67-B598-6A79B9CCA558}"/>
            </c:ext>
          </c:extLst>
        </c:ser>
        <c:ser>
          <c:idx val="4"/>
          <c:order val="1"/>
          <c:tx>
            <c:strRef>
              <c:f>'Prerađivačka_FS graf'!$AB$7</c:f>
              <c:strCache>
                <c:ptCount val="1"/>
                <c:pt idx="0">
                  <c:v>Series5</c:v>
                </c:pt>
              </c:strCache>
            </c:strRef>
          </c:tx>
          <c:spPr>
            <a:ln w="25400" cap="rnd">
              <a:noFill/>
              <a:round/>
            </a:ln>
            <a:effectLst/>
          </c:spPr>
          <c:marker>
            <c:symbol val="none"/>
          </c:marker>
          <c:dLbls>
            <c:dLbl>
              <c:idx val="0"/>
              <c:tx>
                <c:rich>
                  <a:bodyPr/>
                  <a:lstStyle/>
                  <a:p>
                    <a:fld id="{65B2FC8B-091C-4C50-BC8E-C56E957467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1B67-4C67-B598-6A79B9CCA558}"/>
                </c:ext>
              </c:extLst>
            </c:dLbl>
            <c:dLbl>
              <c:idx val="1"/>
              <c:tx>
                <c:rich>
                  <a:bodyPr/>
                  <a:lstStyle/>
                  <a:p>
                    <a:fld id="{053357C0-44AE-4774-8340-3DBB75F13E6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1B67-4C67-B598-6A79B9CCA558}"/>
                </c:ext>
              </c:extLst>
            </c:dLbl>
            <c:dLbl>
              <c:idx val="2"/>
              <c:tx>
                <c:rich>
                  <a:bodyPr/>
                  <a:lstStyle/>
                  <a:p>
                    <a:fld id="{D487C6AB-B27E-4F8F-A3BF-B47F9DBA52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1B67-4C67-B598-6A79B9CCA558}"/>
                </c:ext>
              </c:extLst>
            </c:dLbl>
            <c:dLbl>
              <c:idx val="3"/>
              <c:tx>
                <c:rich>
                  <a:bodyPr/>
                  <a:lstStyle/>
                  <a:p>
                    <a:fld id="{6805EAFA-F4F1-45D8-8E66-487F44B3FEB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1B67-4C67-B598-6A79B9CCA558}"/>
                </c:ext>
              </c:extLst>
            </c:dLbl>
            <c:dLbl>
              <c:idx val="4"/>
              <c:tx>
                <c:rich>
                  <a:bodyPr/>
                  <a:lstStyle/>
                  <a:p>
                    <a:fld id="{4F824292-7F1E-4AFD-9543-25374FABD70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1B67-4C67-B598-6A79B9CCA558}"/>
                </c:ext>
              </c:extLst>
            </c:dLbl>
            <c:dLbl>
              <c:idx val="5"/>
              <c:tx>
                <c:rich>
                  <a:bodyPr/>
                  <a:lstStyle/>
                  <a:p>
                    <a:fld id="{833202B9-50AA-448F-BE31-9C58FD8FB9F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1B67-4C67-B598-6A79B9CCA558}"/>
                </c:ext>
              </c:extLst>
            </c:dLbl>
            <c:dLbl>
              <c:idx val="6"/>
              <c:tx>
                <c:rich>
                  <a:bodyPr/>
                  <a:lstStyle/>
                  <a:p>
                    <a:fld id="{3DEEEFCD-EFF2-467A-B3AB-DA46D76CADC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B67-4C67-B598-6A79B9CCA558}"/>
                </c:ext>
              </c:extLst>
            </c:dLbl>
            <c:dLbl>
              <c:idx val="7"/>
              <c:tx>
                <c:rich>
                  <a:bodyPr/>
                  <a:lstStyle/>
                  <a:p>
                    <a:fld id="{90181B01-F578-44A4-8526-8BC5F7239EF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1B67-4C67-B598-6A79B9CCA558}"/>
                </c:ext>
              </c:extLst>
            </c:dLbl>
            <c:dLbl>
              <c:idx val="8"/>
              <c:tx>
                <c:rich>
                  <a:bodyPr/>
                  <a:lstStyle/>
                  <a:p>
                    <a:fld id="{C378F987-58FF-4400-99CD-0489D4451EC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1B67-4C67-B598-6A79B9CCA558}"/>
                </c:ext>
              </c:extLst>
            </c:dLbl>
            <c:dLbl>
              <c:idx val="9"/>
              <c:tx>
                <c:rich>
                  <a:bodyPr/>
                  <a:lstStyle/>
                  <a:p>
                    <a:fld id="{B45C2F04-82CE-4427-8B08-00CD3336D44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1B67-4C67-B598-6A79B9CCA558}"/>
                </c:ext>
              </c:extLst>
            </c:dLbl>
            <c:dLbl>
              <c:idx val="10"/>
              <c:tx>
                <c:rich>
                  <a:bodyPr/>
                  <a:lstStyle/>
                  <a:p>
                    <a:fld id="{5C7208F9-7077-410C-A9EB-96991B373F0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1B67-4C67-B598-6A79B9CCA558}"/>
                </c:ext>
              </c:extLst>
            </c:dLbl>
            <c:dLbl>
              <c:idx val="11"/>
              <c:tx>
                <c:rich>
                  <a:bodyPr/>
                  <a:lstStyle/>
                  <a:p>
                    <a:fld id="{2D5409CB-2636-464A-A9D2-1C3F802D7F7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1B67-4C67-B598-6A79B9CCA558}"/>
                </c:ext>
              </c:extLst>
            </c:dLbl>
            <c:dLbl>
              <c:idx val="12"/>
              <c:tx>
                <c:rich>
                  <a:bodyPr/>
                  <a:lstStyle/>
                  <a:p>
                    <a:fld id="{DDD96D84-95ED-47D6-BE0E-CF87A6E7896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1B67-4C67-B598-6A79B9CCA558}"/>
                </c:ext>
              </c:extLst>
            </c:dLbl>
            <c:dLbl>
              <c:idx val="13"/>
              <c:tx>
                <c:rich>
                  <a:bodyPr/>
                  <a:lstStyle/>
                  <a:p>
                    <a:fld id="{A2ED481B-8ADE-4A0E-8080-6AAC3AE4D9A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1B67-4C67-B598-6A79B9CCA558}"/>
                </c:ext>
              </c:extLst>
            </c:dLbl>
            <c:dLbl>
              <c:idx val="14"/>
              <c:tx>
                <c:rich>
                  <a:bodyPr/>
                  <a:lstStyle/>
                  <a:p>
                    <a:fld id="{51ED3A8A-B345-41FC-A44A-3DEFDFACFA0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1B67-4C67-B598-6A79B9CCA558}"/>
                </c:ext>
              </c:extLst>
            </c:dLbl>
            <c:dLbl>
              <c:idx val="15"/>
              <c:tx>
                <c:rich>
                  <a:bodyPr/>
                  <a:lstStyle/>
                  <a:p>
                    <a:fld id="{9B187713-F2DF-4B6E-9AC8-7BBB5CB39BF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1B67-4C67-B598-6A79B9CCA558}"/>
                </c:ext>
              </c:extLst>
            </c:dLbl>
            <c:dLbl>
              <c:idx val="16"/>
              <c:tx>
                <c:rich>
                  <a:bodyPr/>
                  <a:lstStyle/>
                  <a:p>
                    <a:fld id="{FCE47996-97E4-455A-8580-E9340E30BBB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1B67-4C67-B598-6A79B9CCA558}"/>
                </c:ext>
              </c:extLst>
            </c:dLbl>
            <c:dLbl>
              <c:idx val="17"/>
              <c:tx>
                <c:rich>
                  <a:bodyPr/>
                  <a:lstStyle/>
                  <a:p>
                    <a:fld id="{42CB3C85-62F0-4BAA-B90B-31EF095E4AA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1B67-4C67-B598-6A79B9CCA558}"/>
                </c:ext>
              </c:extLst>
            </c:dLbl>
            <c:dLbl>
              <c:idx val="18"/>
              <c:tx>
                <c:rich>
                  <a:bodyPr/>
                  <a:lstStyle/>
                  <a:p>
                    <a:fld id="{1560BB77-AFBD-4EC9-9C63-F4EC8E9014F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1B67-4C67-B598-6A79B9CCA558}"/>
                </c:ext>
              </c:extLst>
            </c:dLbl>
            <c:dLbl>
              <c:idx val="19"/>
              <c:tx>
                <c:rich>
                  <a:bodyPr/>
                  <a:lstStyle/>
                  <a:p>
                    <a:fld id="{208A83FC-E0A7-493B-BB0C-828F83E3793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1B67-4C67-B598-6A79B9CCA558}"/>
                </c:ext>
              </c:extLst>
            </c:dLbl>
            <c:dLbl>
              <c:idx val="20"/>
              <c:tx>
                <c:rich>
                  <a:bodyPr/>
                  <a:lstStyle/>
                  <a:p>
                    <a:fld id="{7D8A9C91-7938-42B8-BE2F-C549E85A638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1B67-4C67-B598-6A79B9CCA558}"/>
                </c:ext>
              </c:extLst>
            </c:dLbl>
            <c:dLbl>
              <c:idx val="21"/>
              <c:tx>
                <c:rich>
                  <a:bodyPr/>
                  <a:lstStyle/>
                  <a:p>
                    <a:fld id="{1B670F04-2A74-407D-8F5D-4539FF066E9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1B67-4C67-B598-6A79B9CCA558}"/>
                </c:ext>
              </c:extLst>
            </c:dLbl>
            <c:dLbl>
              <c:idx val="22"/>
              <c:tx>
                <c:rich>
                  <a:bodyPr/>
                  <a:lstStyle/>
                  <a:p>
                    <a:fld id="{33E1619F-4B56-4179-9703-1ADA30453FF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1B67-4C67-B598-6A79B9CCA558}"/>
                </c:ext>
              </c:extLst>
            </c:dLbl>
            <c:dLbl>
              <c:idx val="23"/>
              <c:tx>
                <c:rich>
                  <a:bodyPr/>
                  <a:lstStyle/>
                  <a:p>
                    <a:fld id="{B0510967-411F-4378-AC50-097D7DC494B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1B67-4C67-B598-6A79B9CCA558}"/>
                </c:ext>
              </c:extLst>
            </c:dLbl>
            <c:dLbl>
              <c:idx val="24"/>
              <c:tx>
                <c:rich>
                  <a:bodyPr/>
                  <a:lstStyle/>
                  <a:p>
                    <a:fld id="{2107FFC5-13AC-4E04-95EE-7394F152A9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1B67-4C67-B598-6A79B9CCA558}"/>
                </c:ext>
              </c:extLst>
            </c:dLbl>
            <c:dLbl>
              <c:idx val="25"/>
              <c:tx>
                <c:rich>
                  <a:bodyPr/>
                  <a:lstStyle/>
                  <a:p>
                    <a:fld id="{8698F189-8948-4C00-B786-D5020A90702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1B67-4C67-B598-6A79B9CCA558}"/>
                </c:ext>
              </c:extLst>
            </c:dLbl>
            <c:dLbl>
              <c:idx val="26"/>
              <c:tx>
                <c:rich>
                  <a:bodyPr/>
                  <a:lstStyle/>
                  <a:p>
                    <a:fld id="{EB739873-94E4-42E1-8605-5517B473DFA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1B67-4C67-B598-6A79B9CCA558}"/>
                </c:ext>
              </c:extLst>
            </c:dLbl>
            <c:dLbl>
              <c:idx val="27"/>
              <c:tx>
                <c:rich>
                  <a:bodyPr/>
                  <a:lstStyle/>
                  <a:p>
                    <a:fld id="{064ACDC1-DF88-47DC-834C-0134F4AC40E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1B67-4C67-B598-6A79B9CCA558}"/>
                </c:ext>
              </c:extLst>
            </c:dLbl>
            <c:dLbl>
              <c:idx val="28"/>
              <c:tx>
                <c:rich>
                  <a:bodyPr/>
                  <a:lstStyle/>
                  <a:p>
                    <a:fld id="{B0B11C73-1C9E-4891-8E02-814F3EE3458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1B67-4C67-B598-6A79B9CCA558}"/>
                </c:ext>
              </c:extLst>
            </c:dLbl>
            <c:dLbl>
              <c:idx val="29"/>
              <c:tx>
                <c:rich>
                  <a:bodyPr/>
                  <a:lstStyle/>
                  <a:p>
                    <a:fld id="{4CD58788-841D-46D7-8218-C0BE00B1539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1B67-4C67-B598-6A79B9CCA558}"/>
                </c:ext>
              </c:extLst>
            </c:dLbl>
            <c:dLbl>
              <c:idx val="30"/>
              <c:tx>
                <c:rich>
                  <a:bodyPr/>
                  <a:lstStyle/>
                  <a:p>
                    <a:fld id="{9AB6A5B0-C814-409D-9C00-97B3AE460A2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1B67-4C67-B598-6A79B9CCA558}"/>
                </c:ext>
              </c:extLst>
            </c:dLbl>
            <c:dLbl>
              <c:idx val="31"/>
              <c:tx>
                <c:rich>
                  <a:bodyPr/>
                  <a:lstStyle/>
                  <a:p>
                    <a:fld id="{DAB96A61-3645-42E6-B09C-1544BC574DC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1B67-4C67-B598-6A79B9CCA558}"/>
                </c:ext>
              </c:extLst>
            </c:dLbl>
            <c:dLbl>
              <c:idx val="32"/>
              <c:tx>
                <c:rich>
                  <a:bodyPr/>
                  <a:lstStyle/>
                  <a:p>
                    <a:fld id="{19BCC392-1D18-45F2-9950-7A748EA8801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1B67-4C67-B598-6A79B9CCA558}"/>
                </c:ext>
              </c:extLst>
            </c:dLbl>
            <c:dLbl>
              <c:idx val="33"/>
              <c:tx>
                <c:rich>
                  <a:bodyPr/>
                  <a:lstStyle/>
                  <a:p>
                    <a:fld id="{39156E87-0F50-4865-985C-A95E34F85A5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1B67-4C67-B598-6A79B9CCA558}"/>
                </c:ext>
              </c:extLst>
            </c:dLbl>
            <c:dLbl>
              <c:idx val="34"/>
              <c:tx>
                <c:rich>
                  <a:bodyPr/>
                  <a:lstStyle/>
                  <a:p>
                    <a:fld id="{A32000E1-1D96-475C-BEDB-90AFE0575CD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1B67-4C67-B598-6A79B9CCA558}"/>
                </c:ext>
              </c:extLst>
            </c:dLbl>
            <c:dLbl>
              <c:idx val="35"/>
              <c:tx>
                <c:rich>
                  <a:bodyPr/>
                  <a:lstStyle/>
                  <a:p>
                    <a:fld id="{56E721F8-33E0-4009-8930-BB5099D5DA0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1B67-4C67-B598-6A79B9CCA558}"/>
                </c:ext>
              </c:extLst>
            </c:dLbl>
            <c:dLbl>
              <c:idx val="36"/>
              <c:tx>
                <c:rich>
                  <a:bodyPr/>
                  <a:lstStyle/>
                  <a:p>
                    <a:fld id="{E289E0B4-3F40-4710-B9FA-E1F724D18BB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1B67-4C67-B598-6A79B9CCA558}"/>
                </c:ext>
              </c:extLst>
            </c:dLbl>
            <c:dLbl>
              <c:idx val="37"/>
              <c:tx>
                <c:rich>
                  <a:bodyPr/>
                  <a:lstStyle/>
                  <a:p>
                    <a:fld id="{C8003E2F-3AC9-4BE1-9C0D-86D73C216E0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1B67-4C67-B598-6A79B9CCA558}"/>
                </c:ext>
              </c:extLst>
            </c:dLbl>
            <c:dLbl>
              <c:idx val="38"/>
              <c:tx>
                <c:rich>
                  <a:bodyPr/>
                  <a:lstStyle/>
                  <a:p>
                    <a:fld id="{FB621392-3D60-4006-ACC8-2FEF9C840F3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1B67-4C67-B598-6A79B9CCA558}"/>
                </c:ext>
              </c:extLst>
            </c:dLbl>
            <c:dLbl>
              <c:idx val="39"/>
              <c:tx>
                <c:rich>
                  <a:bodyPr/>
                  <a:lstStyle/>
                  <a:p>
                    <a:fld id="{91C43B5C-4B9A-418C-8C05-9AFAE708B50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1B67-4C67-B598-6A79B9CCA558}"/>
                </c:ext>
              </c:extLst>
            </c:dLbl>
            <c:dLbl>
              <c:idx val="40"/>
              <c:tx>
                <c:rich>
                  <a:bodyPr/>
                  <a:lstStyle/>
                  <a:p>
                    <a:fld id="{72F15654-E62B-4538-9FF2-2A98459972C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1B67-4C67-B598-6A79B9CCA558}"/>
                </c:ext>
              </c:extLst>
            </c:dLbl>
            <c:dLbl>
              <c:idx val="41"/>
              <c:tx>
                <c:rich>
                  <a:bodyPr/>
                  <a:lstStyle/>
                  <a:p>
                    <a:fld id="{F494A06A-9DC0-4568-AA71-2A83387513E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1B67-4C67-B598-6A79B9CCA558}"/>
                </c:ext>
              </c:extLst>
            </c:dLbl>
            <c:dLbl>
              <c:idx val="42"/>
              <c:tx>
                <c:rich>
                  <a:bodyPr/>
                  <a:lstStyle/>
                  <a:p>
                    <a:fld id="{4D5B2612-0FA5-4378-BB5D-826D2A4C733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1B67-4C67-B598-6A79B9CCA558}"/>
                </c:ext>
              </c:extLst>
            </c:dLbl>
            <c:dLbl>
              <c:idx val="43"/>
              <c:tx>
                <c:rich>
                  <a:bodyPr/>
                  <a:lstStyle/>
                  <a:p>
                    <a:fld id="{5282DB14-4B34-4DDB-BD78-8CFA1CD21B3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1B67-4C67-B598-6A79B9CCA558}"/>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graf'!$AB$44:$AB$87</c:f>
              <c:numCache>
                <c:formatCode>General</c:formatCode>
                <c:ptCount val="44"/>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pt idx="43">
                  <c:v>60</c:v>
                </c:pt>
              </c:numCache>
            </c:numRef>
          </c:val>
          <c:smooth val="0"/>
          <c:extLst>
            <c:ext xmlns:c15="http://schemas.microsoft.com/office/drawing/2012/chart" uri="{02D57815-91ED-43cb-92C2-25804820EDAC}">
              <c15:datalabelsRange>
                <c15:f>'Prerađivačka_FS graf'!$B$44:$B$87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1-1B67-4C67-B598-6A79B9CCA558}"/>
            </c:ext>
          </c:extLst>
        </c:ser>
        <c:ser>
          <c:idx val="0"/>
          <c:order val="2"/>
          <c:tx>
            <c:strRef>
              <c:f>'Prerađivačka_FS graf'!$AC$7</c:f>
              <c:strCache>
                <c:ptCount val="1"/>
                <c:pt idx="0">
                  <c:v>y</c:v>
                </c:pt>
              </c:strCache>
            </c:strRef>
          </c:tx>
          <c:spPr>
            <a:ln w="12700" cap="rnd">
              <a:solidFill>
                <a:srgbClr val="7F3F98"/>
              </a:solidFill>
              <a:prstDash val="sysDash"/>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graf'!$AC$44:$AC$87</c:f>
              <c:numCache>
                <c:formatCode>0.0</c:formatCode>
                <c:ptCount val="44"/>
                <c:pt idx="0">
                  <c:v>65.285642606264787</c:v>
                </c:pt>
                <c:pt idx="1">
                  <c:v>83.090817862518819</c:v>
                </c:pt>
                <c:pt idx="2">
                  <c:v>92.380474517955719</c:v>
                </c:pt>
                <c:pt idx="3">
                  <c:v>87.133538814421911</c:v>
                </c:pt>
                <c:pt idx="4">
                  <c:v>83.864955917138559</c:v>
                </c:pt>
                <c:pt idx="5">
                  <c:v>87.219554153824106</c:v>
                </c:pt>
                <c:pt idx="6">
                  <c:v>71.048670346211736</c:v>
                </c:pt>
                <c:pt idx="7">
                  <c:v>78.53200487420257</c:v>
                </c:pt>
                <c:pt idx="8">
                  <c:v>88.767830263063587</c:v>
                </c:pt>
                <c:pt idx="9">
                  <c:v>83.262848541323208</c:v>
                </c:pt>
                <c:pt idx="10">
                  <c:v>99.691778367142149</c:v>
                </c:pt>
                <c:pt idx="11">
                  <c:v>112.077987241058</c:v>
                </c:pt>
                <c:pt idx="12">
                  <c:v>71.736793061429296</c:v>
                </c:pt>
                <c:pt idx="13">
                  <c:v>89.025876281270172</c:v>
                </c:pt>
                <c:pt idx="14">
                  <c:v>94.444842663608355</c:v>
                </c:pt>
                <c:pt idx="15">
                  <c:v>85.75729338398682</c:v>
                </c:pt>
                <c:pt idx="16">
                  <c:v>102.96036126442549</c:v>
                </c:pt>
                <c:pt idx="17">
                  <c:v>96.681241488065382</c:v>
                </c:pt>
                <c:pt idx="18">
                  <c:v>79.994265644039871</c:v>
                </c:pt>
                <c:pt idx="19">
                  <c:v>75.693498673930193</c:v>
                </c:pt>
                <c:pt idx="20">
                  <c:v>83.176833201921013</c:v>
                </c:pt>
                <c:pt idx="21">
                  <c:v>87.477600172030691</c:v>
                </c:pt>
                <c:pt idx="22">
                  <c:v>89.541968317683313</c:v>
                </c:pt>
                <c:pt idx="23">
                  <c:v>102.53028456741453</c:v>
                </c:pt>
                <c:pt idx="24">
                  <c:v>82.230664468496883</c:v>
                </c:pt>
                <c:pt idx="25">
                  <c:v>99.347717009533369</c:v>
                </c:pt>
                <c:pt idx="26">
                  <c:v>99.433732348935564</c:v>
                </c:pt>
                <c:pt idx="27">
                  <c:v>93.498673930184225</c:v>
                </c:pt>
                <c:pt idx="28">
                  <c:v>98.745609633718018</c:v>
                </c:pt>
                <c:pt idx="29">
                  <c:v>103.56246864024085</c:v>
                </c:pt>
                <c:pt idx="30">
                  <c:v>96.423195469858797</c:v>
                </c:pt>
                <c:pt idx="31">
                  <c:v>99.691778367142149</c:v>
                </c:pt>
                <c:pt idx="32">
                  <c:v>107.77722027094832</c:v>
                </c:pt>
                <c:pt idx="33">
                  <c:v>107.08909755573077</c:v>
                </c:pt>
                <c:pt idx="34">
                  <c:v>102.18622320980575</c:v>
                </c:pt>
                <c:pt idx="35">
                  <c:v>110.01361909540537</c:v>
                </c:pt>
                <c:pt idx="36">
                  <c:v>85.4</c:v>
                </c:pt>
                <c:pt idx="37">
                  <c:v>96.3</c:v>
                </c:pt>
                <c:pt idx="38">
                  <c:v>98.7</c:v>
                </c:pt>
                <c:pt idx="39">
                  <c:v>98.5</c:v>
                </c:pt>
                <c:pt idx="40">
                  <c:v>88.3</c:v>
                </c:pt>
                <c:pt idx="41">
                  <c:v>95.6</c:v>
                </c:pt>
                <c:pt idx="42">
                  <c:v>91.9</c:v>
                </c:pt>
                <c:pt idx="43">
                  <c:v>84.3</c:v>
                </c:pt>
              </c:numCache>
            </c:numRef>
          </c:val>
          <c:smooth val="0"/>
          <c:extLst>
            <c:ext xmlns:c16="http://schemas.microsoft.com/office/drawing/2014/chart" uri="{C3380CC4-5D6E-409C-BE32-E72D297353CC}">
              <c16:uniqueId val="{00000032-1B67-4C67-B598-6A79B9CCA558}"/>
            </c:ext>
          </c:extLst>
        </c:ser>
        <c:ser>
          <c:idx val="1"/>
          <c:order val="3"/>
          <c:tx>
            <c:strRef>
              <c:f>'Prerađivačka_FS graf'!$AD$7</c:f>
              <c:strCache>
                <c:ptCount val="1"/>
                <c:pt idx="0">
                  <c:v>sa</c:v>
                </c:pt>
              </c:strCache>
            </c:strRef>
          </c:tx>
          <c:spPr>
            <a:ln w="22225" cap="rnd">
              <a:solidFill>
                <a:srgbClr val="25AAE1"/>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graf'!$AD$44:$AD$87</c:f>
              <c:numCache>
                <c:formatCode>0.0</c:formatCode>
                <c:ptCount val="44"/>
                <c:pt idx="0">
                  <c:v>78.518688257736358</c:v>
                </c:pt>
                <c:pt idx="1">
                  <c:v>83.978401134450479</c:v>
                </c:pt>
                <c:pt idx="2">
                  <c:v>89.81422485244191</c:v>
                </c:pt>
                <c:pt idx="3">
                  <c:v>86.393490437962924</c:v>
                </c:pt>
                <c:pt idx="4">
                  <c:v>79.147067652473751</c:v>
                </c:pt>
                <c:pt idx="5">
                  <c:v>83.098604763050133</c:v>
                </c:pt>
                <c:pt idx="6">
                  <c:v>74.561422090742951</c:v>
                </c:pt>
                <c:pt idx="7">
                  <c:v>87.701927698263901</c:v>
                </c:pt>
                <c:pt idx="8">
                  <c:v>89.680360663857982</c:v>
                </c:pt>
                <c:pt idx="9">
                  <c:v>81.59323420381574</c:v>
                </c:pt>
                <c:pt idx="10">
                  <c:v>94.860668251807169</c:v>
                </c:pt>
                <c:pt idx="11">
                  <c:v>100.56388917985842</c:v>
                </c:pt>
                <c:pt idx="12">
                  <c:v>85.88957418444167</c:v>
                </c:pt>
                <c:pt idx="13">
                  <c:v>88.553798101761828</c:v>
                </c:pt>
                <c:pt idx="14">
                  <c:v>91.050614782152209</c:v>
                </c:pt>
                <c:pt idx="15">
                  <c:v>85.217584869054889</c:v>
                </c:pt>
                <c:pt idx="16">
                  <c:v>98.9991888472574</c:v>
                </c:pt>
                <c:pt idx="17">
                  <c:v>92.228493305905715</c:v>
                </c:pt>
                <c:pt idx="18">
                  <c:v>84.779968241635174</c:v>
                </c:pt>
                <c:pt idx="19">
                  <c:v>83.876748659921788</c:v>
                </c:pt>
                <c:pt idx="20">
                  <c:v>83.465740514980084</c:v>
                </c:pt>
                <c:pt idx="21">
                  <c:v>85.928580437561365</c:v>
                </c:pt>
                <c:pt idx="22">
                  <c:v>85.942782204884622</c:v>
                </c:pt>
                <c:pt idx="23">
                  <c:v>91.19670725735935</c:v>
                </c:pt>
                <c:pt idx="24">
                  <c:v>97.901560506698814</c:v>
                </c:pt>
                <c:pt idx="25">
                  <c:v>98.210967352045756</c:v>
                </c:pt>
                <c:pt idx="26">
                  <c:v>95.421633186948142</c:v>
                </c:pt>
                <c:pt idx="27">
                  <c:v>93.547174303076602</c:v>
                </c:pt>
                <c:pt idx="28">
                  <c:v>96.382680229668097</c:v>
                </c:pt>
                <c:pt idx="29">
                  <c:v>98.898083122690664</c:v>
                </c:pt>
                <c:pt idx="30">
                  <c:v>102.21675520470487</c:v>
                </c:pt>
                <c:pt idx="31">
                  <c:v>109.93363776091685</c:v>
                </c:pt>
                <c:pt idx="32">
                  <c:v>107.52874045068071</c:v>
                </c:pt>
                <c:pt idx="33">
                  <c:v>105.32885826274133</c:v>
                </c:pt>
                <c:pt idx="34">
                  <c:v>98.653767255156325</c:v>
                </c:pt>
                <c:pt idx="35">
                  <c:v>97.091434368032111</c:v>
                </c:pt>
                <c:pt idx="36">
                  <c:v>100.99856744685972</c:v>
                </c:pt>
                <c:pt idx="37">
                  <c:v>95.115510843680596</c:v>
                </c:pt>
                <c:pt idx="38">
                  <c:v>94.765669223552351</c:v>
                </c:pt>
                <c:pt idx="39">
                  <c:v>99.074968015351743</c:v>
                </c:pt>
                <c:pt idx="40">
                  <c:v>86.965152054055565</c:v>
                </c:pt>
                <c:pt idx="41">
                  <c:v>91.870038530117668</c:v>
                </c:pt>
                <c:pt idx="42">
                  <c:v>96.945134993494278</c:v>
                </c:pt>
                <c:pt idx="43">
                  <c:v>92.318341077106538</c:v>
                </c:pt>
              </c:numCache>
            </c:numRef>
          </c:val>
          <c:smooth val="0"/>
          <c:extLst>
            <c:ext xmlns:c16="http://schemas.microsoft.com/office/drawing/2014/chart" uri="{C3380CC4-5D6E-409C-BE32-E72D297353CC}">
              <c16:uniqueId val="{00000033-1B67-4C67-B598-6A79B9CCA558}"/>
            </c:ext>
          </c:extLst>
        </c:ser>
        <c:ser>
          <c:idx val="2"/>
          <c:order val="4"/>
          <c:tx>
            <c:strRef>
              <c:f>'Prerađivačka_FS graf'!$AE$7</c:f>
              <c:strCache>
                <c:ptCount val="1"/>
                <c:pt idx="0">
                  <c:v>t</c:v>
                </c:pt>
              </c:strCache>
            </c:strRef>
          </c:tx>
          <c:spPr>
            <a:ln w="25400" cap="rnd">
              <a:solidFill>
                <a:srgbClr val="FF0000"/>
              </a:solidFill>
              <a:round/>
            </a:ln>
            <a:effectLst/>
          </c:spPr>
          <c:marker>
            <c:symbol val="none"/>
          </c:marker>
          <c:cat>
            <c:numRef>
              <c:f>'Prerađivačka_FS graf'!$C$44:$C$87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'Prerađivačka_FS graf'!$AE$44:$AE$87</c:f>
              <c:numCache>
                <c:formatCode>0.0</c:formatCode>
                <c:ptCount val="44"/>
                <c:pt idx="0">
                  <c:v>79.506957311210016</c:v>
                </c:pt>
                <c:pt idx="1">
                  <c:v>81.44028693549788</c:v>
                </c:pt>
                <c:pt idx="2">
                  <c:v>82.713778980041525</c:v>
                </c:pt>
                <c:pt idx="3">
                  <c:v>83.265469695831655</c:v>
                </c:pt>
                <c:pt idx="4">
                  <c:v>83.142180130784467</c:v>
                </c:pt>
                <c:pt idx="5">
                  <c:v>83.006624588663655</c:v>
                </c:pt>
                <c:pt idx="6">
                  <c:v>83.796889549099191</c:v>
                </c:pt>
                <c:pt idx="7">
                  <c:v>85.754773628433909</c:v>
                </c:pt>
                <c:pt idx="8">
                  <c:v>88.214701041624593</c:v>
                </c:pt>
                <c:pt idx="9">
                  <c:v>90.382469695880957</c:v>
                </c:pt>
                <c:pt idx="10">
                  <c:v>91.544492431176991</c:v>
                </c:pt>
                <c:pt idx="11">
                  <c:v>91.444597718150035</c:v>
                </c:pt>
                <c:pt idx="12">
                  <c:v>90.660555050916557</c:v>
                </c:pt>
                <c:pt idx="13">
                  <c:v>89.726008428926136</c:v>
                </c:pt>
                <c:pt idx="14">
                  <c:v>89.061033420672501</c:v>
                </c:pt>
                <c:pt idx="15">
                  <c:v>88.529508687743473</c:v>
                </c:pt>
                <c:pt idx="16">
                  <c:v>88.023111182553748</c:v>
                </c:pt>
                <c:pt idx="17">
                  <c:v>87.314373172602174</c:v>
                </c:pt>
                <c:pt idx="18">
                  <c:v>86.14750415331909</c:v>
                </c:pt>
                <c:pt idx="19">
                  <c:v>85.023972962422036</c:v>
                </c:pt>
                <c:pt idx="20">
                  <c:v>84.882801586844167</c:v>
                </c:pt>
                <c:pt idx="21">
                  <c:v>86.10437699772524</c:v>
                </c:pt>
                <c:pt idx="22">
                  <c:v>88.484068422306422</c:v>
                </c:pt>
                <c:pt idx="23">
                  <c:v>91.400690191170995</c:v>
                </c:pt>
                <c:pt idx="24">
                  <c:v>93.867255446060554</c:v>
                </c:pt>
                <c:pt idx="25">
                  <c:v>95.252527364674904</c:v>
                </c:pt>
                <c:pt idx="26">
                  <c:v>95.932982601693922</c:v>
                </c:pt>
                <c:pt idx="27">
                  <c:v>96.62713992122751</c:v>
                </c:pt>
                <c:pt idx="28">
                  <c:v>98.092648670782538</c:v>
                </c:pt>
                <c:pt idx="29">
                  <c:v>100.46403430301302</c:v>
                </c:pt>
                <c:pt idx="30">
                  <c:v>103.08004814138586</c:v>
                </c:pt>
                <c:pt idx="31">
                  <c:v>105.000132451978</c:v>
                </c:pt>
                <c:pt idx="32">
                  <c:v>105.45003986533523</c:v>
                </c:pt>
                <c:pt idx="33">
                  <c:v>104.23953732404499</c:v>
                </c:pt>
                <c:pt idx="34">
                  <c:v>102.05301693666566</c:v>
                </c:pt>
                <c:pt idx="35">
                  <c:v>99.766841278380568</c:v>
                </c:pt>
                <c:pt idx="36">
                  <c:v>97.854060852583459</c:v>
                </c:pt>
                <c:pt idx="37">
                  <c:v>96.611795957368415</c:v>
                </c:pt>
                <c:pt idx="38">
                  <c:v>95.859191849476019</c:v>
                </c:pt>
                <c:pt idx="39">
                  <c:v>95.198684119257877</c:v>
                </c:pt>
                <c:pt idx="40">
                  <c:v>94.548193349620874</c:v>
                </c:pt>
                <c:pt idx="41">
                  <c:v>94.010144271086659</c:v>
                </c:pt>
                <c:pt idx="42">
                  <c:v>93.901519700136745</c:v>
                </c:pt>
                <c:pt idx="43">
                  <c:v>94.146844270196084</c:v>
                </c:pt>
              </c:numCache>
            </c:numRef>
          </c:val>
          <c:smooth val="0"/>
          <c:extLst>
            <c:ext xmlns:c16="http://schemas.microsoft.com/office/drawing/2014/chart" uri="{C3380CC4-5D6E-409C-BE32-E72D297353CC}">
              <c16:uniqueId val="{00000034-1B67-4C67-B598-6A79B9CCA558}"/>
            </c:ext>
          </c:extLst>
        </c:ser>
        <c:dLbls>
          <c:showLegendKey val="0"/>
          <c:showVal val="0"/>
          <c:showCatName val="0"/>
          <c:showSerName val="0"/>
          <c:showPercent val="0"/>
          <c:showBubbleSize val="0"/>
        </c:dLbls>
        <c:marker val="1"/>
        <c:smooth val="0"/>
        <c:axId val="2092140944"/>
        <c:axId val="2092131696"/>
      </c:lineChart>
      <c:dateAx>
        <c:axId val="209214094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31696"/>
        <c:crosses val="autoZero"/>
        <c:auto val="1"/>
        <c:lblOffset val="0"/>
        <c:baseTimeUnit val="months"/>
        <c:majorUnit val="12"/>
        <c:majorTimeUnit val="months"/>
      </c:dateAx>
      <c:valAx>
        <c:axId val="2092131696"/>
        <c:scaling>
          <c:orientation val="minMax"/>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40944"/>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49424030329543"/>
          <c:y val="8.7437669376693755E-2"/>
          <c:w val="0.82463728492271804"/>
          <c:h val="0.59909823848238486"/>
        </c:manualLayout>
      </c:layout>
      <c:barChart>
        <c:barDir val="col"/>
        <c:grouping val="clustered"/>
        <c:varyColors val="0"/>
        <c:ser>
          <c:idx val="1"/>
          <c:order val="1"/>
          <c:tx>
            <c:strRef>
              <c:f>'BDV usluga_dsz'!$G$11</c:f>
              <c:strCache>
                <c:ptCount val="1"/>
                <c:pt idx="0">
                  <c:v>Укупно</c:v>
                </c:pt>
              </c:strCache>
            </c:strRef>
          </c:tx>
          <c:spPr>
            <a:solidFill>
              <a:srgbClr val="002010"/>
            </a:solidFill>
            <a:ln w="19050">
              <a:noFill/>
            </a:ln>
            <a:effectLst/>
          </c:spPr>
          <c:invertIfNegative val="0"/>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usluga_dsz'!$G$18:$G$32</c:f>
              <c:numCache>
                <c:formatCode>0.0</c:formatCode>
                <c:ptCount val="15"/>
                <c:pt idx="0">
                  <c:v>64.7</c:v>
                </c:pt>
                <c:pt idx="1">
                  <c:v>81.3</c:v>
                </c:pt>
                <c:pt idx="2">
                  <c:v>91.8</c:v>
                </c:pt>
                <c:pt idx="3">
                  <c:v>113.4</c:v>
                </c:pt>
                <c:pt idx="4">
                  <c:v>65.7</c:v>
                </c:pt>
                <c:pt idx="5">
                  <c:v>97.1</c:v>
                </c:pt>
                <c:pt idx="6">
                  <c:v>108.3</c:v>
                </c:pt>
                <c:pt idx="7">
                  <c:v>127.8</c:v>
                </c:pt>
                <c:pt idx="8">
                  <c:v>77.400000000000006</c:v>
                </c:pt>
                <c:pt idx="9">
                  <c:v>107.1</c:v>
                </c:pt>
              </c:numCache>
            </c:numRef>
          </c:val>
          <c:extLst>
            <c:ext xmlns:c16="http://schemas.microsoft.com/office/drawing/2014/chart" uri="{C3380CC4-5D6E-409C-BE32-E72D297353CC}">
              <c16:uniqueId val="{00000000-5683-4873-A8A2-FC3047E7DD06}"/>
            </c:ext>
          </c:extLst>
        </c:ser>
        <c:ser>
          <c:idx val="2"/>
          <c:order val="2"/>
          <c:tx>
            <c:strRef>
              <c:f>'BDV usluga_dsz'!$H$11</c:f>
              <c:strCache>
                <c:ptCount val="1"/>
                <c:pt idx="0">
                  <c:v>Зграде</c:v>
                </c:pt>
              </c:strCache>
            </c:strRef>
          </c:tx>
          <c:spPr>
            <a:solidFill>
              <a:srgbClr val="EC008C"/>
            </a:solidFill>
            <a:ln w="19050">
              <a:noFill/>
            </a:ln>
            <a:effectLst/>
          </c:spPr>
          <c:invertIfNegative val="0"/>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usluga_dsz'!$H$18:$H$32</c:f>
              <c:numCache>
                <c:formatCode>0.0</c:formatCode>
                <c:ptCount val="15"/>
                <c:pt idx="0">
                  <c:v>79.900000000000006</c:v>
                </c:pt>
                <c:pt idx="1">
                  <c:v>91.7</c:v>
                </c:pt>
                <c:pt idx="2">
                  <c:v>94.2</c:v>
                </c:pt>
                <c:pt idx="3">
                  <c:v>129.1</c:v>
                </c:pt>
                <c:pt idx="4">
                  <c:v>65.8</c:v>
                </c:pt>
                <c:pt idx="5">
                  <c:v>104.3</c:v>
                </c:pt>
                <c:pt idx="6">
                  <c:v>101.1</c:v>
                </c:pt>
                <c:pt idx="7">
                  <c:v>127.9</c:v>
                </c:pt>
                <c:pt idx="8">
                  <c:v>71.599999999999994</c:v>
                </c:pt>
                <c:pt idx="9">
                  <c:v>102.8</c:v>
                </c:pt>
              </c:numCache>
            </c:numRef>
          </c:val>
          <c:extLst>
            <c:ext xmlns:c16="http://schemas.microsoft.com/office/drawing/2014/chart" uri="{C3380CC4-5D6E-409C-BE32-E72D297353CC}">
              <c16:uniqueId val="{00000001-5683-4873-A8A2-FC3047E7DD06}"/>
            </c:ext>
          </c:extLst>
        </c:ser>
        <c:ser>
          <c:idx val="5"/>
          <c:order val="3"/>
          <c:tx>
            <c:strRef>
              <c:f>'BDV usluga_dsz'!$I$11</c:f>
              <c:strCache>
                <c:ptCount val="1"/>
                <c:pt idx="0">
                  <c:v>Остале грађевине</c:v>
                </c:pt>
              </c:strCache>
            </c:strRef>
          </c:tx>
          <c:spPr>
            <a:solidFill>
              <a:srgbClr val="00A651"/>
            </a:solidFill>
            <a:ln w="22225">
              <a:noFill/>
            </a:ln>
            <a:effectLst/>
          </c:spPr>
          <c:invertIfNegative val="0"/>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usluga_dsz'!$I$18:$I$32</c:f>
              <c:numCache>
                <c:formatCode>0.0</c:formatCode>
                <c:ptCount val="15"/>
                <c:pt idx="0">
                  <c:v>57.1</c:v>
                </c:pt>
                <c:pt idx="1">
                  <c:v>76.2</c:v>
                </c:pt>
                <c:pt idx="2">
                  <c:v>90.7</c:v>
                </c:pt>
                <c:pt idx="3">
                  <c:v>105.7</c:v>
                </c:pt>
                <c:pt idx="4">
                  <c:v>65.7</c:v>
                </c:pt>
                <c:pt idx="5">
                  <c:v>93.6</c:v>
                </c:pt>
                <c:pt idx="6">
                  <c:v>111.8</c:v>
                </c:pt>
                <c:pt idx="7">
                  <c:v>127.7</c:v>
                </c:pt>
                <c:pt idx="8">
                  <c:v>80.3</c:v>
                </c:pt>
                <c:pt idx="9">
                  <c:v>109.2</c:v>
                </c:pt>
              </c:numCache>
            </c:numRef>
          </c:val>
          <c:extLst>
            <c:ext xmlns:c16="http://schemas.microsoft.com/office/drawing/2014/chart" uri="{C3380CC4-5D6E-409C-BE32-E72D297353CC}">
              <c16:uniqueId val="{00000002-5683-4873-A8A2-FC3047E7DD06}"/>
            </c:ext>
          </c:extLst>
        </c:ser>
        <c:dLbls>
          <c:showLegendKey val="0"/>
          <c:showVal val="0"/>
          <c:showCatName val="0"/>
          <c:showSerName val="0"/>
          <c:showPercent val="0"/>
          <c:showBubbleSize val="0"/>
        </c:dLbls>
        <c:gapWidth val="80"/>
        <c:axId val="429350464"/>
        <c:axId val="429347552"/>
      </c:barChart>
      <c:barChart>
        <c:barDir val="col"/>
        <c:grouping val="clustered"/>
        <c:varyColors val="0"/>
        <c:ser>
          <c:idx val="3"/>
          <c:order val="4"/>
          <c:tx>
            <c:strRef>
              <c:f>'BDV usluga_dsz'!$J$11</c:f>
              <c:strCache>
                <c:ptCount val="1"/>
                <c:pt idx="0">
                  <c:v>Q1-Q2 2024/Q1-Q2 2023 (десна скала)</c:v>
                </c:pt>
              </c:strCache>
            </c:strRef>
          </c:tx>
          <c:spPr>
            <a:solidFill>
              <a:schemeClr val="accent4"/>
            </a:solidFill>
            <a:ln>
              <a:noFill/>
            </a:ln>
            <a:effectLst/>
          </c:spPr>
          <c:invertIfNegative val="0"/>
          <c:dPt>
            <c:idx val="11"/>
            <c:invertIfNegative val="0"/>
            <c:bubble3D val="0"/>
            <c:spPr>
              <a:solidFill>
                <a:srgbClr val="002010"/>
              </a:solidFill>
              <a:ln>
                <a:noFill/>
              </a:ln>
              <a:effectLst/>
            </c:spPr>
            <c:extLst>
              <c:ext xmlns:c16="http://schemas.microsoft.com/office/drawing/2014/chart" uri="{C3380CC4-5D6E-409C-BE32-E72D297353CC}">
                <c16:uniqueId val="{00000004-5683-4873-A8A2-FC3047E7DD06}"/>
              </c:ext>
            </c:extLst>
          </c:dPt>
          <c:dPt>
            <c:idx val="12"/>
            <c:invertIfNegative val="0"/>
            <c:bubble3D val="0"/>
            <c:spPr>
              <a:solidFill>
                <a:srgbClr val="EC008C"/>
              </a:solidFill>
              <a:ln>
                <a:noFill/>
              </a:ln>
              <a:effectLst/>
            </c:spPr>
            <c:extLst>
              <c:ext xmlns:c16="http://schemas.microsoft.com/office/drawing/2014/chart" uri="{C3380CC4-5D6E-409C-BE32-E72D297353CC}">
                <c16:uniqueId val="{00000006-5683-4873-A8A2-FC3047E7DD06}"/>
              </c:ext>
            </c:extLst>
          </c:dPt>
          <c:dPt>
            <c:idx val="13"/>
            <c:invertIfNegative val="0"/>
            <c:bubble3D val="0"/>
            <c:spPr>
              <a:solidFill>
                <a:srgbClr val="00A651"/>
              </a:solidFill>
              <a:ln>
                <a:noFill/>
              </a:ln>
              <a:effectLst/>
            </c:spPr>
            <c:extLst>
              <c:ext xmlns:c16="http://schemas.microsoft.com/office/drawing/2014/chart" uri="{C3380CC4-5D6E-409C-BE32-E72D297353CC}">
                <c16:uniqueId val="{00000008-5683-4873-A8A2-FC3047E7DD06}"/>
              </c:ext>
            </c:extLst>
          </c:dPt>
          <c:dLbls>
            <c:dLbl>
              <c:idx val="11"/>
              <c:spPr>
                <a:noFill/>
                <a:ln>
                  <a:noFill/>
                </a:ln>
                <a:effectLst/>
              </c:spPr>
              <c:txPr>
                <a:bodyPr rot="0" spcFirstLastPara="1" vertOverflow="ellipsis" vert="horz" wrap="square" anchor="ctr" anchorCtr="1"/>
                <a:lstStyle/>
                <a:p>
                  <a:pPr>
                    <a:defRPr sz="700" b="0" i="0" u="none" strike="noStrike" kern="1200" baseline="0">
                      <a:solidFill>
                        <a:srgbClr val="00201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4-5683-4873-A8A2-FC3047E7DD06}"/>
                </c:ext>
              </c:extLst>
            </c:dLbl>
            <c:dLbl>
              <c:idx val="12"/>
              <c:layout>
                <c:manualLayout>
                  <c:x val="-4.6273220412100437E-3"/>
                  <c:y val="-4.0617089808104212E-17"/>
                </c:manualLayout>
              </c:layout>
              <c:spPr>
                <a:noFill/>
                <a:ln>
                  <a:noFill/>
                </a:ln>
                <a:effectLst/>
              </c:spPr>
              <c:txPr>
                <a:bodyPr rot="0" spcFirstLastPara="1" vertOverflow="ellipsis" vert="horz" wrap="square" anchor="ctr" anchorCtr="1"/>
                <a:lstStyle/>
                <a:p>
                  <a:pPr>
                    <a:defRPr sz="700" b="0" i="0" u="none" strike="noStrike" kern="1200" baseline="0">
                      <a:solidFill>
                        <a:srgbClr val="EC008C"/>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683-4873-A8A2-FC3047E7DD06}"/>
                </c:ext>
              </c:extLst>
            </c:dLbl>
            <c:dLbl>
              <c:idx val="13"/>
              <c:layout>
                <c:manualLayout>
                  <c:x val="0"/>
                  <c:y val="1.7208672086720868E-2"/>
                </c:manualLayout>
              </c:layout>
              <c:spPr>
                <a:noFill/>
                <a:ln>
                  <a:noFill/>
                </a:ln>
                <a:effectLst/>
              </c:spPr>
              <c:txPr>
                <a:bodyPr rot="0" spcFirstLastPara="1" vertOverflow="ellipsis" vert="horz" wrap="square" anchor="ctr" anchorCtr="1"/>
                <a:lstStyle/>
                <a:p>
                  <a:pPr>
                    <a:defRPr sz="700" b="0" i="0" u="none" strike="noStrike" kern="1200" baseline="0">
                      <a:solidFill>
                        <a:srgbClr val="00A651"/>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683-4873-A8A2-FC3047E7DD06}"/>
                </c:ext>
              </c:extLst>
            </c:dLbl>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usluga_dsz'!$J$18:$J$32</c:f>
              <c:numCache>
                <c:formatCode>General</c:formatCode>
                <c:ptCount val="15"/>
                <c:pt idx="11" formatCode="0.0">
                  <c:v>113.3</c:v>
                </c:pt>
                <c:pt idx="12" formatCode="0.0">
                  <c:v>102.6</c:v>
                </c:pt>
                <c:pt idx="13" formatCode="0.0">
                  <c:v>119</c:v>
                </c:pt>
              </c:numCache>
            </c:numRef>
          </c:val>
          <c:extLst>
            <c:ext xmlns:c16="http://schemas.microsoft.com/office/drawing/2014/chart" uri="{C3380CC4-5D6E-409C-BE32-E72D297353CC}">
              <c16:uniqueId val="{00000009-5683-4873-A8A2-FC3047E7DD06}"/>
            </c:ext>
          </c:extLst>
        </c:ser>
        <c:dLbls>
          <c:showLegendKey val="0"/>
          <c:showVal val="0"/>
          <c:showCatName val="0"/>
          <c:showSerName val="0"/>
          <c:showPercent val="0"/>
          <c:showBubbleSize val="0"/>
        </c:dLbls>
        <c:gapWidth val="30"/>
        <c:axId val="1942004127"/>
        <c:axId val="1941994975"/>
      </c:barChart>
      <c:lineChart>
        <c:grouping val="standard"/>
        <c:varyColors val="0"/>
        <c:ser>
          <c:idx val="0"/>
          <c:order val="0"/>
          <c:tx>
            <c:strRef>
              <c:f>'BDV usluga_dsz'!$F$11</c:f>
              <c:strCache>
                <c:ptCount val="1"/>
                <c:pt idx="0">
                  <c:v>100</c:v>
                </c:pt>
              </c:strCache>
            </c:strRef>
          </c:tx>
          <c:spPr>
            <a:ln w="6350" cap="rnd">
              <a:solidFill>
                <a:sysClr val="windowText" lastClr="000000"/>
              </a:solidFill>
              <a:round/>
            </a:ln>
            <a:effectLst/>
          </c:spPr>
          <c:marker>
            <c:symbol val="none"/>
          </c:marker>
          <c:cat>
            <c:strRef>
              <c:f>'BDV usluga_dsz'!$D$18:$D$32</c:f>
              <c:strCache>
                <c:ptCount val="14"/>
                <c:pt idx="0">
                  <c:v>2022 Q1</c:v>
                </c:pt>
                <c:pt idx="1">
                  <c:v>Q2</c:v>
                </c:pt>
                <c:pt idx="2">
                  <c:v>Q3</c:v>
                </c:pt>
                <c:pt idx="3">
                  <c:v>Q4</c:v>
                </c:pt>
                <c:pt idx="4">
                  <c:v>2023 Q1</c:v>
                </c:pt>
                <c:pt idx="5">
                  <c:v>Q2</c:v>
                </c:pt>
                <c:pt idx="6">
                  <c:v>Q3</c:v>
                </c:pt>
                <c:pt idx="7">
                  <c:v>Q4</c:v>
                </c:pt>
                <c:pt idx="8">
                  <c:v>2024 Q1</c:v>
                </c:pt>
                <c:pt idx="9">
                  <c:v>Q2</c:v>
                </c:pt>
                <c:pt idx="11">
                  <c:v>Укупно</c:v>
                </c:pt>
                <c:pt idx="12">
                  <c:v>Зграде</c:v>
                </c:pt>
                <c:pt idx="13">
                  <c:v>Ост. грађ.</c:v>
                </c:pt>
              </c:strCache>
            </c:strRef>
          </c:cat>
          <c:val>
            <c:numRef>
              <c:f>'BDV usluga_dsz'!$F$18:$F$32</c:f>
              <c:numCache>
                <c:formatCode>0</c:formatCode>
                <c:ptCount val="15"/>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numCache>
            </c:numRef>
          </c:val>
          <c:smooth val="0"/>
          <c:extLst>
            <c:ext xmlns:c16="http://schemas.microsoft.com/office/drawing/2014/chart" uri="{C3380CC4-5D6E-409C-BE32-E72D297353CC}">
              <c16:uniqueId val="{0000000A-5683-4873-A8A2-FC3047E7DD06}"/>
            </c:ext>
          </c:extLst>
        </c:ser>
        <c:dLbls>
          <c:showLegendKey val="0"/>
          <c:showVal val="0"/>
          <c:showCatName val="0"/>
          <c:showSerName val="0"/>
          <c:showPercent val="0"/>
          <c:showBubbleSize val="0"/>
        </c:dLbls>
        <c:marker val="1"/>
        <c:smooth val="0"/>
        <c:axId val="429350464"/>
        <c:axId val="429347552"/>
      </c:lineChart>
      <c:catAx>
        <c:axId val="4293504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700" b="0" i="0" u="none" strike="noStrike" kern="1200" baseline="0">
                <a:solidFill>
                  <a:schemeClr val="tx2"/>
                </a:solidFill>
                <a:latin typeface="+mn-lt"/>
                <a:ea typeface="+mn-ea"/>
                <a:cs typeface="+mn-cs"/>
              </a:defRPr>
            </a:pPr>
            <a:endParaRPr lang="sr-Latn-RS"/>
          </a:p>
        </c:txPr>
        <c:crossAx val="429347552"/>
        <c:crosses val="autoZero"/>
        <c:auto val="1"/>
        <c:lblAlgn val="ctr"/>
        <c:lblOffset val="0"/>
        <c:tickLblSkip val="1"/>
        <c:noMultiLvlLbl val="1"/>
      </c:catAx>
      <c:valAx>
        <c:axId val="429347552"/>
        <c:scaling>
          <c:orientation val="minMax"/>
          <c:min val="40"/>
        </c:scaling>
        <c:delete val="0"/>
        <c:axPos val="l"/>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a:t>Индекси, </a:t>
                </a:r>
                <a:r>
                  <a:rPr lang="en-GB"/>
                  <a:t>Ø2023=100</a:t>
                </a:r>
              </a:p>
            </c:rich>
          </c:tx>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429350464"/>
        <c:crosses val="autoZero"/>
        <c:crossBetween val="between"/>
        <c:majorUnit val="20"/>
      </c:valAx>
      <c:valAx>
        <c:axId val="1941994975"/>
        <c:scaling>
          <c:orientation val="minMax"/>
          <c:max val="160"/>
          <c:min val="40"/>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1942004127"/>
        <c:crosses val="max"/>
        <c:crossBetween val="between"/>
        <c:majorUnit val="20"/>
      </c:valAx>
      <c:catAx>
        <c:axId val="1942004127"/>
        <c:scaling>
          <c:orientation val="minMax"/>
        </c:scaling>
        <c:delete val="1"/>
        <c:axPos val="b"/>
        <c:numFmt formatCode="General" sourceLinked="1"/>
        <c:majorTickMark val="out"/>
        <c:minorTickMark val="none"/>
        <c:tickLblPos val="nextTo"/>
        <c:crossAx val="1941994975"/>
        <c:crosses val="autoZero"/>
        <c:auto val="1"/>
        <c:lblAlgn val="ctr"/>
        <c:lblOffset val="100"/>
        <c:noMultiLvlLbl val="0"/>
      </c:catAx>
      <c:spPr>
        <a:noFill/>
        <a:ln>
          <a:noFill/>
        </a:ln>
        <a:effectLst/>
      </c:spPr>
    </c:plotArea>
    <c:legend>
      <c:legendPos val="b"/>
      <c:legendEntry>
        <c:idx val="3"/>
        <c:delete val="1"/>
      </c:legendEntry>
      <c:legendEntry>
        <c:idx val="4"/>
        <c:delete val="1"/>
      </c:legendEntry>
      <c:layout>
        <c:manualLayout>
          <c:xMode val="edge"/>
          <c:yMode val="edge"/>
          <c:x val="7.5787037037037042E-2"/>
          <c:y val="0.92302439024390248"/>
          <c:w val="0.82630577427821528"/>
          <c:h val="7.0806233062330637E-2"/>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00">
          <a:solidFill>
            <a:schemeClr val="tx2"/>
          </a:solidFill>
        </a:defRPr>
      </a:pPr>
      <a:endParaRPr lang="sr-Latn-RS"/>
    </a:p>
  </c:txPr>
  <c:externalData r:id="rId4">
    <c:autoUpdate val="0"/>
  </c:externalData>
  <c:userShapes r:id="rId5"/>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4.2497000239980799E-2"/>
          <c:w val="0.88461960155100949"/>
          <c:h val="0.84012087087087106"/>
        </c:manualLayout>
      </c:layout>
      <c:lineChart>
        <c:grouping val="standard"/>
        <c:varyColors val="0"/>
        <c:ser>
          <c:idx val="0"/>
          <c:order val="0"/>
          <c:tx>
            <c:strRef>
              <c:f>Usluge!$E$5</c:f>
              <c:strCache>
                <c:ptCount val="1"/>
                <c:pt idx="0">
                  <c:v>y</c:v>
                </c:pt>
              </c:strCache>
            </c:strRef>
          </c:tx>
          <c:spPr>
            <a:ln w="12700" cap="rnd">
              <a:solidFill>
                <a:srgbClr val="7F3F98"/>
              </a:solidFill>
              <a:prstDash val="sysDash"/>
              <a:round/>
            </a:ln>
            <a:effectLst/>
          </c:spPr>
          <c:marker>
            <c:symbol val="none"/>
          </c:marker>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Usluge!$E$150:$E$193</c:f>
              <c:numCache>
                <c:formatCode>0.0</c:formatCode>
                <c:ptCount val="44"/>
                <c:pt idx="0">
                  <c:v>80.789410625000002</c:v>
                </c:pt>
                <c:pt idx="1">
                  <c:v>79.463020639999996</c:v>
                </c:pt>
                <c:pt idx="2">
                  <c:v>88.138167358999993</c:v>
                </c:pt>
                <c:pt idx="3">
                  <c:v>96.133309577000006</c:v>
                </c:pt>
                <c:pt idx="4">
                  <c:v>96.590212512999997</c:v>
                </c:pt>
                <c:pt idx="5">
                  <c:v>99.383530497999999</c:v>
                </c:pt>
                <c:pt idx="6">
                  <c:v>102.262921988</c:v>
                </c:pt>
                <c:pt idx="7">
                  <c:v>101.21322044999999</c:v>
                </c:pt>
                <c:pt idx="8">
                  <c:v>96.501560611000002</c:v>
                </c:pt>
                <c:pt idx="9">
                  <c:v>101.61476284699999</c:v>
                </c:pt>
                <c:pt idx="10">
                  <c:v>100.013267924</c:v>
                </c:pt>
                <c:pt idx="11">
                  <c:v>109.694850485</c:v>
                </c:pt>
                <c:pt idx="12">
                  <c:v>85.569490203000001</c:v>
                </c:pt>
                <c:pt idx="13">
                  <c:v>87.017313845999993</c:v>
                </c:pt>
                <c:pt idx="14">
                  <c:v>105.407171069</c:v>
                </c:pt>
                <c:pt idx="15">
                  <c:v>103.493950837</c:v>
                </c:pt>
                <c:pt idx="16">
                  <c:v>103.596278798</c:v>
                </c:pt>
                <c:pt idx="17">
                  <c:v>104.51723044800001</c:v>
                </c:pt>
                <c:pt idx="18">
                  <c:v>107.183281245</c:v>
                </c:pt>
                <c:pt idx="19">
                  <c:v>105.730200415</c:v>
                </c:pt>
                <c:pt idx="20">
                  <c:v>102.18396651099999</c:v>
                </c:pt>
                <c:pt idx="21">
                  <c:v>106.605745359</c:v>
                </c:pt>
                <c:pt idx="22">
                  <c:v>101.59167526500001</c:v>
                </c:pt>
                <c:pt idx="23">
                  <c:v>110.41187004299999</c:v>
                </c:pt>
                <c:pt idx="24">
                  <c:v>87.616435339999995</c:v>
                </c:pt>
                <c:pt idx="25">
                  <c:v>84.112549134999995</c:v>
                </c:pt>
                <c:pt idx="26">
                  <c:v>96.262836078999996</c:v>
                </c:pt>
                <c:pt idx="27">
                  <c:v>97.671147641999994</c:v>
                </c:pt>
                <c:pt idx="28">
                  <c:v>97.200922383000005</c:v>
                </c:pt>
                <c:pt idx="29">
                  <c:v>98.335551769000006</c:v>
                </c:pt>
                <c:pt idx="30">
                  <c:v>103.97350993400001</c:v>
                </c:pt>
                <c:pt idx="31">
                  <c:v>104.476848299</c:v>
                </c:pt>
                <c:pt idx="32">
                  <c:v>102.12330519299999</c:v>
                </c:pt>
                <c:pt idx="33">
                  <c:v>106.932719366</c:v>
                </c:pt>
                <c:pt idx="34">
                  <c:v>105.602455871</c:v>
                </c:pt>
                <c:pt idx="35">
                  <c:v>114.40266052699999</c:v>
                </c:pt>
                <c:pt idx="36">
                  <c:v>91.684604993999997</c:v>
                </c:pt>
                <c:pt idx="37">
                  <c:v>91.984604993999994</c:v>
                </c:pt>
                <c:pt idx="38">
                  <c:v>103.084604994</c:v>
                </c:pt>
                <c:pt idx="39">
                  <c:v>108.6</c:v>
                </c:pt>
                <c:pt idx="40">
                  <c:v>103.7</c:v>
                </c:pt>
                <c:pt idx="41">
                  <c:v>105.5</c:v>
                </c:pt>
                <c:pt idx="42">
                  <c:v>109.9</c:v>
                </c:pt>
                <c:pt idx="43">
                  <c:v>110</c:v>
                </c:pt>
              </c:numCache>
            </c:numRef>
          </c:val>
          <c:smooth val="0"/>
          <c:extLst>
            <c:ext xmlns:c16="http://schemas.microsoft.com/office/drawing/2014/chart" uri="{C3380CC4-5D6E-409C-BE32-E72D297353CC}">
              <c16:uniqueId val="{00000000-92CE-40D1-9FDD-39A692B59F1A}"/>
            </c:ext>
          </c:extLst>
        </c:ser>
        <c:ser>
          <c:idx val="1"/>
          <c:order val="1"/>
          <c:tx>
            <c:strRef>
              <c:f>Usluge!$F$5</c:f>
              <c:strCache>
                <c:ptCount val="1"/>
                <c:pt idx="0">
                  <c:v>sa</c:v>
                </c:pt>
              </c:strCache>
            </c:strRef>
          </c:tx>
          <c:spPr>
            <a:ln w="22225" cap="rnd">
              <a:solidFill>
                <a:srgbClr val="25AAE1"/>
              </a:solidFill>
              <a:round/>
            </a:ln>
            <a:effectLst/>
          </c:spPr>
          <c:marker>
            <c:symbol val="none"/>
          </c:marker>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Usluge!$F$150:$F$193</c:f>
              <c:numCache>
                <c:formatCode>0.0</c:formatCode>
                <c:ptCount val="44"/>
                <c:pt idx="0">
                  <c:v>92.278721160999993</c:v>
                </c:pt>
                <c:pt idx="1">
                  <c:v>93.786386242000006</c:v>
                </c:pt>
                <c:pt idx="2">
                  <c:v>90.434301361999999</c:v>
                </c:pt>
                <c:pt idx="3">
                  <c:v>95.207780619000005</c:v>
                </c:pt>
                <c:pt idx="4">
                  <c:v>97.664959572000001</c:v>
                </c:pt>
                <c:pt idx="5">
                  <c:v>97.692641742999996</c:v>
                </c:pt>
                <c:pt idx="6">
                  <c:v>97.058193711000001</c:v>
                </c:pt>
                <c:pt idx="7">
                  <c:v>97.657913751999999</c:v>
                </c:pt>
                <c:pt idx="8">
                  <c:v>95.863350034000007</c:v>
                </c:pt>
                <c:pt idx="9">
                  <c:v>96.629379420999996</c:v>
                </c:pt>
                <c:pt idx="10">
                  <c:v>98.666815541999995</c:v>
                </c:pt>
                <c:pt idx="11">
                  <c:v>99.07795084</c:v>
                </c:pt>
                <c:pt idx="12">
                  <c:v>98.262761127999994</c:v>
                </c:pt>
                <c:pt idx="13">
                  <c:v>102.303470472</c:v>
                </c:pt>
                <c:pt idx="14">
                  <c:v>107.80218659800001</c:v>
                </c:pt>
                <c:pt idx="15">
                  <c:v>101.876549852</c:v>
                </c:pt>
                <c:pt idx="16">
                  <c:v>103.660056869</c:v>
                </c:pt>
                <c:pt idx="17">
                  <c:v>102.90128376</c:v>
                </c:pt>
                <c:pt idx="18">
                  <c:v>102.879092937</c:v>
                </c:pt>
                <c:pt idx="19">
                  <c:v>101.15313959300001</c:v>
                </c:pt>
                <c:pt idx="20">
                  <c:v>101.578048004</c:v>
                </c:pt>
                <c:pt idx="21">
                  <c:v>101.39802537200001</c:v>
                </c:pt>
                <c:pt idx="22">
                  <c:v>100.10583004</c:v>
                </c:pt>
                <c:pt idx="23">
                  <c:v>99.121998324000003</c:v>
                </c:pt>
                <c:pt idx="24">
                  <c:v>99.851457746999998</c:v>
                </c:pt>
                <c:pt idx="25">
                  <c:v>98.734365581999995</c:v>
                </c:pt>
                <c:pt idx="26">
                  <c:v>97.963241396000001</c:v>
                </c:pt>
                <c:pt idx="27">
                  <c:v>97.300273709999999</c:v>
                </c:pt>
                <c:pt idx="28">
                  <c:v>97.51458332</c:v>
                </c:pt>
                <c:pt idx="29">
                  <c:v>96.913147191999997</c:v>
                </c:pt>
                <c:pt idx="30">
                  <c:v>99.784568844000006</c:v>
                </c:pt>
                <c:pt idx="31">
                  <c:v>100.27356016100001</c:v>
                </c:pt>
                <c:pt idx="32">
                  <c:v>101.104216833</c:v>
                </c:pt>
                <c:pt idx="33">
                  <c:v>102.303600828</c:v>
                </c:pt>
                <c:pt idx="34">
                  <c:v>103.72413874900001</c:v>
                </c:pt>
                <c:pt idx="35">
                  <c:v>104.04745056100001</c:v>
                </c:pt>
                <c:pt idx="36">
                  <c:v>103.099981353</c:v>
                </c:pt>
                <c:pt idx="37">
                  <c:v>104.01576877700001</c:v>
                </c:pt>
                <c:pt idx="38">
                  <c:v>105.337820377</c:v>
                </c:pt>
                <c:pt idx="39">
                  <c:v>106.594795985</c:v>
                </c:pt>
                <c:pt idx="40">
                  <c:v>104.515205045</c:v>
                </c:pt>
                <c:pt idx="41">
                  <c:v>105.166869564</c:v>
                </c:pt>
                <c:pt idx="42">
                  <c:v>104.882001415</c:v>
                </c:pt>
                <c:pt idx="43">
                  <c:v>104.81435639599999</c:v>
                </c:pt>
              </c:numCache>
            </c:numRef>
          </c:val>
          <c:smooth val="0"/>
          <c:extLst>
            <c:ext xmlns:c16="http://schemas.microsoft.com/office/drawing/2014/chart" uri="{C3380CC4-5D6E-409C-BE32-E72D297353CC}">
              <c16:uniqueId val="{00000001-92CE-40D1-9FDD-39A692B59F1A}"/>
            </c:ext>
          </c:extLst>
        </c:ser>
        <c:ser>
          <c:idx val="2"/>
          <c:order val="2"/>
          <c:tx>
            <c:strRef>
              <c:f>Usluge!$G$5</c:f>
              <c:strCache>
                <c:ptCount val="1"/>
                <c:pt idx="0">
                  <c:v>t</c:v>
                </c:pt>
              </c:strCache>
            </c:strRef>
          </c:tx>
          <c:spPr>
            <a:ln w="25400" cap="rnd">
              <a:solidFill>
                <a:srgbClr val="FF0000"/>
              </a:solidFill>
              <a:round/>
            </a:ln>
            <a:effectLst/>
          </c:spPr>
          <c:marker>
            <c:symbol val="none"/>
          </c:marker>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Usluge!$G$150:$G$193</c:f>
              <c:numCache>
                <c:formatCode>0.0</c:formatCode>
                <c:ptCount val="44"/>
                <c:pt idx="0">
                  <c:v>92.390762537000001</c:v>
                </c:pt>
                <c:pt idx="1">
                  <c:v>93.291111868000002</c:v>
                </c:pt>
                <c:pt idx="2">
                  <c:v>94.435790718999996</c:v>
                </c:pt>
                <c:pt idx="3">
                  <c:v>95.584664781000001</c:v>
                </c:pt>
                <c:pt idx="4">
                  <c:v>96.441792794999998</c:v>
                </c:pt>
                <c:pt idx="5">
                  <c:v>96.911504449000006</c:v>
                </c:pt>
                <c:pt idx="6">
                  <c:v>97.053815431999993</c:v>
                </c:pt>
                <c:pt idx="7">
                  <c:v>97.032064335000001</c:v>
                </c:pt>
                <c:pt idx="8">
                  <c:v>97.090439965000002</c:v>
                </c:pt>
                <c:pt idx="9">
                  <c:v>97.480294907000001</c:v>
                </c:pt>
                <c:pt idx="10">
                  <c:v>98.277478095000006</c:v>
                </c:pt>
                <c:pt idx="11">
                  <c:v>99.381694491000005</c:v>
                </c:pt>
                <c:pt idx="12">
                  <c:v>100.56231475200001</c:v>
                </c:pt>
                <c:pt idx="13">
                  <c:v>101.627062778</c:v>
                </c:pt>
                <c:pt idx="14">
                  <c:v>102.40997782300001</c:v>
                </c:pt>
                <c:pt idx="15">
                  <c:v>102.823364681</c:v>
                </c:pt>
                <c:pt idx="16">
                  <c:v>102.940121737</c:v>
                </c:pt>
                <c:pt idx="17">
                  <c:v>102.82393069299999</c:v>
                </c:pt>
                <c:pt idx="18">
                  <c:v>102.493634032</c:v>
                </c:pt>
                <c:pt idx="19">
                  <c:v>102.025213725</c:v>
                </c:pt>
                <c:pt idx="20">
                  <c:v>101.470959855</c:v>
                </c:pt>
                <c:pt idx="21">
                  <c:v>100.886592052</c:v>
                </c:pt>
                <c:pt idx="22">
                  <c:v>100.31179968399999</c:v>
                </c:pt>
                <c:pt idx="23">
                  <c:v>99.757626688000002</c:v>
                </c:pt>
                <c:pt idx="24">
                  <c:v>99.130902680000005</c:v>
                </c:pt>
                <c:pt idx="25">
                  <c:v>98.479166159000002</c:v>
                </c:pt>
                <c:pt idx="26">
                  <c:v>97.930217967000004</c:v>
                </c:pt>
                <c:pt idx="27">
                  <c:v>97.646641334999998</c:v>
                </c:pt>
                <c:pt idx="28">
                  <c:v>97.702649643000001</c:v>
                </c:pt>
                <c:pt idx="29">
                  <c:v>98.156822165999998</c:v>
                </c:pt>
                <c:pt idx="30">
                  <c:v>99.031446330999998</c:v>
                </c:pt>
                <c:pt idx="31">
                  <c:v>100.173583537</c:v>
                </c:pt>
                <c:pt idx="32">
                  <c:v>101.312206139</c:v>
                </c:pt>
                <c:pt idx="33">
                  <c:v>102.25930083599999</c:v>
                </c:pt>
                <c:pt idx="34">
                  <c:v>103.01303479400001</c:v>
                </c:pt>
                <c:pt idx="35">
                  <c:v>103.62278776399999</c:v>
                </c:pt>
                <c:pt idx="36">
                  <c:v>104.146556714</c:v>
                </c:pt>
                <c:pt idx="37">
                  <c:v>104.61042412499999</c:v>
                </c:pt>
                <c:pt idx="38">
                  <c:v>104.951328378</c:v>
                </c:pt>
                <c:pt idx="39">
                  <c:v>105.159903869</c:v>
                </c:pt>
                <c:pt idx="40">
                  <c:v>105.23694270599999</c:v>
                </c:pt>
                <c:pt idx="41">
                  <c:v>105.192322793</c:v>
                </c:pt>
                <c:pt idx="42">
                  <c:v>105.096385942</c:v>
                </c:pt>
                <c:pt idx="43">
                  <c:v>105.061885799</c:v>
                </c:pt>
              </c:numCache>
            </c:numRef>
          </c:val>
          <c:smooth val="0"/>
          <c:extLst>
            <c:ext xmlns:c16="http://schemas.microsoft.com/office/drawing/2014/chart" uri="{C3380CC4-5D6E-409C-BE32-E72D297353CC}">
              <c16:uniqueId val="{00000002-92CE-40D1-9FDD-39A692B59F1A}"/>
            </c:ext>
          </c:extLst>
        </c:ser>
        <c:ser>
          <c:idx val="3"/>
          <c:order val="3"/>
          <c:tx>
            <c:strRef>
              <c:f>Usluge!$H$5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9959285151087758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2CE-40D1-9FDD-39A692B59F1A}"/>
                </c:ext>
              </c:extLst>
            </c:dLbl>
            <c:dLbl>
              <c:idx val="12"/>
              <c:layout>
                <c:manualLayout>
                  <c:x val="7.4717578042577767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2CE-40D1-9FDD-39A692B59F1A}"/>
                </c:ext>
              </c:extLst>
            </c:dLbl>
            <c:dLbl>
              <c:idx val="24"/>
              <c:layout>
                <c:manualLayout>
                  <c:x val="7.7855522671493774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2CE-40D1-9FDD-39A692B59F1A}"/>
                </c:ext>
              </c:extLst>
            </c:dLbl>
            <c:dLbl>
              <c:idx val="36"/>
              <c:layout>
                <c:manualLayout>
                  <c:x val="-1.3459012061021338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2CE-40D1-9FDD-39A692B59F1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Usluge!$H$150:$H$193</c:f>
              <c:numCache>
                <c:formatCode>General</c:formatCode>
                <c:ptCount val="44"/>
                <c:pt idx="0">
                  <c:v>60</c:v>
                </c:pt>
                <c:pt idx="12">
                  <c:v>60</c:v>
                </c:pt>
                <c:pt idx="24">
                  <c:v>60</c:v>
                </c:pt>
                <c:pt idx="36">
                  <c:v>60</c:v>
                </c:pt>
              </c:numCache>
            </c:numRef>
          </c:val>
          <c:smooth val="0"/>
          <c:extLst>
            <c:ext xmlns:c16="http://schemas.microsoft.com/office/drawing/2014/chart" uri="{C3380CC4-5D6E-409C-BE32-E72D297353CC}">
              <c16:uniqueId val="{00000007-92CE-40D1-9FDD-39A692B59F1A}"/>
            </c:ext>
          </c:extLst>
        </c:ser>
        <c:ser>
          <c:idx val="4"/>
          <c:order val="4"/>
          <c:tx>
            <c:strRef>
              <c:f>Usluge!$I$5</c:f>
              <c:strCache>
                <c:ptCount val="1"/>
                <c:pt idx="0">
                  <c:v>Series5</c:v>
                </c:pt>
              </c:strCache>
            </c:strRef>
          </c:tx>
          <c:spPr>
            <a:ln w="28575" cap="rnd">
              <a:noFill/>
              <a:round/>
            </a:ln>
            <a:effectLst/>
          </c:spPr>
          <c:marker>
            <c:symbol val="none"/>
          </c:marker>
          <c:dLbls>
            <c:dLbl>
              <c:idx val="0"/>
              <c:tx>
                <c:rich>
                  <a:bodyPr/>
                  <a:lstStyle/>
                  <a:p>
                    <a:fld id="{2BA8C349-056D-47C5-A214-FE8178CC3B3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92CE-40D1-9FDD-39A692B59F1A}"/>
                </c:ext>
              </c:extLst>
            </c:dLbl>
            <c:dLbl>
              <c:idx val="1"/>
              <c:tx>
                <c:rich>
                  <a:bodyPr/>
                  <a:lstStyle/>
                  <a:p>
                    <a:fld id="{A94D7AFC-12E9-481D-A6F8-BB51567F387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92CE-40D1-9FDD-39A692B59F1A}"/>
                </c:ext>
              </c:extLst>
            </c:dLbl>
            <c:dLbl>
              <c:idx val="2"/>
              <c:tx>
                <c:rich>
                  <a:bodyPr/>
                  <a:lstStyle/>
                  <a:p>
                    <a:fld id="{425D7F0E-BE73-46F7-861F-0838D6FE739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92CE-40D1-9FDD-39A692B59F1A}"/>
                </c:ext>
              </c:extLst>
            </c:dLbl>
            <c:dLbl>
              <c:idx val="3"/>
              <c:tx>
                <c:rich>
                  <a:bodyPr/>
                  <a:lstStyle/>
                  <a:p>
                    <a:fld id="{D310D965-9206-4267-9D29-B7FC0273AC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92CE-40D1-9FDD-39A692B59F1A}"/>
                </c:ext>
              </c:extLst>
            </c:dLbl>
            <c:dLbl>
              <c:idx val="4"/>
              <c:tx>
                <c:rich>
                  <a:bodyPr/>
                  <a:lstStyle/>
                  <a:p>
                    <a:fld id="{9016E38B-D74D-4C9C-B500-B570C361660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92CE-40D1-9FDD-39A692B59F1A}"/>
                </c:ext>
              </c:extLst>
            </c:dLbl>
            <c:dLbl>
              <c:idx val="5"/>
              <c:tx>
                <c:rich>
                  <a:bodyPr/>
                  <a:lstStyle/>
                  <a:p>
                    <a:fld id="{AD50CCDB-FA04-44A1-994E-115F0840D19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92CE-40D1-9FDD-39A692B59F1A}"/>
                </c:ext>
              </c:extLst>
            </c:dLbl>
            <c:dLbl>
              <c:idx val="6"/>
              <c:tx>
                <c:rich>
                  <a:bodyPr/>
                  <a:lstStyle/>
                  <a:p>
                    <a:fld id="{8208BBE8-7D21-4E25-872A-11DED62ACA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92CE-40D1-9FDD-39A692B59F1A}"/>
                </c:ext>
              </c:extLst>
            </c:dLbl>
            <c:dLbl>
              <c:idx val="7"/>
              <c:tx>
                <c:rich>
                  <a:bodyPr/>
                  <a:lstStyle/>
                  <a:p>
                    <a:fld id="{E46149F3-BD8D-4AAD-BF91-1077DBAF718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92CE-40D1-9FDD-39A692B59F1A}"/>
                </c:ext>
              </c:extLst>
            </c:dLbl>
            <c:dLbl>
              <c:idx val="8"/>
              <c:tx>
                <c:rich>
                  <a:bodyPr/>
                  <a:lstStyle/>
                  <a:p>
                    <a:fld id="{8DFB5A21-5DE4-42E3-A31E-2D29B5E552F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92CE-40D1-9FDD-39A692B59F1A}"/>
                </c:ext>
              </c:extLst>
            </c:dLbl>
            <c:dLbl>
              <c:idx val="9"/>
              <c:tx>
                <c:rich>
                  <a:bodyPr/>
                  <a:lstStyle/>
                  <a:p>
                    <a:fld id="{3ACB6DE6-BEC4-4278-9CA1-5164D84791F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92CE-40D1-9FDD-39A692B59F1A}"/>
                </c:ext>
              </c:extLst>
            </c:dLbl>
            <c:dLbl>
              <c:idx val="10"/>
              <c:tx>
                <c:rich>
                  <a:bodyPr/>
                  <a:lstStyle/>
                  <a:p>
                    <a:fld id="{07D64FAF-563D-44F7-AFFF-88621E8C50A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92CE-40D1-9FDD-39A692B59F1A}"/>
                </c:ext>
              </c:extLst>
            </c:dLbl>
            <c:dLbl>
              <c:idx val="11"/>
              <c:tx>
                <c:rich>
                  <a:bodyPr/>
                  <a:lstStyle/>
                  <a:p>
                    <a:fld id="{8EE926CD-C534-4707-9CEF-8C269F2109C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92CE-40D1-9FDD-39A692B59F1A}"/>
                </c:ext>
              </c:extLst>
            </c:dLbl>
            <c:dLbl>
              <c:idx val="12"/>
              <c:tx>
                <c:rich>
                  <a:bodyPr/>
                  <a:lstStyle/>
                  <a:p>
                    <a:fld id="{FEF6F1F7-16ED-49FB-8AD3-95A32B86150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92CE-40D1-9FDD-39A692B59F1A}"/>
                </c:ext>
              </c:extLst>
            </c:dLbl>
            <c:dLbl>
              <c:idx val="13"/>
              <c:tx>
                <c:rich>
                  <a:bodyPr/>
                  <a:lstStyle/>
                  <a:p>
                    <a:fld id="{CB37A546-291D-4C08-8BC3-B1D69F52CF2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92CE-40D1-9FDD-39A692B59F1A}"/>
                </c:ext>
              </c:extLst>
            </c:dLbl>
            <c:dLbl>
              <c:idx val="14"/>
              <c:tx>
                <c:rich>
                  <a:bodyPr/>
                  <a:lstStyle/>
                  <a:p>
                    <a:fld id="{D88C77E0-37D3-491D-9C1A-C08520A25A8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92CE-40D1-9FDD-39A692B59F1A}"/>
                </c:ext>
              </c:extLst>
            </c:dLbl>
            <c:dLbl>
              <c:idx val="15"/>
              <c:tx>
                <c:rich>
                  <a:bodyPr/>
                  <a:lstStyle/>
                  <a:p>
                    <a:fld id="{E91E56E1-1243-40AF-BE87-7D619FE612D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92CE-40D1-9FDD-39A692B59F1A}"/>
                </c:ext>
              </c:extLst>
            </c:dLbl>
            <c:dLbl>
              <c:idx val="16"/>
              <c:tx>
                <c:rich>
                  <a:bodyPr/>
                  <a:lstStyle/>
                  <a:p>
                    <a:fld id="{40316E4B-C465-429F-B4BD-8D26511E1E1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92CE-40D1-9FDD-39A692B59F1A}"/>
                </c:ext>
              </c:extLst>
            </c:dLbl>
            <c:dLbl>
              <c:idx val="17"/>
              <c:tx>
                <c:rich>
                  <a:bodyPr/>
                  <a:lstStyle/>
                  <a:p>
                    <a:fld id="{01B8F3E5-2DBD-43C7-A676-A9B81C7F177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92CE-40D1-9FDD-39A692B59F1A}"/>
                </c:ext>
              </c:extLst>
            </c:dLbl>
            <c:dLbl>
              <c:idx val="18"/>
              <c:tx>
                <c:rich>
                  <a:bodyPr/>
                  <a:lstStyle/>
                  <a:p>
                    <a:fld id="{C42FDEA3-70C4-4E31-B0C7-284B37CC91C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92CE-40D1-9FDD-39A692B59F1A}"/>
                </c:ext>
              </c:extLst>
            </c:dLbl>
            <c:dLbl>
              <c:idx val="19"/>
              <c:tx>
                <c:rich>
                  <a:bodyPr/>
                  <a:lstStyle/>
                  <a:p>
                    <a:fld id="{D299C9FF-D5EC-445F-A4B4-84A495EB597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92CE-40D1-9FDD-39A692B59F1A}"/>
                </c:ext>
              </c:extLst>
            </c:dLbl>
            <c:dLbl>
              <c:idx val="20"/>
              <c:tx>
                <c:rich>
                  <a:bodyPr/>
                  <a:lstStyle/>
                  <a:p>
                    <a:fld id="{3D614C91-75C1-471F-8012-413F655BB72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92CE-40D1-9FDD-39A692B59F1A}"/>
                </c:ext>
              </c:extLst>
            </c:dLbl>
            <c:dLbl>
              <c:idx val="21"/>
              <c:tx>
                <c:rich>
                  <a:bodyPr/>
                  <a:lstStyle/>
                  <a:p>
                    <a:fld id="{3F3C74AA-F187-46FE-BFF2-4F6B1D442B0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92CE-40D1-9FDD-39A692B59F1A}"/>
                </c:ext>
              </c:extLst>
            </c:dLbl>
            <c:dLbl>
              <c:idx val="22"/>
              <c:tx>
                <c:rich>
                  <a:bodyPr/>
                  <a:lstStyle/>
                  <a:p>
                    <a:fld id="{938B7A55-10A5-4F1C-AAA8-6333F3C77B8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92CE-40D1-9FDD-39A692B59F1A}"/>
                </c:ext>
              </c:extLst>
            </c:dLbl>
            <c:dLbl>
              <c:idx val="23"/>
              <c:tx>
                <c:rich>
                  <a:bodyPr/>
                  <a:lstStyle/>
                  <a:p>
                    <a:fld id="{D5D58918-1C19-4DAB-8518-BC978D5A39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92CE-40D1-9FDD-39A692B59F1A}"/>
                </c:ext>
              </c:extLst>
            </c:dLbl>
            <c:dLbl>
              <c:idx val="24"/>
              <c:tx>
                <c:rich>
                  <a:bodyPr/>
                  <a:lstStyle/>
                  <a:p>
                    <a:fld id="{2338A6E2-6E73-4921-8FF1-9573A8AD495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92CE-40D1-9FDD-39A692B59F1A}"/>
                </c:ext>
              </c:extLst>
            </c:dLbl>
            <c:dLbl>
              <c:idx val="25"/>
              <c:tx>
                <c:rich>
                  <a:bodyPr/>
                  <a:lstStyle/>
                  <a:p>
                    <a:fld id="{394626A5-01E1-449B-A18C-43FF3F94B84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92CE-40D1-9FDD-39A692B59F1A}"/>
                </c:ext>
              </c:extLst>
            </c:dLbl>
            <c:dLbl>
              <c:idx val="26"/>
              <c:tx>
                <c:rich>
                  <a:bodyPr/>
                  <a:lstStyle/>
                  <a:p>
                    <a:fld id="{6D10ECC5-45FE-4A03-9939-E8F14071B57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92CE-40D1-9FDD-39A692B59F1A}"/>
                </c:ext>
              </c:extLst>
            </c:dLbl>
            <c:dLbl>
              <c:idx val="27"/>
              <c:tx>
                <c:rich>
                  <a:bodyPr/>
                  <a:lstStyle/>
                  <a:p>
                    <a:fld id="{11A37D9E-0FD2-4E5D-A2A6-F5FB89CD601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92CE-40D1-9FDD-39A692B59F1A}"/>
                </c:ext>
              </c:extLst>
            </c:dLbl>
            <c:dLbl>
              <c:idx val="28"/>
              <c:tx>
                <c:rich>
                  <a:bodyPr/>
                  <a:lstStyle/>
                  <a:p>
                    <a:fld id="{B2E75B76-8191-4CB1-9DEA-48C30C2C1FD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92CE-40D1-9FDD-39A692B59F1A}"/>
                </c:ext>
              </c:extLst>
            </c:dLbl>
            <c:dLbl>
              <c:idx val="29"/>
              <c:tx>
                <c:rich>
                  <a:bodyPr/>
                  <a:lstStyle/>
                  <a:p>
                    <a:fld id="{90CD91EF-FFE7-446D-A6A2-86964807ED0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92CE-40D1-9FDD-39A692B59F1A}"/>
                </c:ext>
              </c:extLst>
            </c:dLbl>
            <c:dLbl>
              <c:idx val="30"/>
              <c:tx>
                <c:rich>
                  <a:bodyPr/>
                  <a:lstStyle/>
                  <a:p>
                    <a:fld id="{25ED3B85-2A5B-47EB-B14A-CF705FFD847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92CE-40D1-9FDD-39A692B59F1A}"/>
                </c:ext>
              </c:extLst>
            </c:dLbl>
            <c:dLbl>
              <c:idx val="31"/>
              <c:tx>
                <c:rich>
                  <a:bodyPr/>
                  <a:lstStyle/>
                  <a:p>
                    <a:fld id="{70288FB2-49C3-4912-9BE2-95975D44338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92CE-40D1-9FDD-39A692B59F1A}"/>
                </c:ext>
              </c:extLst>
            </c:dLbl>
            <c:dLbl>
              <c:idx val="32"/>
              <c:tx>
                <c:rich>
                  <a:bodyPr/>
                  <a:lstStyle/>
                  <a:p>
                    <a:fld id="{A61DE7CF-4E3F-4025-9880-5CC0389AD98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92CE-40D1-9FDD-39A692B59F1A}"/>
                </c:ext>
              </c:extLst>
            </c:dLbl>
            <c:dLbl>
              <c:idx val="33"/>
              <c:tx>
                <c:rich>
                  <a:bodyPr/>
                  <a:lstStyle/>
                  <a:p>
                    <a:fld id="{B8091859-60D0-4A74-9D1A-C3D5B47A3B2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92CE-40D1-9FDD-39A692B59F1A}"/>
                </c:ext>
              </c:extLst>
            </c:dLbl>
            <c:dLbl>
              <c:idx val="34"/>
              <c:tx>
                <c:rich>
                  <a:bodyPr/>
                  <a:lstStyle/>
                  <a:p>
                    <a:fld id="{CD6AC50C-41B2-4670-887B-B5E6D03E417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92CE-40D1-9FDD-39A692B59F1A}"/>
                </c:ext>
              </c:extLst>
            </c:dLbl>
            <c:dLbl>
              <c:idx val="35"/>
              <c:tx>
                <c:rich>
                  <a:bodyPr/>
                  <a:lstStyle/>
                  <a:p>
                    <a:fld id="{5D921263-8467-4602-A4B7-7D3A8400D4B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92CE-40D1-9FDD-39A692B59F1A}"/>
                </c:ext>
              </c:extLst>
            </c:dLbl>
            <c:dLbl>
              <c:idx val="36"/>
              <c:tx>
                <c:rich>
                  <a:bodyPr/>
                  <a:lstStyle/>
                  <a:p>
                    <a:fld id="{47FEE5DE-19E3-425C-A84E-F2BFEB85D08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92CE-40D1-9FDD-39A692B59F1A}"/>
                </c:ext>
              </c:extLst>
            </c:dLbl>
            <c:dLbl>
              <c:idx val="37"/>
              <c:tx>
                <c:rich>
                  <a:bodyPr/>
                  <a:lstStyle/>
                  <a:p>
                    <a:fld id="{EAD6591C-8A43-404A-9952-90A2A58263F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92CE-40D1-9FDD-39A692B59F1A}"/>
                </c:ext>
              </c:extLst>
            </c:dLbl>
            <c:dLbl>
              <c:idx val="38"/>
              <c:tx>
                <c:rich>
                  <a:bodyPr/>
                  <a:lstStyle/>
                  <a:p>
                    <a:fld id="{47879957-330E-419E-910D-FB9AF45C142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92CE-40D1-9FDD-39A692B59F1A}"/>
                </c:ext>
              </c:extLst>
            </c:dLbl>
            <c:dLbl>
              <c:idx val="39"/>
              <c:tx>
                <c:rich>
                  <a:bodyPr/>
                  <a:lstStyle/>
                  <a:p>
                    <a:fld id="{D8542497-7A49-45FC-9C8D-E82BE997DB6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92CE-40D1-9FDD-39A692B59F1A}"/>
                </c:ext>
              </c:extLst>
            </c:dLbl>
            <c:dLbl>
              <c:idx val="40"/>
              <c:tx>
                <c:rich>
                  <a:bodyPr/>
                  <a:lstStyle/>
                  <a:p>
                    <a:fld id="{23CD5CC7-93EF-468B-823B-665CDF63ECB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92CE-40D1-9FDD-39A692B59F1A}"/>
                </c:ext>
              </c:extLst>
            </c:dLbl>
            <c:dLbl>
              <c:idx val="41"/>
              <c:tx>
                <c:rich>
                  <a:bodyPr/>
                  <a:lstStyle/>
                  <a:p>
                    <a:fld id="{806E31DE-C268-45B8-BFBE-35FA9F100FB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92CE-40D1-9FDD-39A692B59F1A}"/>
                </c:ext>
              </c:extLst>
            </c:dLbl>
            <c:dLbl>
              <c:idx val="42"/>
              <c:tx>
                <c:rich>
                  <a:bodyPr/>
                  <a:lstStyle/>
                  <a:p>
                    <a:fld id="{D2232DF3-EB90-4761-87D7-71E5435A7B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92CE-40D1-9FDD-39A692B59F1A}"/>
                </c:ext>
              </c:extLst>
            </c:dLbl>
            <c:dLbl>
              <c:idx val="43"/>
              <c:tx>
                <c:rich>
                  <a:bodyPr/>
                  <a:lstStyle/>
                  <a:p>
                    <a:fld id="{0F91E45F-FFC1-4BBD-B78A-757145277B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3-92CE-40D1-9FDD-39A692B59F1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Usluge!$A$150:$A$193</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Usluge!$I$150:$I$193</c:f>
              <c:numCache>
                <c:formatCode>General</c:formatCode>
                <c:ptCount val="44"/>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pt idx="40">
                  <c:v>60</c:v>
                </c:pt>
                <c:pt idx="41">
                  <c:v>60</c:v>
                </c:pt>
                <c:pt idx="42">
                  <c:v>60</c:v>
                </c:pt>
                <c:pt idx="43">
                  <c:v>60</c:v>
                </c:pt>
              </c:numCache>
            </c:numRef>
          </c:val>
          <c:smooth val="0"/>
          <c:extLst>
            <c:ext xmlns:c15="http://schemas.microsoft.com/office/drawing/2012/chart" uri="{02D57815-91ED-43cb-92C2-25804820EDAC}">
              <c15:datalabelsRange>
                <c15:f>Usluge!$J$150:$J$193</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4-92CE-40D1-9FDD-39A692B59F1A}"/>
            </c:ext>
          </c:extLst>
        </c:ser>
        <c:dLbls>
          <c:showLegendKey val="0"/>
          <c:showVal val="0"/>
          <c:showCatName val="0"/>
          <c:showSerName val="0"/>
          <c:showPercent val="0"/>
          <c:showBubbleSize val="0"/>
        </c:dLbls>
        <c:smooth val="0"/>
        <c:axId val="2092186640"/>
        <c:axId val="2092182288"/>
      </c:lineChart>
      <c:dateAx>
        <c:axId val="209218664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82288"/>
        <c:crosses val="autoZero"/>
        <c:auto val="1"/>
        <c:lblOffset val="0"/>
        <c:baseTimeUnit val="months"/>
      </c:dateAx>
      <c:valAx>
        <c:axId val="2092182288"/>
        <c:scaling>
          <c:orientation val="minMax"/>
          <c:max val="115"/>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664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7139027777777778"/>
          <c:h val="0.81151726726726725"/>
        </c:manualLayout>
      </c:layout>
      <c:lineChart>
        <c:grouping val="standard"/>
        <c:varyColors val="0"/>
        <c:ser>
          <c:idx val="0"/>
          <c:order val="0"/>
          <c:tx>
            <c:strRef>
              <c:f>Usluge!$L$5</c:f>
              <c:strCache>
                <c:ptCount val="1"/>
                <c:pt idx="0">
                  <c:v>y</c:v>
                </c:pt>
              </c:strCache>
            </c:strRef>
          </c:tx>
          <c:spPr>
            <a:ln w="12700" cap="rnd">
              <a:solidFill>
                <a:srgbClr val="7F3F98"/>
              </a:solidFill>
              <a:prstDash val="sysDash"/>
              <a:round/>
            </a:ln>
            <a:effectLst/>
          </c:spPr>
          <c:marker>
            <c:symbol val="none"/>
          </c:marker>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Usluge!$L$150:$L$192</c:f>
              <c:numCache>
                <c:formatCode>0.0</c:formatCode>
                <c:ptCount val="43"/>
                <c:pt idx="0">
                  <c:v>51.519301417999998</c:v>
                </c:pt>
                <c:pt idx="1">
                  <c:v>50.550244735</c:v>
                </c:pt>
                <c:pt idx="2">
                  <c:v>39.56760233</c:v>
                </c:pt>
                <c:pt idx="3">
                  <c:v>47.707678465000001</c:v>
                </c:pt>
                <c:pt idx="4">
                  <c:v>65.213893364</c:v>
                </c:pt>
                <c:pt idx="5">
                  <c:v>71.311516596000004</c:v>
                </c:pt>
                <c:pt idx="6">
                  <c:v>79.063970058999999</c:v>
                </c:pt>
                <c:pt idx="7">
                  <c:v>81.712724992000005</c:v>
                </c:pt>
                <c:pt idx="8">
                  <c:v>74.476052514000003</c:v>
                </c:pt>
                <c:pt idx="9">
                  <c:v>75.445109196999994</c:v>
                </c:pt>
                <c:pt idx="10">
                  <c:v>67.769364018999994</c:v>
                </c:pt>
                <c:pt idx="11">
                  <c:v>77.201515731000001</c:v>
                </c:pt>
                <c:pt idx="12">
                  <c:v>75.182253208000006</c:v>
                </c:pt>
                <c:pt idx="13">
                  <c:v>75.637936170000003</c:v>
                </c:pt>
                <c:pt idx="14">
                  <c:v>84.328947834000004</c:v>
                </c:pt>
                <c:pt idx="15">
                  <c:v>81.492933500999996</c:v>
                </c:pt>
                <c:pt idx="16">
                  <c:v>96.953785830000001</c:v>
                </c:pt>
                <c:pt idx="17">
                  <c:v>95.307067830999998</c:v>
                </c:pt>
                <c:pt idx="18">
                  <c:v>98.186733532999995</c:v>
                </c:pt>
                <c:pt idx="19">
                  <c:v>100.931263532</c:v>
                </c:pt>
                <c:pt idx="20">
                  <c:v>93.521032534</c:v>
                </c:pt>
                <c:pt idx="21">
                  <c:v>101.205716532</c:v>
                </c:pt>
                <c:pt idx="22">
                  <c:v>89.197224974999997</c:v>
                </c:pt>
                <c:pt idx="23">
                  <c:v>103.83471830400001</c:v>
                </c:pt>
                <c:pt idx="24">
                  <c:v>89.7</c:v>
                </c:pt>
                <c:pt idx="25">
                  <c:v>87.7</c:v>
                </c:pt>
                <c:pt idx="26">
                  <c:v>96.8</c:v>
                </c:pt>
                <c:pt idx="27">
                  <c:v>90.4</c:v>
                </c:pt>
                <c:pt idx="28">
                  <c:v>99.4</c:v>
                </c:pt>
                <c:pt idx="29">
                  <c:v>103.9</c:v>
                </c:pt>
                <c:pt idx="30">
                  <c:v>101</c:v>
                </c:pt>
                <c:pt idx="31">
                  <c:v>107.2</c:v>
                </c:pt>
                <c:pt idx="32">
                  <c:v>102.1</c:v>
                </c:pt>
                <c:pt idx="33">
                  <c:v>105.8</c:v>
                </c:pt>
                <c:pt idx="34">
                  <c:v>99.8</c:v>
                </c:pt>
                <c:pt idx="35">
                  <c:v>114.6</c:v>
                </c:pt>
                <c:pt idx="36">
                  <c:v>101.3</c:v>
                </c:pt>
                <c:pt idx="37">
                  <c:v>97.2</c:v>
                </c:pt>
                <c:pt idx="38">
                  <c:v>107.7</c:v>
                </c:pt>
                <c:pt idx="39">
                  <c:v>105.9</c:v>
                </c:pt>
                <c:pt idx="40">
                  <c:v>110.9</c:v>
                </c:pt>
                <c:pt idx="41">
                  <c:v>108.4</c:v>
                </c:pt>
                <c:pt idx="42">
                  <c:v>107</c:v>
                </c:pt>
              </c:numCache>
            </c:numRef>
          </c:val>
          <c:smooth val="0"/>
          <c:extLst>
            <c:ext xmlns:c16="http://schemas.microsoft.com/office/drawing/2014/chart" uri="{C3380CC4-5D6E-409C-BE32-E72D297353CC}">
              <c16:uniqueId val="{00000000-BB4D-4C4E-9537-A0E23B85AF1A}"/>
            </c:ext>
          </c:extLst>
        </c:ser>
        <c:ser>
          <c:idx val="1"/>
          <c:order val="1"/>
          <c:tx>
            <c:strRef>
              <c:f>Usluge!$M$5</c:f>
              <c:strCache>
                <c:ptCount val="1"/>
                <c:pt idx="0">
                  <c:v>sa</c:v>
                </c:pt>
              </c:strCache>
            </c:strRef>
          </c:tx>
          <c:spPr>
            <a:ln w="22225" cap="rnd">
              <a:solidFill>
                <a:srgbClr val="25AAE1"/>
              </a:solidFill>
              <a:round/>
            </a:ln>
            <a:effectLst/>
          </c:spPr>
          <c:marker>
            <c:symbol val="none"/>
          </c:marker>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Usluge!$M$150:$M$192</c:f>
              <c:numCache>
                <c:formatCode>0.0</c:formatCode>
                <c:ptCount val="43"/>
                <c:pt idx="0">
                  <c:v>52.665714485999999</c:v>
                </c:pt>
                <c:pt idx="1">
                  <c:v>52.910783119999998</c:v>
                </c:pt>
                <c:pt idx="2">
                  <c:v>38.447185587</c:v>
                </c:pt>
                <c:pt idx="3">
                  <c:v>50.037117641999998</c:v>
                </c:pt>
                <c:pt idx="4">
                  <c:v>62.221887244999998</c:v>
                </c:pt>
                <c:pt idx="5">
                  <c:v>68.254642305000004</c:v>
                </c:pt>
                <c:pt idx="6">
                  <c:v>76.584198942</c:v>
                </c:pt>
                <c:pt idx="7">
                  <c:v>77.594081466999995</c:v>
                </c:pt>
                <c:pt idx="8">
                  <c:v>74.845781074000001</c:v>
                </c:pt>
                <c:pt idx="9">
                  <c:v>75.341172503999999</c:v>
                </c:pt>
                <c:pt idx="10">
                  <c:v>74.474291504999997</c:v>
                </c:pt>
                <c:pt idx="11">
                  <c:v>74.806554532000007</c:v>
                </c:pt>
                <c:pt idx="12">
                  <c:v>77.946968369999993</c:v>
                </c:pt>
                <c:pt idx="13">
                  <c:v>80.548979519</c:v>
                </c:pt>
                <c:pt idx="14">
                  <c:v>82.847231359999995</c:v>
                </c:pt>
                <c:pt idx="15">
                  <c:v>85.607689282999999</c:v>
                </c:pt>
                <c:pt idx="16">
                  <c:v>92.668980547000004</c:v>
                </c:pt>
                <c:pt idx="17">
                  <c:v>91.328159607000003</c:v>
                </c:pt>
                <c:pt idx="18">
                  <c:v>95.302103904999996</c:v>
                </c:pt>
                <c:pt idx="19">
                  <c:v>95.368803506000006</c:v>
                </c:pt>
                <c:pt idx="20">
                  <c:v>94.639153610999998</c:v>
                </c:pt>
                <c:pt idx="21">
                  <c:v>99.358053552000001</c:v>
                </c:pt>
                <c:pt idx="22">
                  <c:v>96.850607366999995</c:v>
                </c:pt>
                <c:pt idx="23">
                  <c:v>98.388550168999998</c:v>
                </c:pt>
                <c:pt idx="24">
                  <c:v>94.400013173000005</c:v>
                </c:pt>
                <c:pt idx="25">
                  <c:v>95.015182918999997</c:v>
                </c:pt>
                <c:pt idx="26">
                  <c:v>95.932276650000006</c:v>
                </c:pt>
                <c:pt idx="27">
                  <c:v>94.695501625999995</c:v>
                </c:pt>
                <c:pt idx="28">
                  <c:v>95.575484302999996</c:v>
                </c:pt>
                <c:pt idx="29">
                  <c:v>99.665800790999995</c:v>
                </c:pt>
                <c:pt idx="30">
                  <c:v>98.632545553</c:v>
                </c:pt>
                <c:pt idx="31">
                  <c:v>101.109695515</c:v>
                </c:pt>
                <c:pt idx="32">
                  <c:v>103.1099856</c:v>
                </c:pt>
                <c:pt idx="33">
                  <c:v>103.271869622</c:v>
                </c:pt>
                <c:pt idx="34">
                  <c:v>107.005320666</c:v>
                </c:pt>
                <c:pt idx="35">
                  <c:v>107.370291372</c:v>
                </c:pt>
                <c:pt idx="36">
                  <c:v>107.201481094</c:v>
                </c:pt>
                <c:pt idx="37">
                  <c:v>106.468611846</c:v>
                </c:pt>
                <c:pt idx="38">
                  <c:v>107.14415282100001</c:v>
                </c:pt>
                <c:pt idx="39">
                  <c:v>109.776776575</c:v>
                </c:pt>
                <c:pt idx="40">
                  <c:v>106.90736292</c:v>
                </c:pt>
                <c:pt idx="41">
                  <c:v>104.871078129</c:v>
                </c:pt>
                <c:pt idx="42">
                  <c:v>105.267075873</c:v>
                </c:pt>
              </c:numCache>
            </c:numRef>
          </c:val>
          <c:smooth val="0"/>
          <c:extLst>
            <c:ext xmlns:c16="http://schemas.microsoft.com/office/drawing/2014/chart" uri="{C3380CC4-5D6E-409C-BE32-E72D297353CC}">
              <c16:uniqueId val="{00000001-BB4D-4C4E-9537-A0E23B85AF1A}"/>
            </c:ext>
          </c:extLst>
        </c:ser>
        <c:ser>
          <c:idx val="2"/>
          <c:order val="2"/>
          <c:tx>
            <c:strRef>
              <c:f>Usluge!$N$5</c:f>
              <c:strCache>
                <c:ptCount val="1"/>
                <c:pt idx="0">
                  <c:v>t</c:v>
                </c:pt>
              </c:strCache>
            </c:strRef>
          </c:tx>
          <c:spPr>
            <a:ln w="25400" cap="rnd">
              <a:solidFill>
                <a:srgbClr val="FF0000"/>
              </a:solidFill>
              <a:round/>
            </a:ln>
            <a:effectLst/>
          </c:spPr>
          <c:marker>
            <c:symbol val="none"/>
          </c:marker>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Usluge!$N$150:$N$192</c:f>
              <c:numCache>
                <c:formatCode>0.0</c:formatCode>
                <c:ptCount val="43"/>
                <c:pt idx="0">
                  <c:v>50.187777132000001</c:v>
                </c:pt>
                <c:pt idx="1">
                  <c:v>52.731027861000001</c:v>
                </c:pt>
                <c:pt idx="2">
                  <c:v>55.462935555000001</c:v>
                </c:pt>
                <c:pt idx="3">
                  <c:v>58.872588749000002</c:v>
                </c:pt>
                <c:pt idx="4">
                  <c:v>63.021015159000001</c:v>
                </c:pt>
                <c:pt idx="5">
                  <c:v>67.317580488000004</c:v>
                </c:pt>
                <c:pt idx="6">
                  <c:v>71.039593332999999</c:v>
                </c:pt>
                <c:pt idx="7">
                  <c:v>73.551893265999993</c:v>
                </c:pt>
                <c:pt idx="8">
                  <c:v>74.639171727999994</c:v>
                </c:pt>
                <c:pt idx="9">
                  <c:v>74.808109493000003</c:v>
                </c:pt>
                <c:pt idx="10">
                  <c:v>74.990275655999994</c:v>
                </c:pt>
                <c:pt idx="11">
                  <c:v>75.825523122000007</c:v>
                </c:pt>
                <c:pt idx="12">
                  <c:v>77.504801014999998</c:v>
                </c:pt>
                <c:pt idx="13">
                  <c:v>80.113863742000007</c:v>
                </c:pt>
                <c:pt idx="14">
                  <c:v>83.221819628000006</c:v>
                </c:pt>
                <c:pt idx="15">
                  <c:v>86.492341347999997</c:v>
                </c:pt>
                <c:pt idx="16">
                  <c:v>89.739757127999994</c:v>
                </c:pt>
                <c:pt idx="17">
                  <c:v>92.367569599999996</c:v>
                </c:pt>
                <c:pt idx="18">
                  <c:v>94.213979382000005</c:v>
                </c:pt>
                <c:pt idx="19">
                  <c:v>95.388844331000001</c:v>
                </c:pt>
                <c:pt idx="20">
                  <c:v>96.434478956000007</c:v>
                </c:pt>
                <c:pt idx="21">
                  <c:v>97.265084207000001</c:v>
                </c:pt>
                <c:pt idx="22">
                  <c:v>97.371303131000005</c:v>
                </c:pt>
                <c:pt idx="23">
                  <c:v>96.903769619000002</c:v>
                </c:pt>
                <c:pt idx="24">
                  <c:v>95.994757820999993</c:v>
                </c:pt>
                <c:pt idx="25">
                  <c:v>95.088769896000002</c:v>
                </c:pt>
                <c:pt idx="26">
                  <c:v>94.925911118000002</c:v>
                </c:pt>
                <c:pt idx="27">
                  <c:v>95.438879915000001</c:v>
                </c:pt>
                <c:pt idx="28">
                  <c:v>96.527578864999995</c:v>
                </c:pt>
                <c:pt idx="29">
                  <c:v>97.927699410000002</c:v>
                </c:pt>
                <c:pt idx="30">
                  <c:v>99.498600190999994</c:v>
                </c:pt>
                <c:pt idx="31">
                  <c:v>101.070366652</c:v>
                </c:pt>
                <c:pt idx="32">
                  <c:v>102.68313957300001</c:v>
                </c:pt>
                <c:pt idx="33">
                  <c:v>104.476958552</c:v>
                </c:pt>
                <c:pt idx="34">
                  <c:v>106.068010429</c:v>
                </c:pt>
                <c:pt idx="35">
                  <c:v>106.83689457</c:v>
                </c:pt>
                <c:pt idx="36">
                  <c:v>107.21306660499999</c:v>
                </c:pt>
                <c:pt idx="37">
                  <c:v>107.528384471</c:v>
                </c:pt>
                <c:pt idx="38">
                  <c:v>107.74687028699999</c:v>
                </c:pt>
                <c:pt idx="39">
                  <c:v>107.673348895</c:v>
                </c:pt>
                <c:pt idx="40">
                  <c:v>106.972744706</c:v>
                </c:pt>
                <c:pt idx="41">
                  <c:v>105.978938243</c:v>
                </c:pt>
                <c:pt idx="42">
                  <c:v>105.36286989200001</c:v>
                </c:pt>
              </c:numCache>
            </c:numRef>
          </c:val>
          <c:smooth val="0"/>
          <c:extLst>
            <c:ext xmlns:c16="http://schemas.microsoft.com/office/drawing/2014/chart" uri="{C3380CC4-5D6E-409C-BE32-E72D297353CC}">
              <c16:uniqueId val="{00000002-BB4D-4C4E-9537-A0E23B85AF1A}"/>
            </c:ext>
          </c:extLst>
        </c:ser>
        <c:ser>
          <c:idx val="3"/>
          <c:order val="3"/>
          <c:tx>
            <c:strRef>
              <c:f>Usluge!$O$5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8.6366666666666619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B4D-4C4E-9537-A0E23B85AF1A}"/>
                </c:ext>
              </c:extLst>
            </c:dLbl>
            <c:dLbl>
              <c:idx val="12"/>
              <c:layout>
                <c:manualLayout>
                  <c:x val="8.0963888888888891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B4D-4C4E-9537-A0E23B85AF1A}"/>
                </c:ext>
              </c:extLst>
            </c:dLbl>
            <c:dLbl>
              <c:idx val="24"/>
              <c:layout>
                <c:manualLayout>
                  <c:x val="8.2340625000000001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B4D-4C4E-9537-A0E23B85AF1A}"/>
                </c:ext>
              </c:extLst>
            </c:dLbl>
            <c:dLbl>
              <c:idx val="36"/>
              <c:layout>
                <c:manualLayout>
                  <c:x val="-3.6052083333333335E-3"/>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B4D-4C4E-9537-A0E23B85AF1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Usluge!$O$150:$O$192</c:f>
              <c:numCache>
                <c:formatCode>General</c:formatCode>
                <c:ptCount val="43"/>
                <c:pt idx="0">
                  <c:v>20</c:v>
                </c:pt>
                <c:pt idx="12">
                  <c:v>20</c:v>
                </c:pt>
                <c:pt idx="24">
                  <c:v>20</c:v>
                </c:pt>
                <c:pt idx="36">
                  <c:v>20</c:v>
                </c:pt>
              </c:numCache>
            </c:numRef>
          </c:val>
          <c:smooth val="0"/>
          <c:extLst>
            <c:ext xmlns:c16="http://schemas.microsoft.com/office/drawing/2014/chart" uri="{C3380CC4-5D6E-409C-BE32-E72D297353CC}">
              <c16:uniqueId val="{00000007-BB4D-4C4E-9537-A0E23B85AF1A}"/>
            </c:ext>
          </c:extLst>
        </c:ser>
        <c:ser>
          <c:idx val="4"/>
          <c:order val="4"/>
          <c:tx>
            <c:strRef>
              <c:f>Usluge!$P$5</c:f>
              <c:strCache>
                <c:ptCount val="1"/>
                <c:pt idx="0">
                  <c:v>Series5</c:v>
                </c:pt>
              </c:strCache>
            </c:strRef>
          </c:tx>
          <c:spPr>
            <a:ln w="25400" cap="rnd">
              <a:noFill/>
              <a:round/>
            </a:ln>
            <a:effectLst/>
          </c:spPr>
          <c:marker>
            <c:symbol val="none"/>
          </c:marker>
          <c:dLbls>
            <c:dLbl>
              <c:idx val="0"/>
              <c:tx>
                <c:rich>
                  <a:bodyPr/>
                  <a:lstStyle/>
                  <a:p>
                    <a:fld id="{06D30882-B8B2-46B3-8D72-083E46F0D6C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B4D-4C4E-9537-A0E23B85AF1A}"/>
                </c:ext>
              </c:extLst>
            </c:dLbl>
            <c:dLbl>
              <c:idx val="1"/>
              <c:tx>
                <c:rich>
                  <a:bodyPr/>
                  <a:lstStyle/>
                  <a:p>
                    <a:fld id="{6B489870-A16D-4004-912A-F345639C1BB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BB4D-4C4E-9537-A0E23B85AF1A}"/>
                </c:ext>
              </c:extLst>
            </c:dLbl>
            <c:dLbl>
              <c:idx val="2"/>
              <c:tx>
                <c:rich>
                  <a:bodyPr/>
                  <a:lstStyle/>
                  <a:p>
                    <a:fld id="{9905D8FA-EC10-4C46-A06C-670D039E261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BB4D-4C4E-9537-A0E23B85AF1A}"/>
                </c:ext>
              </c:extLst>
            </c:dLbl>
            <c:dLbl>
              <c:idx val="3"/>
              <c:tx>
                <c:rich>
                  <a:bodyPr/>
                  <a:lstStyle/>
                  <a:p>
                    <a:fld id="{98EC94EE-09B3-4D8C-84BB-79406CE65F5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B4D-4C4E-9537-A0E23B85AF1A}"/>
                </c:ext>
              </c:extLst>
            </c:dLbl>
            <c:dLbl>
              <c:idx val="4"/>
              <c:tx>
                <c:rich>
                  <a:bodyPr/>
                  <a:lstStyle/>
                  <a:p>
                    <a:fld id="{F1AFEECB-588E-402C-A104-7EF5634FE16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BB4D-4C4E-9537-A0E23B85AF1A}"/>
                </c:ext>
              </c:extLst>
            </c:dLbl>
            <c:dLbl>
              <c:idx val="5"/>
              <c:tx>
                <c:rich>
                  <a:bodyPr/>
                  <a:lstStyle/>
                  <a:p>
                    <a:fld id="{87EA5A46-9A9F-4C29-8390-4BCEE372EC1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BB4D-4C4E-9537-A0E23B85AF1A}"/>
                </c:ext>
              </c:extLst>
            </c:dLbl>
            <c:dLbl>
              <c:idx val="6"/>
              <c:tx>
                <c:rich>
                  <a:bodyPr/>
                  <a:lstStyle/>
                  <a:p>
                    <a:fld id="{24D1A342-5A74-42BD-8DCE-CDABE25932E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B4D-4C4E-9537-A0E23B85AF1A}"/>
                </c:ext>
              </c:extLst>
            </c:dLbl>
            <c:dLbl>
              <c:idx val="7"/>
              <c:tx>
                <c:rich>
                  <a:bodyPr/>
                  <a:lstStyle/>
                  <a:p>
                    <a:fld id="{EFB40C24-8D6B-4CCF-A7AD-068AE54AE1F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BB4D-4C4E-9537-A0E23B85AF1A}"/>
                </c:ext>
              </c:extLst>
            </c:dLbl>
            <c:dLbl>
              <c:idx val="8"/>
              <c:tx>
                <c:rich>
                  <a:bodyPr/>
                  <a:lstStyle/>
                  <a:p>
                    <a:fld id="{19A35399-58A9-4B7C-B9F6-C4151E4AE57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B4D-4C4E-9537-A0E23B85AF1A}"/>
                </c:ext>
              </c:extLst>
            </c:dLbl>
            <c:dLbl>
              <c:idx val="9"/>
              <c:tx>
                <c:rich>
                  <a:bodyPr/>
                  <a:lstStyle/>
                  <a:p>
                    <a:fld id="{3544C004-7251-4ED3-9A5F-09D5A5F80EE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B4D-4C4E-9537-A0E23B85AF1A}"/>
                </c:ext>
              </c:extLst>
            </c:dLbl>
            <c:dLbl>
              <c:idx val="10"/>
              <c:tx>
                <c:rich>
                  <a:bodyPr/>
                  <a:lstStyle/>
                  <a:p>
                    <a:fld id="{39BA01E8-C763-4F7D-812B-7BC35C60B9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BB4D-4C4E-9537-A0E23B85AF1A}"/>
                </c:ext>
              </c:extLst>
            </c:dLbl>
            <c:dLbl>
              <c:idx val="11"/>
              <c:tx>
                <c:rich>
                  <a:bodyPr/>
                  <a:lstStyle/>
                  <a:p>
                    <a:fld id="{F0A5A2FF-D620-4F52-9724-ED7CFA12CBE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BB4D-4C4E-9537-A0E23B85AF1A}"/>
                </c:ext>
              </c:extLst>
            </c:dLbl>
            <c:dLbl>
              <c:idx val="12"/>
              <c:tx>
                <c:rich>
                  <a:bodyPr/>
                  <a:lstStyle/>
                  <a:p>
                    <a:fld id="{D6C7DF3A-6267-4638-818D-FAD60363104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B4D-4C4E-9537-A0E23B85AF1A}"/>
                </c:ext>
              </c:extLst>
            </c:dLbl>
            <c:dLbl>
              <c:idx val="13"/>
              <c:tx>
                <c:rich>
                  <a:bodyPr/>
                  <a:lstStyle/>
                  <a:p>
                    <a:fld id="{D4EA5D9C-20D4-4137-80F4-5BBED426D1A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B4D-4C4E-9537-A0E23B85AF1A}"/>
                </c:ext>
              </c:extLst>
            </c:dLbl>
            <c:dLbl>
              <c:idx val="14"/>
              <c:tx>
                <c:rich>
                  <a:bodyPr/>
                  <a:lstStyle/>
                  <a:p>
                    <a:fld id="{52B1550A-7316-473D-B81A-742E01F404E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BB4D-4C4E-9537-A0E23B85AF1A}"/>
                </c:ext>
              </c:extLst>
            </c:dLbl>
            <c:dLbl>
              <c:idx val="15"/>
              <c:tx>
                <c:rich>
                  <a:bodyPr/>
                  <a:lstStyle/>
                  <a:p>
                    <a:fld id="{FF4246DA-ABE4-4C1E-8A83-9D059B8D134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B4D-4C4E-9537-A0E23B85AF1A}"/>
                </c:ext>
              </c:extLst>
            </c:dLbl>
            <c:dLbl>
              <c:idx val="16"/>
              <c:tx>
                <c:rich>
                  <a:bodyPr/>
                  <a:lstStyle/>
                  <a:p>
                    <a:fld id="{AEE46AF6-C11D-4491-A77D-1F498197333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BB4D-4C4E-9537-A0E23B85AF1A}"/>
                </c:ext>
              </c:extLst>
            </c:dLbl>
            <c:dLbl>
              <c:idx val="17"/>
              <c:tx>
                <c:rich>
                  <a:bodyPr/>
                  <a:lstStyle/>
                  <a:p>
                    <a:fld id="{52171A51-B0B8-4792-B58C-FE6C75AA7DF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BB4D-4C4E-9537-A0E23B85AF1A}"/>
                </c:ext>
              </c:extLst>
            </c:dLbl>
            <c:dLbl>
              <c:idx val="18"/>
              <c:tx>
                <c:rich>
                  <a:bodyPr/>
                  <a:lstStyle/>
                  <a:p>
                    <a:fld id="{3AC682A8-853C-46C7-AF73-D10591D0362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BB4D-4C4E-9537-A0E23B85AF1A}"/>
                </c:ext>
              </c:extLst>
            </c:dLbl>
            <c:dLbl>
              <c:idx val="19"/>
              <c:tx>
                <c:rich>
                  <a:bodyPr/>
                  <a:lstStyle/>
                  <a:p>
                    <a:fld id="{6FE3EA0F-0052-4684-B1D3-AC6A46883A8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BB4D-4C4E-9537-A0E23B85AF1A}"/>
                </c:ext>
              </c:extLst>
            </c:dLbl>
            <c:dLbl>
              <c:idx val="20"/>
              <c:tx>
                <c:rich>
                  <a:bodyPr/>
                  <a:lstStyle/>
                  <a:p>
                    <a:fld id="{A2CF4527-0BE3-4916-9A03-D1A2A24EAF7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B4D-4C4E-9537-A0E23B85AF1A}"/>
                </c:ext>
              </c:extLst>
            </c:dLbl>
            <c:dLbl>
              <c:idx val="21"/>
              <c:tx>
                <c:rich>
                  <a:bodyPr/>
                  <a:lstStyle/>
                  <a:p>
                    <a:fld id="{014F3718-4576-4BFC-9F85-A858EC9A5D9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BB4D-4C4E-9537-A0E23B85AF1A}"/>
                </c:ext>
              </c:extLst>
            </c:dLbl>
            <c:dLbl>
              <c:idx val="22"/>
              <c:tx>
                <c:rich>
                  <a:bodyPr/>
                  <a:lstStyle/>
                  <a:p>
                    <a:fld id="{9C097D4C-07EE-4CAF-8BC1-7132F7E20D9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B4D-4C4E-9537-A0E23B85AF1A}"/>
                </c:ext>
              </c:extLst>
            </c:dLbl>
            <c:dLbl>
              <c:idx val="23"/>
              <c:tx>
                <c:rich>
                  <a:bodyPr/>
                  <a:lstStyle/>
                  <a:p>
                    <a:fld id="{7B3E8A2B-8662-4117-845F-B4BAB33F9C6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BB4D-4C4E-9537-A0E23B85AF1A}"/>
                </c:ext>
              </c:extLst>
            </c:dLbl>
            <c:dLbl>
              <c:idx val="24"/>
              <c:tx>
                <c:rich>
                  <a:bodyPr/>
                  <a:lstStyle/>
                  <a:p>
                    <a:fld id="{ED0BB3B1-F6F2-475D-B620-6A0BC309094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BB4D-4C4E-9537-A0E23B85AF1A}"/>
                </c:ext>
              </c:extLst>
            </c:dLbl>
            <c:dLbl>
              <c:idx val="25"/>
              <c:tx>
                <c:rich>
                  <a:bodyPr/>
                  <a:lstStyle/>
                  <a:p>
                    <a:fld id="{74244F6F-BC71-41BB-909B-1300EC72360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BB4D-4C4E-9537-A0E23B85AF1A}"/>
                </c:ext>
              </c:extLst>
            </c:dLbl>
            <c:dLbl>
              <c:idx val="26"/>
              <c:tx>
                <c:rich>
                  <a:bodyPr/>
                  <a:lstStyle/>
                  <a:p>
                    <a:fld id="{CE6F95F2-CB18-40A3-9F10-1827511094B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BB4D-4C4E-9537-A0E23B85AF1A}"/>
                </c:ext>
              </c:extLst>
            </c:dLbl>
            <c:dLbl>
              <c:idx val="27"/>
              <c:tx>
                <c:rich>
                  <a:bodyPr/>
                  <a:lstStyle/>
                  <a:p>
                    <a:fld id="{68E437AA-1ABA-4F50-B7F5-2FC3728A06C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BB4D-4C4E-9537-A0E23B85AF1A}"/>
                </c:ext>
              </c:extLst>
            </c:dLbl>
            <c:dLbl>
              <c:idx val="28"/>
              <c:tx>
                <c:rich>
                  <a:bodyPr/>
                  <a:lstStyle/>
                  <a:p>
                    <a:fld id="{A31C7B41-FE09-4235-AE84-5A5059F8497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B4D-4C4E-9537-A0E23B85AF1A}"/>
                </c:ext>
              </c:extLst>
            </c:dLbl>
            <c:dLbl>
              <c:idx val="29"/>
              <c:tx>
                <c:rich>
                  <a:bodyPr/>
                  <a:lstStyle/>
                  <a:p>
                    <a:fld id="{B02DB92A-76EE-4438-AFF9-A28BECA5375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BB4D-4C4E-9537-A0E23B85AF1A}"/>
                </c:ext>
              </c:extLst>
            </c:dLbl>
            <c:dLbl>
              <c:idx val="30"/>
              <c:tx>
                <c:rich>
                  <a:bodyPr/>
                  <a:lstStyle/>
                  <a:p>
                    <a:fld id="{AC249315-EA00-4A47-8689-42C495FEC23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BB4D-4C4E-9537-A0E23B85AF1A}"/>
                </c:ext>
              </c:extLst>
            </c:dLbl>
            <c:dLbl>
              <c:idx val="31"/>
              <c:tx>
                <c:rich>
                  <a:bodyPr/>
                  <a:lstStyle/>
                  <a:p>
                    <a:fld id="{E38D493B-7A86-43C1-83A2-FE5AAC98FBB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BB4D-4C4E-9537-A0E23B85AF1A}"/>
                </c:ext>
              </c:extLst>
            </c:dLbl>
            <c:dLbl>
              <c:idx val="32"/>
              <c:tx>
                <c:rich>
                  <a:bodyPr/>
                  <a:lstStyle/>
                  <a:p>
                    <a:fld id="{A60376B5-6F08-4750-8391-9008DE3E8F9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BB4D-4C4E-9537-A0E23B85AF1A}"/>
                </c:ext>
              </c:extLst>
            </c:dLbl>
            <c:dLbl>
              <c:idx val="33"/>
              <c:tx>
                <c:rich>
                  <a:bodyPr/>
                  <a:lstStyle/>
                  <a:p>
                    <a:fld id="{8A0DFA6B-3CE9-40AE-B240-CD9A76517B0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BB4D-4C4E-9537-A0E23B85AF1A}"/>
                </c:ext>
              </c:extLst>
            </c:dLbl>
            <c:dLbl>
              <c:idx val="34"/>
              <c:tx>
                <c:rich>
                  <a:bodyPr/>
                  <a:lstStyle/>
                  <a:p>
                    <a:fld id="{0E7E2091-FD35-49F3-BFC8-8C548320920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B4D-4C4E-9537-A0E23B85AF1A}"/>
                </c:ext>
              </c:extLst>
            </c:dLbl>
            <c:dLbl>
              <c:idx val="35"/>
              <c:tx>
                <c:rich>
                  <a:bodyPr/>
                  <a:lstStyle/>
                  <a:p>
                    <a:fld id="{B8884CF0-6006-4466-87BA-B2EAE7024FB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B4D-4C4E-9537-A0E23B85AF1A}"/>
                </c:ext>
              </c:extLst>
            </c:dLbl>
            <c:dLbl>
              <c:idx val="36"/>
              <c:tx>
                <c:rich>
                  <a:bodyPr/>
                  <a:lstStyle/>
                  <a:p>
                    <a:fld id="{E83B3C80-680E-49D7-ADBC-193FC5A857B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B4D-4C4E-9537-A0E23B85AF1A}"/>
                </c:ext>
              </c:extLst>
            </c:dLbl>
            <c:dLbl>
              <c:idx val="37"/>
              <c:tx>
                <c:rich>
                  <a:bodyPr/>
                  <a:lstStyle/>
                  <a:p>
                    <a:fld id="{AA2FDF47-075C-46EE-B49D-7070A18D57D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BB4D-4C4E-9537-A0E23B85AF1A}"/>
                </c:ext>
              </c:extLst>
            </c:dLbl>
            <c:dLbl>
              <c:idx val="38"/>
              <c:tx>
                <c:rich>
                  <a:bodyPr/>
                  <a:lstStyle/>
                  <a:p>
                    <a:fld id="{C728ED33-30C1-4916-B961-49773747F96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BB4D-4C4E-9537-A0E23B85AF1A}"/>
                </c:ext>
              </c:extLst>
            </c:dLbl>
            <c:dLbl>
              <c:idx val="39"/>
              <c:tx>
                <c:rich>
                  <a:bodyPr/>
                  <a:lstStyle/>
                  <a:p>
                    <a:fld id="{0F2335F6-BA80-4423-B908-35DC8CD5A4A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BB4D-4C4E-9537-A0E23B85AF1A}"/>
                </c:ext>
              </c:extLst>
            </c:dLbl>
            <c:dLbl>
              <c:idx val="40"/>
              <c:tx>
                <c:rich>
                  <a:bodyPr/>
                  <a:lstStyle/>
                  <a:p>
                    <a:fld id="{B0C75DD0-6320-49AD-A337-8A843B7F23D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BB4D-4C4E-9537-A0E23B85AF1A}"/>
                </c:ext>
              </c:extLst>
            </c:dLbl>
            <c:dLbl>
              <c:idx val="41"/>
              <c:tx>
                <c:rich>
                  <a:bodyPr/>
                  <a:lstStyle/>
                  <a:p>
                    <a:fld id="{EEF51A62-D5A0-40FD-BE4B-BFB4D4735B5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BB4D-4C4E-9537-A0E23B85AF1A}"/>
                </c:ext>
              </c:extLst>
            </c:dLbl>
            <c:dLbl>
              <c:idx val="42"/>
              <c:tx>
                <c:rich>
                  <a:bodyPr/>
                  <a:lstStyle/>
                  <a:p>
                    <a:fld id="{75C8CFA4-72F2-47A6-801A-E0118AAB571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BB4D-4C4E-9537-A0E23B85AF1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Usluge!$A$150:$A$192</c:f>
              <c:numCache>
                <c:formatCode>yyyy</c:formatCode>
                <c:ptCount val="43"/>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numCache>
            </c:numRef>
          </c:cat>
          <c:val>
            <c:numRef>
              <c:f>Usluge!$P$150:$P$192</c:f>
              <c:numCache>
                <c:formatCode>General</c:formatCode>
                <c:ptCount val="43"/>
                <c:pt idx="0">
                  <c:v>20</c:v>
                </c:pt>
                <c:pt idx="1">
                  <c:v>20</c:v>
                </c:pt>
                <c:pt idx="2">
                  <c:v>20</c:v>
                </c:pt>
                <c:pt idx="3">
                  <c:v>20</c:v>
                </c:pt>
                <c:pt idx="4">
                  <c:v>20</c:v>
                </c:pt>
                <c:pt idx="5">
                  <c:v>20</c:v>
                </c:pt>
                <c:pt idx="6">
                  <c:v>20</c:v>
                </c:pt>
                <c:pt idx="7">
                  <c:v>20</c:v>
                </c:pt>
                <c:pt idx="8">
                  <c:v>20</c:v>
                </c:pt>
                <c:pt idx="9">
                  <c:v>20</c:v>
                </c:pt>
                <c:pt idx="10">
                  <c:v>20</c:v>
                </c:pt>
                <c:pt idx="11">
                  <c:v>20</c:v>
                </c:pt>
                <c:pt idx="12">
                  <c:v>20</c:v>
                </c:pt>
                <c:pt idx="13">
                  <c:v>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numCache>
            </c:numRef>
          </c:val>
          <c:smooth val="0"/>
          <c:extLst>
            <c:ext xmlns:c15="http://schemas.microsoft.com/office/drawing/2012/chart" uri="{02D57815-91ED-43cb-92C2-25804820EDAC}">
              <c15:datalabelsRange>
                <c15:f>Usluge!$J$150:$J$192</c15:f>
                <c15:dlblRangeCache>
                  <c:ptCount val="43"/>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3-BB4D-4C4E-9537-A0E23B85AF1A}"/>
            </c:ext>
          </c:extLst>
        </c:ser>
        <c:dLbls>
          <c:showLegendKey val="0"/>
          <c:showVal val="0"/>
          <c:showCatName val="0"/>
          <c:showSerName val="0"/>
          <c:showPercent val="0"/>
          <c:showBubbleSize val="0"/>
        </c:dLbls>
        <c:smooth val="0"/>
        <c:axId val="2092161072"/>
        <c:axId val="1828937552"/>
      </c:lineChart>
      <c:dateAx>
        <c:axId val="209216107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37552"/>
        <c:crosses val="autoZero"/>
        <c:auto val="1"/>
        <c:lblOffset val="0"/>
        <c:baseTimeUnit val="months"/>
        <c:majorUnit val="12"/>
        <c:majorTimeUnit val="months"/>
      </c:dateAx>
      <c:valAx>
        <c:axId val="1828937552"/>
        <c:scaling>
          <c:orientation val="minMax"/>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61072"/>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33333333333E-2"/>
          <c:y val="6.2713213213213215E-2"/>
          <c:w val="0.86257083333333318"/>
          <c:h val="0.8328986486486486"/>
        </c:manualLayout>
      </c:layout>
      <c:lineChart>
        <c:grouping val="standard"/>
        <c:varyColors val="0"/>
        <c:ser>
          <c:idx val="0"/>
          <c:order val="0"/>
          <c:tx>
            <c:strRef>
              <c:f>'BoP_izvoz usluga'!$S$5</c:f>
              <c:strCache>
                <c:ptCount val="1"/>
                <c:pt idx="0">
                  <c:v>y</c:v>
                </c:pt>
              </c:strCache>
            </c:strRef>
          </c:tx>
          <c:spPr>
            <a:ln w="12700" cap="rnd">
              <a:solidFill>
                <a:srgbClr val="7F3F98"/>
              </a:solidFill>
              <a:prstDash val="sysDash"/>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usluga'!$S$114:$S$157</c:f>
              <c:numCache>
                <c:formatCode>0.0</c:formatCode>
                <c:ptCount val="44"/>
                <c:pt idx="0">
                  <c:v>41.638786615287245</c:v>
                </c:pt>
                <c:pt idx="1">
                  <c:v>43.36831706164282</c:v>
                </c:pt>
                <c:pt idx="2">
                  <c:v>52.080326212726824</c:v>
                </c:pt>
                <c:pt idx="3">
                  <c:v>50.643074402606935</c:v>
                </c:pt>
                <c:pt idx="4">
                  <c:v>48.141994100404787</c:v>
                </c:pt>
                <c:pt idx="5">
                  <c:v>52.660798035729627</c:v>
                </c:pt>
                <c:pt idx="6">
                  <c:v>59.65416075960961</c:v>
                </c:pt>
                <c:pt idx="7">
                  <c:v>51.727437968478284</c:v>
                </c:pt>
                <c:pt idx="8">
                  <c:v>54.596359778369511</c:v>
                </c:pt>
                <c:pt idx="9">
                  <c:v>58.729079869219369</c:v>
                </c:pt>
                <c:pt idx="10">
                  <c:v>59.886041910531731</c:v>
                </c:pt>
                <c:pt idx="11">
                  <c:v>75.4953077154439</c:v>
                </c:pt>
                <c:pt idx="12">
                  <c:v>61.033435189362848</c:v>
                </c:pt>
                <c:pt idx="13">
                  <c:v>60.517944906266784</c:v>
                </c:pt>
                <c:pt idx="14">
                  <c:v>69.511249087923559</c:v>
                </c:pt>
                <c:pt idx="15">
                  <c:v>68.564365860901518</c:v>
                </c:pt>
                <c:pt idx="16">
                  <c:v>74.311737528870722</c:v>
                </c:pt>
                <c:pt idx="17">
                  <c:v>75.344297002482179</c:v>
                </c:pt>
                <c:pt idx="18">
                  <c:v>83.887789605793003</c:v>
                </c:pt>
                <c:pt idx="19">
                  <c:v>81.695950907357826</c:v>
                </c:pt>
                <c:pt idx="20">
                  <c:v>86.523991292261456</c:v>
                </c:pt>
                <c:pt idx="21">
                  <c:v>83.225282129116906</c:v>
                </c:pt>
                <c:pt idx="22">
                  <c:v>87.717211013153147</c:v>
                </c:pt>
                <c:pt idx="23">
                  <c:v>109.32909238160038</c:v>
                </c:pt>
                <c:pt idx="24">
                  <c:v>86.141726953013546</c:v>
                </c:pt>
                <c:pt idx="25">
                  <c:v>88.475226707070917</c:v>
                </c:pt>
                <c:pt idx="26">
                  <c:v>99.983176980761996</c:v>
                </c:pt>
                <c:pt idx="27">
                  <c:v>95.260246544844776</c:v>
                </c:pt>
                <c:pt idx="28">
                  <c:v>98.285081666245489</c:v>
                </c:pt>
                <c:pt idx="29">
                  <c:v>103.01934990033541</c:v>
                </c:pt>
                <c:pt idx="30">
                  <c:v>98.225877242755388</c:v>
                </c:pt>
                <c:pt idx="31">
                  <c:v>104.8199492985846</c:v>
                </c:pt>
                <c:pt idx="32">
                  <c:v>98.054380239004772</c:v>
                </c:pt>
                <c:pt idx="33">
                  <c:v>100.71575001622091</c:v>
                </c:pt>
                <c:pt idx="34">
                  <c:v>107.71335557702086</c:v>
                </c:pt>
                <c:pt idx="35">
                  <c:v>119.30587887414117</c:v>
                </c:pt>
                <c:pt idx="36">
                  <c:v>107.00836617309308</c:v>
                </c:pt>
                <c:pt idx="37">
                  <c:v>105.57862439056973</c:v>
                </c:pt>
                <c:pt idx="38">
                  <c:v>107.7269694809069</c:v>
                </c:pt>
                <c:pt idx="39">
                  <c:v>123.65770198955175</c:v>
                </c:pt>
                <c:pt idx="40">
                  <c:v>120.60016702473195</c:v>
                </c:pt>
                <c:pt idx="41">
                  <c:v>114.1184734059441</c:v>
                </c:pt>
                <c:pt idx="42">
                  <c:v>126.60441192905327</c:v>
                </c:pt>
                <c:pt idx="43">
                  <c:v>112.88331750623371</c:v>
                </c:pt>
              </c:numCache>
            </c:numRef>
          </c:val>
          <c:smooth val="0"/>
          <c:extLst>
            <c:ext xmlns:c16="http://schemas.microsoft.com/office/drawing/2014/chart" uri="{C3380CC4-5D6E-409C-BE32-E72D297353CC}">
              <c16:uniqueId val="{00000000-034C-482F-A556-A21228A07087}"/>
            </c:ext>
          </c:extLst>
        </c:ser>
        <c:ser>
          <c:idx val="1"/>
          <c:order val="1"/>
          <c:tx>
            <c:strRef>
              <c:f>'BoP_izvoz usluga'!$T$5</c:f>
              <c:strCache>
                <c:ptCount val="1"/>
                <c:pt idx="0">
                  <c:v>sa</c:v>
                </c:pt>
              </c:strCache>
            </c:strRef>
          </c:tx>
          <c:spPr>
            <a:ln w="22225" cap="rnd">
              <a:solidFill>
                <a:srgbClr val="25AAE1"/>
              </a:solidFill>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usluga'!$T$114:$T$157</c:f>
              <c:numCache>
                <c:formatCode>0.0</c:formatCode>
                <c:ptCount val="44"/>
                <c:pt idx="0">
                  <c:v>45.328555615069035</c:v>
                </c:pt>
                <c:pt idx="1">
                  <c:v>45.985880251898017</c:v>
                </c:pt>
                <c:pt idx="2">
                  <c:v>51.053682175585394</c:v>
                </c:pt>
                <c:pt idx="3">
                  <c:v>48.918798130481413</c:v>
                </c:pt>
                <c:pt idx="4">
                  <c:v>51.422541554320297</c:v>
                </c:pt>
                <c:pt idx="5">
                  <c:v>52.387354108470525</c:v>
                </c:pt>
                <c:pt idx="6">
                  <c:v>55.497462286737516</c:v>
                </c:pt>
                <c:pt idx="7">
                  <c:v>55.193208210936035</c:v>
                </c:pt>
                <c:pt idx="8">
                  <c:v>57.104576029788106</c:v>
                </c:pt>
                <c:pt idx="9">
                  <c:v>58.766310456057106</c:v>
                </c:pt>
                <c:pt idx="10">
                  <c:v>60.465008556646914</c:v>
                </c:pt>
                <c:pt idx="11">
                  <c:v>62.290253682290817</c:v>
                </c:pt>
                <c:pt idx="12">
                  <c:v>66.342211379470399</c:v>
                </c:pt>
                <c:pt idx="13">
                  <c:v>65.127680443970533</c:v>
                </c:pt>
                <c:pt idx="14">
                  <c:v>66.530311421522327</c:v>
                </c:pt>
                <c:pt idx="15">
                  <c:v>69.036187649500619</c:v>
                </c:pt>
                <c:pt idx="16">
                  <c:v>75.064074353181084</c:v>
                </c:pt>
                <c:pt idx="17">
                  <c:v>75.659672516029332</c:v>
                </c:pt>
                <c:pt idx="18">
                  <c:v>81.028528642084268</c:v>
                </c:pt>
                <c:pt idx="19">
                  <c:v>84.771137296375088</c:v>
                </c:pt>
                <c:pt idx="20">
                  <c:v>87.77903628741106</c:v>
                </c:pt>
                <c:pt idx="21">
                  <c:v>87.055369136093361</c:v>
                </c:pt>
                <c:pt idx="22">
                  <c:v>88.261166486543488</c:v>
                </c:pt>
                <c:pt idx="23">
                  <c:v>91.546879180772692</c:v>
                </c:pt>
                <c:pt idx="24">
                  <c:v>88.273898078123381</c:v>
                </c:pt>
                <c:pt idx="25">
                  <c:v>94.937772625700646</c:v>
                </c:pt>
                <c:pt idx="26">
                  <c:v>96.951068868421657</c:v>
                </c:pt>
                <c:pt idx="27">
                  <c:v>99.814335092424997</c:v>
                </c:pt>
                <c:pt idx="28">
                  <c:v>99.97537949425778</c:v>
                </c:pt>
                <c:pt idx="29">
                  <c:v>100.52935230732726</c:v>
                </c:pt>
                <c:pt idx="30">
                  <c:v>98.777710756926822</c:v>
                </c:pt>
                <c:pt idx="31">
                  <c:v>103.84821401158845</c:v>
                </c:pt>
                <c:pt idx="32">
                  <c:v>102.766874887478</c:v>
                </c:pt>
                <c:pt idx="33">
                  <c:v>100.79642019981533</c:v>
                </c:pt>
                <c:pt idx="34">
                  <c:v>106.82207405165524</c:v>
                </c:pt>
                <c:pt idx="35">
                  <c:v>105.7882894616899</c:v>
                </c:pt>
                <c:pt idx="36">
                  <c:v>112.04030172014095</c:v>
                </c:pt>
                <c:pt idx="37">
                  <c:v>111.14895798766084</c:v>
                </c:pt>
                <c:pt idx="38">
                  <c:v>109.68223385117678</c:v>
                </c:pt>
                <c:pt idx="39">
                  <c:v>117.65645436866475</c:v>
                </c:pt>
                <c:pt idx="40">
                  <c:v>124.22785586062683</c:v>
                </c:pt>
                <c:pt idx="41">
                  <c:v>119.81918861603505</c:v>
                </c:pt>
                <c:pt idx="42">
                  <c:v>120.60422282661945</c:v>
                </c:pt>
                <c:pt idx="43">
                  <c:v>112.73354702101041</c:v>
                </c:pt>
              </c:numCache>
            </c:numRef>
          </c:val>
          <c:smooth val="0"/>
          <c:extLst>
            <c:ext xmlns:c16="http://schemas.microsoft.com/office/drawing/2014/chart" uri="{C3380CC4-5D6E-409C-BE32-E72D297353CC}">
              <c16:uniqueId val="{00000001-034C-482F-A556-A21228A07087}"/>
            </c:ext>
          </c:extLst>
        </c:ser>
        <c:ser>
          <c:idx val="2"/>
          <c:order val="2"/>
          <c:tx>
            <c:strRef>
              <c:f>'BoP_izvoz usluga'!$U$5</c:f>
              <c:strCache>
                <c:ptCount val="1"/>
                <c:pt idx="0">
                  <c:v>t</c:v>
                </c:pt>
              </c:strCache>
            </c:strRef>
          </c:tx>
          <c:spPr>
            <a:ln w="25400" cap="rnd">
              <a:solidFill>
                <a:srgbClr val="FF0000"/>
              </a:solidFill>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usluga'!$U$114:$U$157</c:f>
              <c:numCache>
                <c:formatCode>0.0</c:formatCode>
                <c:ptCount val="44"/>
                <c:pt idx="0">
                  <c:v>45.771051438515975</c:v>
                </c:pt>
                <c:pt idx="1">
                  <c:v>47.164319993303792</c:v>
                </c:pt>
                <c:pt idx="2">
                  <c:v>48.573669509969129</c:v>
                </c:pt>
                <c:pt idx="3">
                  <c:v>50.00419272823796</c:v>
                </c:pt>
                <c:pt idx="4">
                  <c:v>51.450995788213994</c:v>
                </c:pt>
                <c:pt idx="5">
                  <c:v>52.881980344813755</c:v>
                </c:pt>
                <c:pt idx="6">
                  <c:v>54.24790413202097</c:v>
                </c:pt>
                <c:pt idx="7">
                  <c:v>55.677116050852241</c:v>
                </c:pt>
                <c:pt idx="8">
                  <c:v>57.284224202751361</c:v>
                </c:pt>
                <c:pt idx="9">
                  <c:v>59.029183848378487</c:v>
                </c:pt>
                <c:pt idx="10">
                  <c:v>60.701831033823325</c:v>
                </c:pt>
                <c:pt idx="11">
                  <c:v>62.370696325945715</c:v>
                </c:pt>
                <c:pt idx="12">
                  <c:v>64.03205696395338</c:v>
                </c:pt>
                <c:pt idx="13">
                  <c:v>65.784479510261107</c:v>
                </c:pt>
                <c:pt idx="14">
                  <c:v>67.79607747340502</c:v>
                </c:pt>
                <c:pt idx="15">
                  <c:v>70.366751079838096</c:v>
                </c:pt>
                <c:pt idx="16">
                  <c:v>73.55504374206356</c:v>
                </c:pt>
                <c:pt idx="17">
                  <c:v>77.104973390489675</c:v>
                </c:pt>
                <c:pt idx="18">
                  <c:v>80.68687096059945</c:v>
                </c:pt>
                <c:pt idx="19">
                  <c:v>83.776940014155301</c:v>
                </c:pt>
                <c:pt idx="20">
                  <c:v>86.065041544090093</c:v>
                </c:pt>
                <c:pt idx="21">
                  <c:v>87.680709554223014</c:v>
                </c:pt>
                <c:pt idx="22">
                  <c:v>88.997228286019904</c:v>
                </c:pt>
                <c:pt idx="23">
                  <c:v>90.412956520616518</c:v>
                </c:pt>
                <c:pt idx="24">
                  <c:v>92.200788248454046</c:v>
                </c:pt>
                <c:pt idx="25">
                  <c:v>94.304371774335337</c:v>
                </c:pt>
                <c:pt idx="26">
                  <c:v>96.422004627057049</c:v>
                </c:pt>
                <c:pt idx="27">
                  <c:v>98.307009306044449</c:v>
                </c:pt>
                <c:pt idx="28">
                  <c:v>99.667337601136069</c:v>
                </c:pt>
                <c:pt idx="29">
                  <c:v>100.5516998237173</c:v>
                </c:pt>
                <c:pt idx="30">
                  <c:v>101.05044218671823</c:v>
                </c:pt>
                <c:pt idx="31">
                  <c:v>101.52708050639883</c:v>
                </c:pt>
                <c:pt idx="32">
                  <c:v>102.46481016368034</c:v>
                </c:pt>
                <c:pt idx="33">
                  <c:v>103.76778832026413</c:v>
                </c:pt>
                <c:pt idx="34">
                  <c:v>105.3322060355756</c:v>
                </c:pt>
                <c:pt idx="35">
                  <c:v>107.10870760615762</c:v>
                </c:pt>
                <c:pt idx="36">
                  <c:v>109.12666340758085</c:v>
                </c:pt>
                <c:pt idx="37">
                  <c:v>111.34894820948386</c:v>
                </c:pt>
                <c:pt idx="38">
                  <c:v>113.67758635582292</c:v>
                </c:pt>
                <c:pt idx="39">
                  <c:v>115.73762285832903</c:v>
                </c:pt>
                <c:pt idx="40">
                  <c:v>117.64408656701472</c:v>
                </c:pt>
                <c:pt idx="41">
                  <c:v>119.47910929847829</c:v>
                </c:pt>
                <c:pt idx="42">
                  <c:v>121.27440346472834</c:v>
                </c:pt>
                <c:pt idx="43">
                  <c:v>123.042673770563</c:v>
                </c:pt>
              </c:numCache>
            </c:numRef>
          </c:val>
          <c:smooth val="0"/>
          <c:extLst>
            <c:ext xmlns:c16="http://schemas.microsoft.com/office/drawing/2014/chart" uri="{C3380CC4-5D6E-409C-BE32-E72D297353CC}">
              <c16:uniqueId val="{00000002-034C-482F-A556-A21228A07087}"/>
            </c:ext>
          </c:extLst>
        </c:ser>
        <c:ser>
          <c:idx val="3"/>
          <c:order val="3"/>
          <c:tx>
            <c:strRef>
              <c:f>'BoP_izvoz usluga'!$V$5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9109262017139073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34C-482F-A556-A21228A07087}"/>
                </c:ext>
              </c:extLst>
            </c:dLbl>
            <c:dLbl>
              <c:idx val="12"/>
              <c:layout>
                <c:manualLayout>
                  <c:x val="6.7173680523791121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34C-482F-A556-A21228A07087}"/>
                </c:ext>
              </c:extLst>
            </c:dLbl>
            <c:dLbl>
              <c:idx val="24"/>
              <c:layout>
                <c:manualLayout>
                  <c:x val="6.9058708368117658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34C-482F-A556-A21228A07087}"/>
                </c:ext>
              </c:extLst>
            </c:dLbl>
            <c:dLbl>
              <c:idx val="36"/>
              <c:layout>
                <c:manualLayout>
                  <c:x val="8.0243055555555558E-4"/>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34C-482F-A556-A21228A0708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usluga'!$V$114:$V$157</c:f>
              <c:numCache>
                <c:formatCode>General</c:formatCode>
                <c:ptCount val="44"/>
                <c:pt idx="0">
                  <c:v>20</c:v>
                </c:pt>
                <c:pt idx="12">
                  <c:v>20</c:v>
                </c:pt>
                <c:pt idx="24">
                  <c:v>20</c:v>
                </c:pt>
                <c:pt idx="36">
                  <c:v>20</c:v>
                </c:pt>
              </c:numCache>
            </c:numRef>
          </c:val>
          <c:smooth val="0"/>
          <c:extLst>
            <c:ext xmlns:c16="http://schemas.microsoft.com/office/drawing/2014/chart" uri="{C3380CC4-5D6E-409C-BE32-E72D297353CC}">
              <c16:uniqueId val="{00000007-034C-482F-A556-A21228A07087}"/>
            </c:ext>
          </c:extLst>
        </c:ser>
        <c:ser>
          <c:idx val="4"/>
          <c:order val="4"/>
          <c:tx>
            <c:strRef>
              <c:f>'BoP_izvoz usluga'!$W$5</c:f>
              <c:strCache>
                <c:ptCount val="1"/>
                <c:pt idx="0">
                  <c:v>Series5</c:v>
                </c:pt>
              </c:strCache>
            </c:strRef>
          </c:tx>
          <c:spPr>
            <a:ln w="28575" cap="rnd">
              <a:noFill/>
              <a:round/>
            </a:ln>
            <a:effectLst/>
          </c:spPr>
          <c:marker>
            <c:symbol val="none"/>
          </c:marker>
          <c:dLbls>
            <c:dLbl>
              <c:idx val="0"/>
              <c:tx>
                <c:rich>
                  <a:bodyPr/>
                  <a:lstStyle/>
                  <a:p>
                    <a:fld id="{58F1A6E1-8DE7-4B93-97AF-9E66F1F02CA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34C-482F-A556-A21228A07087}"/>
                </c:ext>
              </c:extLst>
            </c:dLbl>
            <c:dLbl>
              <c:idx val="1"/>
              <c:tx>
                <c:rich>
                  <a:bodyPr/>
                  <a:lstStyle/>
                  <a:p>
                    <a:fld id="{51983138-5873-460E-B058-BF30838BA76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34C-482F-A556-A21228A07087}"/>
                </c:ext>
              </c:extLst>
            </c:dLbl>
            <c:dLbl>
              <c:idx val="2"/>
              <c:tx>
                <c:rich>
                  <a:bodyPr/>
                  <a:lstStyle/>
                  <a:p>
                    <a:fld id="{9B3194E4-707D-47C8-B785-AF9B2B44917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34C-482F-A556-A21228A07087}"/>
                </c:ext>
              </c:extLst>
            </c:dLbl>
            <c:dLbl>
              <c:idx val="3"/>
              <c:tx>
                <c:rich>
                  <a:bodyPr/>
                  <a:lstStyle/>
                  <a:p>
                    <a:fld id="{9EEC1C10-8603-451E-8839-53B4FCCD47A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34C-482F-A556-A21228A07087}"/>
                </c:ext>
              </c:extLst>
            </c:dLbl>
            <c:dLbl>
              <c:idx val="4"/>
              <c:tx>
                <c:rich>
                  <a:bodyPr/>
                  <a:lstStyle/>
                  <a:p>
                    <a:fld id="{02D32BF8-2F8F-4470-AEDD-4698D2EB378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34C-482F-A556-A21228A07087}"/>
                </c:ext>
              </c:extLst>
            </c:dLbl>
            <c:dLbl>
              <c:idx val="5"/>
              <c:tx>
                <c:rich>
                  <a:bodyPr/>
                  <a:lstStyle/>
                  <a:p>
                    <a:fld id="{A6C328E8-61DE-4F49-B7F9-A5E11D8F48C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34C-482F-A556-A21228A07087}"/>
                </c:ext>
              </c:extLst>
            </c:dLbl>
            <c:dLbl>
              <c:idx val="6"/>
              <c:tx>
                <c:rich>
                  <a:bodyPr/>
                  <a:lstStyle/>
                  <a:p>
                    <a:fld id="{75BD89C7-FA64-4FF1-A065-DA007C7520F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34C-482F-A556-A21228A07087}"/>
                </c:ext>
              </c:extLst>
            </c:dLbl>
            <c:dLbl>
              <c:idx val="7"/>
              <c:tx>
                <c:rich>
                  <a:bodyPr/>
                  <a:lstStyle/>
                  <a:p>
                    <a:fld id="{351DCD37-6FC2-4425-B4D5-B743E54AF42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34C-482F-A556-A21228A07087}"/>
                </c:ext>
              </c:extLst>
            </c:dLbl>
            <c:dLbl>
              <c:idx val="8"/>
              <c:tx>
                <c:rich>
                  <a:bodyPr/>
                  <a:lstStyle/>
                  <a:p>
                    <a:fld id="{3A7730F1-5489-4645-8606-79FD15B2FB5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34C-482F-A556-A21228A07087}"/>
                </c:ext>
              </c:extLst>
            </c:dLbl>
            <c:dLbl>
              <c:idx val="9"/>
              <c:tx>
                <c:rich>
                  <a:bodyPr/>
                  <a:lstStyle/>
                  <a:p>
                    <a:fld id="{6F8DFF7B-BDB4-4E65-96C9-91FC7229907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34C-482F-A556-A21228A07087}"/>
                </c:ext>
              </c:extLst>
            </c:dLbl>
            <c:dLbl>
              <c:idx val="10"/>
              <c:tx>
                <c:rich>
                  <a:bodyPr/>
                  <a:lstStyle/>
                  <a:p>
                    <a:fld id="{44AE3FB1-79D6-4B0D-8A89-CF7AD0F8B07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34C-482F-A556-A21228A07087}"/>
                </c:ext>
              </c:extLst>
            </c:dLbl>
            <c:dLbl>
              <c:idx val="11"/>
              <c:tx>
                <c:rich>
                  <a:bodyPr/>
                  <a:lstStyle/>
                  <a:p>
                    <a:fld id="{21CB8384-63C0-4F0E-BC57-B33827BEAC7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34C-482F-A556-A21228A07087}"/>
                </c:ext>
              </c:extLst>
            </c:dLbl>
            <c:dLbl>
              <c:idx val="12"/>
              <c:tx>
                <c:rich>
                  <a:bodyPr/>
                  <a:lstStyle/>
                  <a:p>
                    <a:fld id="{E1F88935-5107-4322-B444-043E3A61AF6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34C-482F-A556-A21228A07087}"/>
                </c:ext>
              </c:extLst>
            </c:dLbl>
            <c:dLbl>
              <c:idx val="13"/>
              <c:tx>
                <c:rich>
                  <a:bodyPr/>
                  <a:lstStyle/>
                  <a:p>
                    <a:fld id="{6BE2B35D-85BA-4D25-9CF2-614736CD3E7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34C-482F-A556-A21228A07087}"/>
                </c:ext>
              </c:extLst>
            </c:dLbl>
            <c:dLbl>
              <c:idx val="14"/>
              <c:tx>
                <c:rich>
                  <a:bodyPr/>
                  <a:lstStyle/>
                  <a:p>
                    <a:fld id="{BC164B1A-DB0E-42AB-B1C9-31AA4015706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34C-482F-A556-A21228A07087}"/>
                </c:ext>
              </c:extLst>
            </c:dLbl>
            <c:dLbl>
              <c:idx val="15"/>
              <c:tx>
                <c:rich>
                  <a:bodyPr/>
                  <a:lstStyle/>
                  <a:p>
                    <a:fld id="{4B35E9A1-060B-4E84-80AC-8FF53E8EE31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34C-482F-A556-A21228A07087}"/>
                </c:ext>
              </c:extLst>
            </c:dLbl>
            <c:dLbl>
              <c:idx val="16"/>
              <c:tx>
                <c:rich>
                  <a:bodyPr/>
                  <a:lstStyle/>
                  <a:p>
                    <a:fld id="{3951C58B-206A-4A18-9008-EAAEAD287A8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34C-482F-A556-A21228A07087}"/>
                </c:ext>
              </c:extLst>
            </c:dLbl>
            <c:dLbl>
              <c:idx val="17"/>
              <c:tx>
                <c:rich>
                  <a:bodyPr/>
                  <a:lstStyle/>
                  <a:p>
                    <a:fld id="{75AC5EA4-F5B9-4A23-8083-A1F005565AC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34C-482F-A556-A21228A07087}"/>
                </c:ext>
              </c:extLst>
            </c:dLbl>
            <c:dLbl>
              <c:idx val="18"/>
              <c:tx>
                <c:rich>
                  <a:bodyPr/>
                  <a:lstStyle/>
                  <a:p>
                    <a:fld id="{1F13DB43-6B12-4436-9AFB-D07C7FD0492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34C-482F-A556-A21228A07087}"/>
                </c:ext>
              </c:extLst>
            </c:dLbl>
            <c:dLbl>
              <c:idx val="19"/>
              <c:tx>
                <c:rich>
                  <a:bodyPr/>
                  <a:lstStyle/>
                  <a:p>
                    <a:fld id="{6061EE88-F8B9-41C6-8307-C5AA7B38496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34C-482F-A556-A21228A07087}"/>
                </c:ext>
              </c:extLst>
            </c:dLbl>
            <c:dLbl>
              <c:idx val="20"/>
              <c:tx>
                <c:rich>
                  <a:bodyPr/>
                  <a:lstStyle/>
                  <a:p>
                    <a:fld id="{03D5324B-DF86-4281-ADC2-3ADA2EC8A09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34C-482F-A556-A21228A07087}"/>
                </c:ext>
              </c:extLst>
            </c:dLbl>
            <c:dLbl>
              <c:idx val="21"/>
              <c:tx>
                <c:rich>
                  <a:bodyPr/>
                  <a:lstStyle/>
                  <a:p>
                    <a:fld id="{2624DD4C-640A-4BCC-A5AD-5968D1FBD1B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34C-482F-A556-A21228A07087}"/>
                </c:ext>
              </c:extLst>
            </c:dLbl>
            <c:dLbl>
              <c:idx val="22"/>
              <c:tx>
                <c:rich>
                  <a:bodyPr/>
                  <a:lstStyle/>
                  <a:p>
                    <a:fld id="{FA45F6EC-C231-47E7-86C8-9B29269DEEC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34C-482F-A556-A21228A07087}"/>
                </c:ext>
              </c:extLst>
            </c:dLbl>
            <c:dLbl>
              <c:idx val="23"/>
              <c:tx>
                <c:rich>
                  <a:bodyPr/>
                  <a:lstStyle/>
                  <a:p>
                    <a:fld id="{B443B138-D59E-41A7-A0D6-6AD82804404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34C-482F-A556-A21228A07087}"/>
                </c:ext>
              </c:extLst>
            </c:dLbl>
            <c:dLbl>
              <c:idx val="24"/>
              <c:tx>
                <c:rich>
                  <a:bodyPr/>
                  <a:lstStyle/>
                  <a:p>
                    <a:fld id="{47EE5A85-C194-4C6E-BDE6-99CD670EE93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34C-482F-A556-A21228A07087}"/>
                </c:ext>
              </c:extLst>
            </c:dLbl>
            <c:dLbl>
              <c:idx val="25"/>
              <c:tx>
                <c:rich>
                  <a:bodyPr/>
                  <a:lstStyle/>
                  <a:p>
                    <a:fld id="{DE83624F-7C3E-4AAD-9640-658B7FDA3E1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34C-482F-A556-A21228A07087}"/>
                </c:ext>
              </c:extLst>
            </c:dLbl>
            <c:dLbl>
              <c:idx val="26"/>
              <c:tx>
                <c:rich>
                  <a:bodyPr/>
                  <a:lstStyle/>
                  <a:p>
                    <a:fld id="{473AE5B1-4043-474C-8410-A4319ECCE32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34C-482F-A556-A21228A07087}"/>
                </c:ext>
              </c:extLst>
            </c:dLbl>
            <c:dLbl>
              <c:idx val="27"/>
              <c:tx>
                <c:rich>
                  <a:bodyPr/>
                  <a:lstStyle/>
                  <a:p>
                    <a:fld id="{342B64D7-EBAA-4F8F-ACE9-FE1DA45ADC6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34C-482F-A556-A21228A07087}"/>
                </c:ext>
              </c:extLst>
            </c:dLbl>
            <c:dLbl>
              <c:idx val="28"/>
              <c:tx>
                <c:rich>
                  <a:bodyPr/>
                  <a:lstStyle/>
                  <a:p>
                    <a:fld id="{8D73C11E-87A5-49C1-8525-5D3DDA033C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34C-482F-A556-A21228A07087}"/>
                </c:ext>
              </c:extLst>
            </c:dLbl>
            <c:dLbl>
              <c:idx val="29"/>
              <c:tx>
                <c:rich>
                  <a:bodyPr/>
                  <a:lstStyle/>
                  <a:p>
                    <a:fld id="{C4848CE4-5AB6-43B0-8064-0B7470ED2E4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34C-482F-A556-A21228A07087}"/>
                </c:ext>
              </c:extLst>
            </c:dLbl>
            <c:dLbl>
              <c:idx val="30"/>
              <c:tx>
                <c:rich>
                  <a:bodyPr/>
                  <a:lstStyle/>
                  <a:p>
                    <a:fld id="{689C8873-5CD6-4C3C-A8D6-45D70C30D12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34C-482F-A556-A21228A07087}"/>
                </c:ext>
              </c:extLst>
            </c:dLbl>
            <c:dLbl>
              <c:idx val="31"/>
              <c:tx>
                <c:rich>
                  <a:bodyPr/>
                  <a:lstStyle/>
                  <a:p>
                    <a:fld id="{B2973868-C058-42E9-959B-9D9032D6477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34C-482F-A556-A21228A07087}"/>
                </c:ext>
              </c:extLst>
            </c:dLbl>
            <c:dLbl>
              <c:idx val="32"/>
              <c:tx>
                <c:rich>
                  <a:bodyPr/>
                  <a:lstStyle/>
                  <a:p>
                    <a:fld id="{D703737C-5612-4EFA-BB35-AA5A3FB578F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34C-482F-A556-A21228A07087}"/>
                </c:ext>
              </c:extLst>
            </c:dLbl>
            <c:dLbl>
              <c:idx val="33"/>
              <c:tx>
                <c:rich>
                  <a:bodyPr/>
                  <a:lstStyle/>
                  <a:p>
                    <a:fld id="{A85E3494-773F-4046-96E9-4ACE6093B4B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34C-482F-A556-A21228A07087}"/>
                </c:ext>
              </c:extLst>
            </c:dLbl>
            <c:dLbl>
              <c:idx val="34"/>
              <c:tx>
                <c:rich>
                  <a:bodyPr/>
                  <a:lstStyle/>
                  <a:p>
                    <a:fld id="{7DFE9CCF-E58F-4BA4-A9C7-5246DC71354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34C-482F-A556-A21228A07087}"/>
                </c:ext>
              </c:extLst>
            </c:dLbl>
            <c:dLbl>
              <c:idx val="35"/>
              <c:tx>
                <c:rich>
                  <a:bodyPr/>
                  <a:lstStyle/>
                  <a:p>
                    <a:fld id="{E9578264-E6D9-423A-80EE-99DB6018D8F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34C-482F-A556-A21228A07087}"/>
                </c:ext>
              </c:extLst>
            </c:dLbl>
            <c:dLbl>
              <c:idx val="36"/>
              <c:tx>
                <c:rich>
                  <a:bodyPr/>
                  <a:lstStyle/>
                  <a:p>
                    <a:fld id="{73A651E2-8FA1-4132-B16F-4C02D3CA31F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034C-482F-A556-A21228A07087}"/>
                </c:ext>
              </c:extLst>
            </c:dLbl>
            <c:dLbl>
              <c:idx val="37"/>
              <c:tx>
                <c:rich>
                  <a:bodyPr/>
                  <a:lstStyle/>
                  <a:p>
                    <a:fld id="{000960C8-B403-41D5-83EF-AB9A8520556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034C-482F-A556-A21228A07087}"/>
                </c:ext>
              </c:extLst>
            </c:dLbl>
            <c:dLbl>
              <c:idx val="38"/>
              <c:tx>
                <c:rich>
                  <a:bodyPr/>
                  <a:lstStyle/>
                  <a:p>
                    <a:fld id="{9F7A5AF9-D0B5-4CC2-ADE0-272A18911AA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034C-482F-A556-A21228A07087}"/>
                </c:ext>
              </c:extLst>
            </c:dLbl>
            <c:dLbl>
              <c:idx val="39"/>
              <c:tx>
                <c:rich>
                  <a:bodyPr/>
                  <a:lstStyle/>
                  <a:p>
                    <a:fld id="{F587E815-D499-4090-91E2-A65C685854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034C-482F-A556-A21228A07087}"/>
                </c:ext>
              </c:extLst>
            </c:dLbl>
            <c:dLbl>
              <c:idx val="40"/>
              <c:tx>
                <c:rich>
                  <a:bodyPr/>
                  <a:lstStyle/>
                  <a:p>
                    <a:fld id="{9F507273-C7E4-4515-880B-AE0D028FF10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034C-482F-A556-A21228A07087}"/>
                </c:ext>
              </c:extLst>
            </c:dLbl>
            <c:dLbl>
              <c:idx val="41"/>
              <c:tx>
                <c:rich>
                  <a:bodyPr/>
                  <a:lstStyle/>
                  <a:p>
                    <a:fld id="{47B4ABAC-0FDC-406E-8428-914ECDDE9B6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034C-482F-A556-A21228A07087}"/>
                </c:ext>
              </c:extLst>
            </c:dLbl>
            <c:dLbl>
              <c:idx val="42"/>
              <c:tx>
                <c:rich>
                  <a:bodyPr/>
                  <a:lstStyle/>
                  <a:p>
                    <a:fld id="{CF721C52-A7F3-4345-9E23-C0E7DAEEF4A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034C-482F-A556-A21228A07087}"/>
                </c:ext>
              </c:extLst>
            </c:dLbl>
            <c:dLbl>
              <c:idx val="43"/>
              <c:tx>
                <c:rich>
                  <a:bodyPr/>
                  <a:lstStyle/>
                  <a:p>
                    <a:endParaRPr lang="en-US"/>
                  </a:p>
                </c:rich>
              </c:tx>
              <c:dLblPos val="t"/>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3-034C-482F-A556-A21228A0708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usluga'!$W$114:$W$157</c:f>
              <c:numCache>
                <c:formatCode>General</c:formatCode>
                <c:ptCount val="44"/>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pt idx="43">
                  <c:v>20</c:v>
                </c:pt>
              </c:numCache>
            </c:numRef>
          </c:val>
          <c:smooth val="0"/>
          <c:extLst>
            <c:ext xmlns:c15="http://schemas.microsoft.com/office/drawing/2012/chart" uri="{02D57815-91ED-43cb-92C2-25804820EDAC}">
              <c15:datalabelsRange>
                <c15:f>'BoP_izvoz usluga'!$J$114:$J$157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4-034C-482F-A556-A21228A07087}"/>
            </c:ext>
          </c:extLst>
        </c:ser>
        <c:dLbls>
          <c:showLegendKey val="0"/>
          <c:showVal val="0"/>
          <c:showCatName val="0"/>
          <c:showSerName val="0"/>
          <c:showPercent val="0"/>
          <c:showBubbleSize val="0"/>
        </c:dLbls>
        <c:smooth val="0"/>
        <c:axId val="1828932656"/>
        <c:axId val="1828929936"/>
      </c:lineChart>
      <c:dateAx>
        <c:axId val="1828932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9936"/>
        <c:crosses val="autoZero"/>
        <c:auto val="1"/>
        <c:lblOffset val="0"/>
        <c:baseTimeUnit val="months"/>
      </c:dateAx>
      <c:valAx>
        <c:axId val="1828929936"/>
        <c:scaling>
          <c:orientation val="minMax"/>
          <c:max val="14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2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6259167550669125"/>
          <c:h val="0.84243318318318317"/>
        </c:manualLayout>
      </c:layout>
      <c:lineChart>
        <c:grouping val="standard"/>
        <c:varyColors val="0"/>
        <c:ser>
          <c:idx val="0"/>
          <c:order val="0"/>
          <c:tx>
            <c:strRef>
              <c:f>'BoP_izvoz usluga'!$L$5</c:f>
              <c:strCache>
                <c:ptCount val="1"/>
                <c:pt idx="0">
                  <c:v>y</c:v>
                </c:pt>
              </c:strCache>
            </c:strRef>
          </c:tx>
          <c:spPr>
            <a:ln w="12700" cap="rnd">
              <a:solidFill>
                <a:srgbClr val="7F3F98"/>
              </a:solidFill>
              <a:prstDash val="sysDash"/>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usluga'!$L$114:$L$157</c:f>
              <c:numCache>
                <c:formatCode>0.0</c:formatCode>
                <c:ptCount val="44"/>
                <c:pt idx="0">
                  <c:v>45.809264601000002</c:v>
                </c:pt>
                <c:pt idx="1">
                  <c:v>39.707477011999998</c:v>
                </c:pt>
                <c:pt idx="2">
                  <c:v>45.464797638999997</c:v>
                </c:pt>
                <c:pt idx="3">
                  <c:v>42.943587561000001</c:v>
                </c:pt>
                <c:pt idx="4">
                  <c:v>56.451850571000001</c:v>
                </c:pt>
                <c:pt idx="5">
                  <c:v>58.658390482000001</c:v>
                </c:pt>
                <c:pt idx="6">
                  <c:v>90.762092091</c:v>
                </c:pt>
                <c:pt idx="7">
                  <c:v>93.209571979000003</c:v>
                </c:pt>
                <c:pt idx="8">
                  <c:v>68.501218929000004</c:v>
                </c:pt>
                <c:pt idx="9">
                  <c:v>60.628985198999999</c:v>
                </c:pt>
                <c:pt idx="10">
                  <c:v>64.829483475000004</c:v>
                </c:pt>
                <c:pt idx="11">
                  <c:v>84.633517638000001</c:v>
                </c:pt>
                <c:pt idx="12">
                  <c:v>58.022359674</c:v>
                </c:pt>
                <c:pt idx="13">
                  <c:v>45.253757552000003</c:v>
                </c:pt>
                <c:pt idx="14">
                  <c:v>83.042036388</c:v>
                </c:pt>
                <c:pt idx="15">
                  <c:v>63.970031466999998</c:v>
                </c:pt>
                <c:pt idx="16">
                  <c:v>90.600375006999997</c:v>
                </c:pt>
                <c:pt idx="17">
                  <c:v>90.553852692999996</c:v>
                </c:pt>
                <c:pt idx="18">
                  <c:v>145.58742093800001</c:v>
                </c:pt>
                <c:pt idx="19">
                  <c:v>138.40342556300001</c:v>
                </c:pt>
                <c:pt idx="20">
                  <c:v>100.28270771299999</c:v>
                </c:pt>
                <c:pt idx="21">
                  <c:v>129.75018926800001</c:v>
                </c:pt>
                <c:pt idx="22">
                  <c:v>98.916070701999999</c:v>
                </c:pt>
                <c:pt idx="23">
                  <c:v>120.56966599499999</c:v>
                </c:pt>
                <c:pt idx="24">
                  <c:v>86.056980179999996</c:v>
                </c:pt>
                <c:pt idx="25">
                  <c:v>78.700105976000003</c:v>
                </c:pt>
                <c:pt idx="26">
                  <c:v>75.617437132999996</c:v>
                </c:pt>
                <c:pt idx="27">
                  <c:v>66.959878614000004</c:v>
                </c:pt>
                <c:pt idx="28">
                  <c:v>111.58354691</c:v>
                </c:pt>
                <c:pt idx="29">
                  <c:v>86.942729525999994</c:v>
                </c:pt>
                <c:pt idx="30">
                  <c:v>126.751383287</c:v>
                </c:pt>
                <c:pt idx="31">
                  <c:v>142.37556312699999</c:v>
                </c:pt>
                <c:pt idx="32">
                  <c:v>106.35260407299999</c:v>
                </c:pt>
                <c:pt idx="33">
                  <c:v>98.811458333000004</c:v>
                </c:pt>
                <c:pt idx="34">
                  <c:v>108.49277035199999</c:v>
                </c:pt>
                <c:pt idx="35">
                  <c:v>111.355542489</c:v>
                </c:pt>
                <c:pt idx="36">
                  <c:v>101.955786717</c:v>
                </c:pt>
                <c:pt idx="37">
                  <c:v>81.322033677999997</c:v>
                </c:pt>
                <c:pt idx="38">
                  <c:v>87.531105084000004</c:v>
                </c:pt>
                <c:pt idx="39">
                  <c:v>107.364937884</c:v>
                </c:pt>
                <c:pt idx="40">
                  <c:v>113.211284818</c:v>
                </c:pt>
                <c:pt idx="41">
                  <c:v>107.229368025</c:v>
                </c:pt>
                <c:pt idx="42">
                  <c:v>142.21316457699999</c:v>
                </c:pt>
                <c:pt idx="43">
                  <c:v>134.88745228799999</c:v>
                </c:pt>
              </c:numCache>
            </c:numRef>
          </c:val>
          <c:smooth val="0"/>
          <c:extLst>
            <c:ext xmlns:c16="http://schemas.microsoft.com/office/drawing/2014/chart" uri="{C3380CC4-5D6E-409C-BE32-E72D297353CC}">
              <c16:uniqueId val="{00000000-2EDA-40B3-BB7B-95E68EABD13B}"/>
            </c:ext>
          </c:extLst>
        </c:ser>
        <c:ser>
          <c:idx val="1"/>
          <c:order val="1"/>
          <c:tx>
            <c:strRef>
              <c:f>'BoP_izvoz usluga'!$M$5</c:f>
              <c:strCache>
                <c:ptCount val="1"/>
                <c:pt idx="0">
                  <c:v>sa</c:v>
                </c:pt>
              </c:strCache>
            </c:strRef>
          </c:tx>
          <c:spPr>
            <a:ln w="22225" cap="rnd">
              <a:solidFill>
                <a:srgbClr val="25AAE1"/>
              </a:solidFill>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usluga'!$M$114:$M$157</c:f>
              <c:numCache>
                <c:formatCode>0.0</c:formatCode>
                <c:ptCount val="44"/>
                <c:pt idx="0">
                  <c:v>56.822122890000003</c:v>
                </c:pt>
                <c:pt idx="1">
                  <c:v>54.989553293999997</c:v>
                </c:pt>
                <c:pt idx="2">
                  <c:v>57.177163993000001</c:v>
                </c:pt>
                <c:pt idx="3">
                  <c:v>56.091649244000003</c:v>
                </c:pt>
                <c:pt idx="4">
                  <c:v>58.956804019000003</c:v>
                </c:pt>
                <c:pt idx="5">
                  <c:v>61.559948196000001</c:v>
                </c:pt>
                <c:pt idx="6">
                  <c:v>66.884367291000004</c:v>
                </c:pt>
                <c:pt idx="7">
                  <c:v>64.361765302999999</c:v>
                </c:pt>
                <c:pt idx="8">
                  <c:v>65.690350002000002</c:v>
                </c:pt>
                <c:pt idx="9">
                  <c:v>65.983680008999997</c:v>
                </c:pt>
                <c:pt idx="10">
                  <c:v>63.717838901</c:v>
                </c:pt>
                <c:pt idx="11">
                  <c:v>71.725040583999998</c:v>
                </c:pt>
                <c:pt idx="12">
                  <c:v>69.455017284999997</c:v>
                </c:pt>
                <c:pt idx="13">
                  <c:v>61.270377115000002</c:v>
                </c:pt>
                <c:pt idx="14">
                  <c:v>103.241360599</c:v>
                </c:pt>
                <c:pt idx="15">
                  <c:v>87.366971109999994</c:v>
                </c:pt>
                <c:pt idx="16">
                  <c:v>88.819329077000006</c:v>
                </c:pt>
                <c:pt idx="17">
                  <c:v>94.310526526000004</c:v>
                </c:pt>
                <c:pt idx="18">
                  <c:v>113.86385586</c:v>
                </c:pt>
                <c:pt idx="19">
                  <c:v>93.653742351000005</c:v>
                </c:pt>
                <c:pt idx="20">
                  <c:v>97.576961987999994</c:v>
                </c:pt>
                <c:pt idx="21">
                  <c:v>138.77981369599999</c:v>
                </c:pt>
                <c:pt idx="22">
                  <c:v>98.604460566</c:v>
                </c:pt>
                <c:pt idx="23">
                  <c:v>105.627912904</c:v>
                </c:pt>
                <c:pt idx="24">
                  <c:v>98.107843273</c:v>
                </c:pt>
                <c:pt idx="25">
                  <c:v>106.04270362699999</c:v>
                </c:pt>
                <c:pt idx="26">
                  <c:v>95.483376164000006</c:v>
                </c:pt>
                <c:pt idx="27">
                  <c:v>93.052740553000007</c:v>
                </c:pt>
                <c:pt idx="28">
                  <c:v>103.119866659</c:v>
                </c:pt>
                <c:pt idx="29">
                  <c:v>90.266780104999995</c:v>
                </c:pt>
                <c:pt idx="30">
                  <c:v>97.597263083000001</c:v>
                </c:pt>
                <c:pt idx="31">
                  <c:v>98.959454342000001</c:v>
                </c:pt>
                <c:pt idx="32">
                  <c:v>107.621137522</c:v>
                </c:pt>
                <c:pt idx="33">
                  <c:v>101.368451999</c:v>
                </c:pt>
                <c:pt idx="34">
                  <c:v>109.531258851</c:v>
                </c:pt>
                <c:pt idx="35">
                  <c:v>101.815184809</c:v>
                </c:pt>
                <c:pt idx="36">
                  <c:v>110.835501863</c:v>
                </c:pt>
                <c:pt idx="37">
                  <c:v>104.96428935</c:v>
                </c:pt>
                <c:pt idx="38">
                  <c:v>119.43609076200001</c:v>
                </c:pt>
                <c:pt idx="39">
                  <c:v>133.226539043</c:v>
                </c:pt>
                <c:pt idx="40">
                  <c:v>108.12470769799999</c:v>
                </c:pt>
                <c:pt idx="41">
                  <c:v>118.03607857599999</c:v>
                </c:pt>
                <c:pt idx="42">
                  <c:v>100.216562431</c:v>
                </c:pt>
                <c:pt idx="43">
                  <c:v>101.325692488</c:v>
                </c:pt>
              </c:numCache>
            </c:numRef>
          </c:val>
          <c:smooth val="0"/>
          <c:extLst>
            <c:ext xmlns:c16="http://schemas.microsoft.com/office/drawing/2014/chart" uri="{C3380CC4-5D6E-409C-BE32-E72D297353CC}">
              <c16:uniqueId val="{00000001-2EDA-40B3-BB7B-95E68EABD13B}"/>
            </c:ext>
          </c:extLst>
        </c:ser>
        <c:ser>
          <c:idx val="2"/>
          <c:order val="2"/>
          <c:tx>
            <c:strRef>
              <c:f>'BoP_izvoz usluga'!$N$5</c:f>
              <c:strCache>
                <c:ptCount val="1"/>
                <c:pt idx="0">
                  <c:v>t</c:v>
                </c:pt>
              </c:strCache>
            </c:strRef>
          </c:tx>
          <c:spPr>
            <a:ln w="25400" cap="rnd">
              <a:solidFill>
                <a:srgbClr val="FF0000"/>
              </a:solidFill>
              <a:round/>
            </a:ln>
            <a:effectLst/>
          </c:spPr>
          <c:marker>
            <c:symbol val="none"/>
          </c:marker>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usluga'!$N$114:$N$157</c:f>
              <c:numCache>
                <c:formatCode>0.0</c:formatCode>
                <c:ptCount val="44"/>
                <c:pt idx="0">
                  <c:v>51.913758440000002</c:v>
                </c:pt>
                <c:pt idx="1">
                  <c:v>53.431599814000002</c:v>
                </c:pt>
                <c:pt idx="2">
                  <c:v>55.038291030000003</c:v>
                </c:pt>
                <c:pt idx="3">
                  <c:v>56.708010545999997</c:v>
                </c:pt>
                <c:pt idx="4">
                  <c:v>58.430386874</c:v>
                </c:pt>
                <c:pt idx="5">
                  <c:v>60.201461018000003</c:v>
                </c:pt>
                <c:pt idx="6">
                  <c:v>62.033457833999996</c:v>
                </c:pt>
                <c:pt idx="7">
                  <c:v>63.944031037000002</c:v>
                </c:pt>
                <c:pt idx="8">
                  <c:v>65.959698407999994</c:v>
                </c:pt>
                <c:pt idx="9">
                  <c:v>68.112499626000002</c:v>
                </c:pt>
                <c:pt idx="10">
                  <c:v>70.421301213000007</c:v>
                </c:pt>
                <c:pt idx="11">
                  <c:v>72.894514971999996</c:v>
                </c:pt>
                <c:pt idx="12">
                  <c:v>75.517433796000006</c:v>
                </c:pt>
                <c:pt idx="13">
                  <c:v>78.25638936</c:v>
                </c:pt>
                <c:pt idx="14">
                  <c:v>81.047878306000001</c:v>
                </c:pt>
                <c:pt idx="15">
                  <c:v>83.824770968999999</c:v>
                </c:pt>
                <c:pt idx="16">
                  <c:v>86.510437432000003</c:v>
                </c:pt>
                <c:pt idx="17">
                  <c:v>89.034415414999998</c:v>
                </c:pt>
                <c:pt idx="18">
                  <c:v>91.333652483999998</c:v>
                </c:pt>
                <c:pt idx="19">
                  <c:v>93.363366670999994</c:v>
                </c:pt>
                <c:pt idx="20">
                  <c:v>95.083475442999998</c:v>
                </c:pt>
                <c:pt idx="21">
                  <c:v>96.486665113000001</c:v>
                </c:pt>
                <c:pt idx="22">
                  <c:v>97.586847141000007</c:v>
                </c:pt>
                <c:pt idx="23">
                  <c:v>98.408540286000004</c:v>
                </c:pt>
                <c:pt idx="24">
                  <c:v>99.006320234</c:v>
                </c:pt>
                <c:pt idx="25">
                  <c:v>99.452857244</c:v>
                </c:pt>
                <c:pt idx="26">
                  <c:v>99.827308301000002</c:v>
                </c:pt>
                <c:pt idx="27">
                  <c:v>100.202455757</c:v>
                </c:pt>
                <c:pt idx="28">
                  <c:v>100.63244233099999</c:v>
                </c:pt>
                <c:pt idx="29">
                  <c:v>101.152081908</c:v>
                </c:pt>
                <c:pt idx="30">
                  <c:v>101.772587214</c:v>
                </c:pt>
                <c:pt idx="31">
                  <c:v>102.490208233</c:v>
                </c:pt>
                <c:pt idx="32">
                  <c:v>103.284815067</c:v>
                </c:pt>
                <c:pt idx="33">
                  <c:v>104.109928928</c:v>
                </c:pt>
                <c:pt idx="34">
                  <c:v>104.92358526700001</c:v>
                </c:pt>
                <c:pt idx="35">
                  <c:v>105.678027023</c:v>
                </c:pt>
                <c:pt idx="36">
                  <c:v>106.32972893900001</c:v>
                </c:pt>
                <c:pt idx="37">
                  <c:v>106.84326215999999</c:v>
                </c:pt>
                <c:pt idx="38">
                  <c:v>107.200849213</c:v>
                </c:pt>
                <c:pt idx="39">
                  <c:v>107.39570088799999</c:v>
                </c:pt>
                <c:pt idx="40">
                  <c:v>107.436413453</c:v>
                </c:pt>
                <c:pt idx="41">
                  <c:v>107.35056782300001</c:v>
                </c:pt>
                <c:pt idx="42">
                  <c:v>107.163792847</c:v>
                </c:pt>
                <c:pt idx="43">
                  <c:v>106.947731791</c:v>
                </c:pt>
              </c:numCache>
            </c:numRef>
          </c:val>
          <c:smooth val="0"/>
          <c:extLst>
            <c:ext xmlns:c16="http://schemas.microsoft.com/office/drawing/2014/chart" uri="{C3380CC4-5D6E-409C-BE32-E72D297353CC}">
              <c16:uniqueId val="{00000002-2EDA-40B3-BB7B-95E68EABD13B}"/>
            </c:ext>
          </c:extLst>
        </c:ser>
        <c:ser>
          <c:idx val="3"/>
          <c:order val="3"/>
          <c:tx>
            <c:strRef>
              <c:f>'BoP_izvoz usluga'!$O$5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9095712656721223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EDA-40B3-BB7B-95E68EABD13B}"/>
                </c:ext>
              </c:extLst>
            </c:dLbl>
            <c:dLbl>
              <c:idx val="12"/>
              <c:layout>
                <c:manualLayout>
                  <c:x val="7.5997134002713324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EDA-40B3-BB7B-95E68EABD13B}"/>
                </c:ext>
              </c:extLst>
            </c:dLbl>
            <c:dLbl>
              <c:idx val="24"/>
              <c:layout>
                <c:manualLayout>
                  <c:x val="7.3544181581597687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EDA-40B3-BB7B-95E68EABD13B}"/>
                </c:ext>
              </c:extLst>
            </c:dLbl>
            <c:dLbl>
              <c:idx val="36"/>
              <c:layout>
                <c:manualLayout>
                  <c:x val="5.4350694444444446E-3"/>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EDA-40B3-BB7B-95E68EABD13B}"/>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usluga'!$O$114:$O$157</c:f>
              <c:numCache>
                <c:formatCode>General</c:formatCode>
                <c:ptCount val="44"/>
                <c:pt idx="0">
                  <c:v>20</c:v>
                </c:pt>
                <c:pt idx="12">
                  <c:v>20</c:v>
                </c:pt>
                <c:pt idx="24">
                  <c:v>20</c:v>
                </c:pt>
                <c:pt idx="36">
                  <c:v>20</c:v>
                </c:pt>
              </c:numCache>
            </c:numRef>
          </c:val>
          <c:smooth val="0"/>
          <c:extLst>
            <c:ext xmlns:c16="http://schemas.microsoft.com/office/drawing/2014/chart" uri="{C3380CC4-5D6E-409C-BE32-E72D297353CC}">
              <c16:uniqueId val="{00000007-2EDA-40B3-BB7B-95E68EABD13B}"/>
            </c:ext>
          </c:extLst>
        </c:ser>
        <c:ser>
          <c:idx val="4"/>
          <c:order val="4"/>
          <c:tx>
            <c:strRef>
              <c:f>'BoP_izvoz usluga'!$P$5</c:f>
              <c:strCache>
                <c:ptCount val="1"/>
                <c:pt idx="0">
                  <c:v>Series5</c:v>
                </c:pt>
              </c:strCache>
            </c:strRef>
          </c:tx>
          <c:spPr>
            <a:ln w="28575" cap="rnd">
              <a:noFill/>
              <a:round/>
            </a:ln>
            <a:effectLst/>
          </c:spPr>
          <c:marker>
            <c:symbol val="none"/>
          </c:marker>
          <c:dLbls>
            <c:dLbl>
              <c:idx val="0"/>
              <c:tx>
                <c:rich>
                  <a:bodyPr/>
                  <a:lstStyle/>
                  <a:p>
                    <a:fld id="{86AC0B5B-7F5A-40E8-B943-9032439D0C2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EDA-40B3-BB7B-95E68EABD13B}"/>
                </c:ext>
              </c:extLst>
            </c:dLbl>
            <c:dLbl>
              <c:idx val="1"/>
              <c:tx>
                <c:rich>
                  <a:bodyPr/>
                  <a:lstStyle/>
                  <a:p>
                    <a:fld id="{002755F1-5B69-4B01-B6F6-029B85A6242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2EDA-40B3-BB7B-95E68EABD13B}"/>
                </c:ext>
              </c:extLst>
            </c:dLbl>
            <c:dLbl>
              <c:idx val="2"/>
              <c:tx>
                <c:rich>
                  <a:bodyPr/>
                  <a:lstStyle/>
                  <a:p>
                    <a:fld id="{79D03C59-2E07-4521-B2F4-672ABA10772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2EDA-40B3-BB7B-95E68EABD13B}"/>
                </c:ext>
              </c:extLst>
            </c:dLbl>
            <c:dLbl>
              <c:idx val="3"/>
              <c:tx>
                <c:rich>
                  <a:bodyPr/>
                  <a:lstStyle/>
                  <a:p>
                    <a:fld id="{469AE40E-82AA-49CC-80D9-1D8F51DA14A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EDA-40B3-BB7B-95E68EABD13B}"/>
                </c:ext>
              </c:extLst>
            </c:dLbl>
            <c:dLbl>
              <c:idx val="4"/>
              <c:tx>
                <c:rich>
                  <a:bodyPr/>
                  <a:lstStyle/>
                  <a:p>
                    <a:fld id="{90D9253A-6F8C-4874-A744-14E3A4B0845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2EDA-40B3-BB7B-95E68EABD13B}"/>
                </c:ext>
              </c:extLst>
            </c:dLbl>
            <c:dLbl>
              <c:idx val="5"/>
              <c:tx>
                <c:rich>
                  <a:bodyPr/>
                  <a:lstStyle/>
                  <a:p>
                    <a:fld id="{EB1E7790-A332-4BC8-BA4E-FB29D88A1BD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2EDA-40B3-BB7B-95E68EABD13B}"/>
                </c:ext>
              </c:extLst>
            </c:dLbl>
            <c:dLbl>
              <c:idx val="6"/>
              <c:tx>
                <c:rich>
                  <a:bodyPr/>
                  <a:lstStyle/>
                  <a:p>
                    <a:fld id="{D48F61B1-A11B-4AE9-A2CC-FCE75F8663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EDA-40B3-BB7B-95E68EABD13B}"/>
                </c:ext>
              </c:extLst>
            </c:dLbl>
            <c:dLbl>
              <c:idx val="7"/>
              <c:tx>
                <c:rich>
                  <a:bodyPr/>
                  <a:lstStyle/>
                  <a:p>
                    <a:fld id="{0D81BA5D-FCE7-42CE-9C1F-B4104749222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2EDA-40B3-BB7B-95E68EABD13B}"/>
                </c:ext>
              </c:extLst>
            </c:dLbl>
            <c:dLbl>
              <c:idx val="8"/>
              <c:tx>
                <c:rich>
                  <a:bodyPr/>
                  <a:lstStyle/>
                  <a:p>
                    <a:fld id="{251245E3-BC8C-4FE9-B0BC-9967F143EE4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2EDA-40B3-BB7B-95E68EABD13B}"/>
                </c:ext>
              </c:extLst>
            </c:dLbl>
            <c:dLbl>
              <c:idx val="9"/>
              <c:tx>
                <c:rich>
                  <a:bodyPr/>
                  <a:lstStyle/>
                  <a:p>
                    <a:fld id="{F20E23A4-D96A-48D0-94F8-15F49BC8AA5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2EDA-40B3-BB7B-95E68EABD13B}"/>
                </c:ext>
              </c:extLst>
            </c:dLbl>
            <c:dLbl>
              <c:idx val="10"/>
              <c:tx>
                <c:rich>
                  <a:bodyPr/>
                  <a:lstStyle/>
                  <a:p>
                    <a:fld id="{531705E4-DF0C-4E91-A0CC-C4AD2FC44B1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2EDA-40B3-BB7B-95E68EABD13B}"/>
                </c:ext>
              </c:extLst>
            </c:dLbl>
            <c:dLbl>
              <c:idx val="11"/>
              <c:tx>
                <c:rich>
                  <a:bodyPr/>
                  <a:lstStyle/>
                  <a:p>
                    <a:fld id="{DDB0B657-36D3-47EB-A359-9D8333C8F5C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2EDA-40B3-BB7B-95E68EABD13B}"/>
                </c:ext>
              </c:extLst>
            </c:dLbl>
            <c:dLbl>
              <c:idx val="12"/>
              <c:tx>
                <c:rich>
                  <a:bodyPr/>
                  <a:lstStyle/>
                  <a:p>
                    <a:fld id="{FDA3BD78-1407-4904-A0E6-49DF0B5252F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2EDA-40B3-BB7B-95E68EABD13B}"/>
                </c:ext>
              </c:extLst>
            </c:dLbl>
            <c:dLbl>
              <c:idx val="13"/>
              <c:tx>
                <c:rich>
                  <a:bodyPr/>
                  <a:lstStyle/>
                  <a:p>
                    <a:fld id="{548073A6-4767-4B2E-8A75-C59CFB74FB1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2EDA-40B3-BB7B-95E68EABD13B}"/>
                </c:ext>
              </c:extLst>
            </c:dLbl>
            <c:dLbl>
              <c:idx val="14"/>
              <c:tx>
                <c:rich>
                  <a:bodyPr/>
                  <a:lstStyle/>
                  <a:p>
                    <a:fld id="{49F457CA-9254-44CD-8344-D0420DBA6EA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2EDA-40B3-BB7B-95E68EABD13B}"/>
                </c:ext>
              </c:extLst>
            </c:dLbl>
            <c:dLbl>
              <c:idx val="15"/>
              <c:tx>
                <c:rich>
                  <a:bodyPr/>
                  <a:lstStyle/>
                  <a:p>
                    <a:fld id="{87BEBC28-74B5-43A1-AA9D-CC1A66FAF76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2EDA-40B3-BB7B-95E68EABD13B}"/>
                </c:ext>
              </c:extLst>
            </c:dLbl>
            <c:dLbl>
              <c:idx val="16"/>
              <c:tx>
                <c:rich>
                  <a:bodyPr/>
                  <a:lstStyle/>
                  <a:p>
                    <a:fld id="{BA3F2177-1DBC-4C18-A942-1647176D177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2EDA-40B3-BB7B-95E68EABD13B}"/>
                </c:ext>
              </c:extLst>
            </c:dLbl>
            <c:dLbl>
              <c:idx val="17"/>
              <c:tx>
                <c:rich>
                  <a:bodyPr/>
                  <a:lstStyle/>
                  <a:p>
                    <a:fld id="{2101AF48-2EA3-4133-8539-DABEFF7700D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2EDA-40B3-BB7B-95E68EABD13B}"/>
                </c:ext>
              </c:extLst>
            </c:dLbl>
            <c:dLbl>
              <c:idx val="18"/>
              <c:tx>
                <c:rich>
                  <a:bodyPr/>
                  <a:lstStyle/>
                  <a:p>
                    <a:fld id="{E48B089B-D1CF-4CE1-864B-F45CFAFD5F9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2EDA-40B3-BB7B-95E68EABD13B}"/>
                </c:ext>
              </c:extLst>
            </c:dLbl>
            <c:dLbl>
              <c:idx val="19"/>
              <c:tx>
                <c:rich>
                  <a:bodyPr/>
                  <a:lstStyle/>
                  <a:p>
                    <a:fld id="{7B2F82C7-F111-41C6-A5A0-1D5A4E423AD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2EDA-40B3-BB7B-95E68EABD13B}"/>
                </c:ext>
              </c:extLst>
            </c:dLbl>
            <c:dLbl>
              <c:idx val="20"/>
              <c:tx>
                <c:rich>
                  <a:bodyPr/>
                  <a:lstStyle/>
                  <a:p>
                    <a:fld id="{079B7B4B-42C0-4AA2-AF61-0A28529EC5B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2EDA-40B3-BB7B-95E68EABD13B}"/>
                </c:ext>
              </c:extLst>
            </c:dLbl>
            <c:dLbl>
              <c:idx val="21"/>
              <c:tx>
                <c:rich>
                  <a:bodyPr/>
                  <a:lstStyle/>
                  <a:p>
                    <a:fld id="{DD085861-FEF1-48E9-9AE5-E7B147A5D51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2EDA-40B3-BB7B-95E68EABD13B}"/>
                </c:ext>
              </c:extLst>
            </c:dLbl>
            <c:dLbl>
              <c:idx val="22"/>
              <c:tx>
                <c:rich>
                  <a:bodyPr/>
                  <a:lstStyle/>
                  <a:p>
                    <a:fld id="{46EF68BC-EC2C-472E-BE39-4C9E6C50ED2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2EDA-40B3-BB7B-95E68EABD13B}"/>
                </c:ext>
              </c:extLst>
            </c:dLbl>
            <c:dLbl>
              <c:idx val="23"/>
              <c:tx>
                <c:rich>
                  <a:bodyPr/>
                  <a:lstStyle/>
                  <a:p>
                    <a:fld id="{25F02E8C-21C3-4D94-A270-F4D09D3E686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2EDA-40B3-BB7B-95E68EABD13B}"/>
                </c:ext>
              </c:extLst>
            </c:dLbl>
            <c:dLbl>
              <c:idx val="24"/>
              <c:tx>
                <c:rich>
                  <a:bodyPr/>
                  <a:lstStyle/>
                  <a:p>
                    <a:fld id="{C9DDFC6E-49F5-42AD-A832-88D38EAB07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2EDA-40B3-BB7B-95E68EABD13B}"/>
                </c:ext>
              </c:extLst>
            </c:dLbl>
            <c:dLbl>
              <c:idx val="25"/>
              <c:tx>
                <c:rich>
                  <a:bodyPr/>
                  <a:lstStyle/>
                  <a:p>
                    <a:fld id="{5C222BC4-574C-4C55-8181-FC1F4A4C848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2EDA-40B3-BB7B-95E68EABD13B}"/>
                </c:ext>
              </c:extLst>
            </c:dLbl>
            <c:dLbl>
              <c:idx val="26"/>
              <c:tx>
                <c:rich>
                  <a:bodyPr/>
                  <a:lstStyle/>
                  <a:p>
                    <a:fld id="{45D709A1-C8FA-47CF-836D-A77D9D2351E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2EDA-40B3-BB7B-95E68EABD13B}"/>
                </c:ext>
              </c:extLst>
            </c:dLbl>
            <c:dLbl>
              <c:idx val="27"/>
              <c:tx>
                <c:rich>
                  <a:bodyPr/>
                  <a:lstStyle/>
                  <a:p>
                    <a:fld id="{3C602E75-3636-4CBF-BBDE-D26FC7FAA33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2EDA-40B3-BB7B-95E68EABD13B}"/>
                </c:ext>
              </c:extLst>
            </c:dLbl>
            <c:dLbl>
              <c:idx val="28"/>
              <c:tx>
                <c:rich>
                  <a:bodyPr/>
                  <a:lstStyle/>
                  <a:p>
                    <a:fld id="{9CF5BA41-C7C4-4D41-A3EF-F5DA507BD98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2EDA-40B3-BB7B-95E68EABD13B}"/>
                </c:ext>
              </c:extLst>
            </c:dLbl>
            <c:dLbl>
              <c:idx val="29"/>
              <c:tx>
                <c:rich>
                  <a:bodyPr/>
                  <a:lstStyle/>
                  <a:p>
                    <a:fld id="{68654103-FE36-4318-99B5-26CBD58871C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2EDA-40B3-BB7B-95E68EABD13B}"/>
                </c:ext>
              </c:extLst>
            </c:dLbl>
            <c:dLbl>
              <c:idx val="30"/>
              <c:tx>
                <c:rich>
                  <a:bodyPr/>
                  <a:lstStyle/>
                  <a:p>
                    <a:fld id="{28AF271C-84AD-4F01-9EE5-52FBD437F8A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2EDA-40B3-BB7B-95E68EABD13B}"/>
                </c:ext>
              </c:extLst>
            </c:dLbl>
            <c:dLbl>
              <c:idx val="31"/>
              <c:tx>
                <c:rich>
                  <a:bodyPr/>
                  <a:lstStyle/>
                  <a:p>
                    <a:fld id="{D9D7EE90-A4F0-4CE8-9A4D-E3F657E6EE1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2EDA-40B3-BB7B-95E68EABD13B}"/>
                </c:ext>
              </c:extLst>
            </c:dLbl>
            <c:dLbl>
              <c:idx val="32"/>
              <c:tx>
                <c:rich>
                  <a:bodyPr/>
                  <a:lstStyle/>
                  <a:p>
                    <a:fld id="{D6153E66-6ED3-4155-93A4-AA94802F4A9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2EDA-40B3-BB7B-95E68EABD13B}"/>
                </c:ext>
              </c:extLst>
            </c:dLbl>
            <c:dLbl>
              <c:idx val="33"/>
              <c:tx>
                <c:rich>
                  <a:bodyPr/>
                  <a:lstStyle/>
                  <a:p>
                    <a:fld id="{2D427F77-9FC2-4813-BD83-01F6C117CCA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2EDA-40B3-BB7B-95E68EABD13B}"/>
                </c:ext>
              </c:extLst>
            </c:dLbl>
            <c:dLbl>
              <c:idx val="34"/>
              <c:tx>
                <c:rich>
                  <a:bodyPr/>
                  <a:lstStyle/>
                  <a:p>
                    <a:fld id="{AE52B5DE-DCA1-4A02-960B-9B20BB13913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2EDA-40B3-BB7B-95E68EABD13B}"/>
                </c:ext>
              </c:extLst>
            </c:dLbl>
            <c:dLbl>
              <c:idx val="35"/>
              <c:tx>
                <c:rich>
                  <a:bodyPr/>
                  <a:lstStyle/>
                  <a:p>
                    <a:fld id="{002B8A49-0FFC-4623-93CA-06BE28DAC85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2EDA-40B3-BB7B-95E68EABD13B}"/>
                </c:ext>
              </c:extLst>
            </c:dLbl>
            <c:dLbl>
              <c:idx val="36"/>
              <c:tx>
                <c:rich>
                  <a:bodyPr/>
                  <a:lstStyle/>
                  <a:p>
                    <a:fld id="{8E83AC8B-8F71-49FF-8800-85842A00C2A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2EDA-40B3-BB7B-95E68EABD13B}"/>
                </c:ext>
              </c:extLst>
            </c:dLbl>
            <c:dLbl>
              <c:idx val="37"/>
              <c:tx>
                <c:rich>
                  <a:bodyPr/>
                  <a:lstStyle/>
                  <a:p>
                    <a:fld id="{ACC0F7E5-50B7-4817-88BA-D0F8E7B7B8A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2EDA-40B3-BB7B-95E68EABD13B}"/>
                </c:ext>
              </c:extLst>
            </c:dLbl>
            <c:dLbl>
              <c:idx val="38"/>
              <c:tx>
                <c:rich>
                  <a:bodyPr/>
                  <a:lstStyle/>
                  <a:p>
                    <a:fld id="{5DB65BE3-3F9D-4FAA-84DF-21228F85AF3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2EDA-40B3-BB7B-95E68EABD13B}"/>
                </c:ext>
              </c:extLst>
            </c:dLbl>
            <c:dLbl>
              <c:idx val="39"/>
              <c:tx>
                <c:rich>
                  <a:bodyPr/>
                  <a:lstStyle/>
                  <a:p>
                    <a:fld id="{A9E6CC1F-3979-4ED2-8EA7-1C4C745E99D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2EDA-40B3-BB7B-95E68EABD13B}"/>
                </c:ext>
              </c:extLst>
            </c:dLbl>
            <c:dLbl>
              <c:idx val="40"/>
              <c:tx>
                <c:rich>
                  <a:bodyPr/>
                  <a:lstStyle/>
                  <a:p>
                    <a:fld id="{CB735A46-DA9C-410F-9F9F-3B122E30829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0-2EDA-40B3-BB7B-95E68EABD13B}"/>
                </c:ext>
              </c:extLst>
            </c:dLbl>
            <c:dLbl>
              <c:idx val="41"/>
              <c:tx>
                <c:rich>
                  <a:bodyPr/>
                  <a:lstStyle/>
                  <a:p>
                    <a:fld id="{12791FF2-796B-4911-9482-803041EB161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2EDA-40B3-BB7B-95E68EABD13B}"/>
                </c:ext>
              </c:extLst>
            </c:dLbl>
            <c:dLbl>
              <c:idx val="42"/>
              <c:tx>
                <c:rich>
                  <a:bodyPr/>
                  <a:lstStyle/>
                  <a:p>
                    <a:fld id="{02B99CDD-68CD-46B8-B1D1-A4AFD5A80F9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2EDA-40B3-BB7B-95E68EABD13B}"/>
                </c:ext>
              </c:extLst>
            </c:dLbl>
            <c:dLbl>
              <c:idx val="43"/>
              <c:tx>
                <c:rich>
                  <a:bodyPr/>
                  <a:lstStyle/>
                  <a:p>
                    <a:fld id="{7A5C6091-79F6-4B1F-AB12-3B73B6BE5C8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3-2EDA-40B3-BB7B-95E68EABD13B}"/>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usluga'!$A$114:$A$157</c:f>
              <c:numCache>
                <c:formatCode>yyyy</c:formatCode>
                <c:ptCount val="44"/>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pt idx="40">
                  <c:v>45413</c:v>
                </c:pt>
                <c:pt idx="41">
                  <c:v>45444</c:v>
                </c:pt>
                <c:pt idx="42">
                  <c:v>45474</c:v>
                </c:pt>
                <c:pt idx="43">
                  <c:v>45505</c:v>
                </c:pt>
              </c:numCache>
            </c:numRef>
          </c:cat>
          <c:val>
            <c:numRef>
              <c:f>'BoP_izvoz usluga'!$P$114:$P$157</c:f>
              <c:numCache>
                <c:formatCode>General</c:formatCode>
                <c:ptCount val="44"/>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pt idx="43">
                  <c:v>20</c:v>
                </c:pt>
              </c:numCache>
            </c:numRef>
          </c:val>
          <c:smooth val="0"/>
          <c:extLst>
            <c:ext xmlns:c15="http://schemas.microsoft.com/office/drawing/2012/chart" uri="{02D57815-91ED-43cb-92C2-25804820EDAC}">
              <c15:datalabelsRange>
                <c15:f>'BoP_izvoz usluga'!$J$114:$J$157</c15:f>
                <c15:dlblRangeCache>
                  <c:ptCount val="44"/>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15:dlblRangeCache>
              </c15:datalabelsRange>
            </c:ext>
            <c:ext xmlns:c16="http://schemas.microsoft.com/office/drawing/2014/chart" uri="{C3380CC4-5D6E-409C-BE32-E72D297353CC}">
              <c16:uniqueId val="{00000034-2EDA-40B3-BB7B-95E68EABD13B}"/>
            </c:ext>
          </c:extLst>
        </c:ser>
        <c:dLbls>
          <c:showLegendKey val="0"/>
          <c:showVal val="0"/>
          <c:showCatName val="0"/>
          <c:showSerName val="0"/>
          <c:showPercent val="0"/>
          <c:showBubbleSize val="0"/>
        </c:dLbls>
        <c:smooth val="0"/>
        <c:axId val="1828937008"/>
        <c:axId val="1828920688"/>
      </c:lineChart>
      <c:dateAx>
        <c:axId val="182893700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0688"/>
        <c:crosses val="autoZero"/>
        <c:auto val="1"/>
        <c:lblOffset val="0"/>
        <c:baseTimeUnit val="months"/>
      </c:dateAx>
      <c:valAx>
        <c:axId val="1828920688"/>
        <c:scaling>
          <c:orientation val="minMax"/>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7008"/>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747594050743658E-2"/>
          <c:y val="7.0490227491188717E-2"/>
          <c:w val="0.92936351706036746"/>
          <c:h val="0.74155668862443136"/>
        </c:manualLayout>
      </c:layout>
      <c:areaChart>
        <c:grouping val="stacked"/>
        <c:varyColors val="0"/>
        <c:ser>
          <c:idx val="0"/>
          <c:order val="0"/>
          <c:tx>
            <c:strRef>
              <c:f>'Quarterly GDP chart fan'!$AE$16</c:f>
              <c:strCache>
                <c:ptCount val="1"/>
                <c:pt idx="0">
                  <c:v>Baza</c:v>
                </c:pt>
              </c:strCache>
            </c:strRef>
          </c:tx>
          <c:spPr>
            <a:noFill/>
            <a:ln>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fan'!$AE$17:$AE$30</c:f>
              <c:numCache>
                <c:formatCode>0.00</c:formatCode>
                <c:ptCount val="4"/>
                <c:pt idx="0">
                  <c:v>4.5578956541714604</c:v>
                </c:pt>
                <c:pt idx="1">
                  <c:v>4.0161015208804827</c:v>
                </c:pt>
                <c:pt idx="2">
                  <c:v>2.3000000000000007</c:v>
                </c:pt>
                <c:pt idx="3">
                  <c:v>2.7</c:v>
                </c:pt>
              </c:numCache>
              <c:extLst/>
            </c:numRef>
          </c:val>
          <c:extLst>
            <c:ext xmlns:c16="http://schemas.microsoft.com/office/drawing/2014/chart" uri="{C3380CC4-5D6E-409C-BE32-E72D297353CC}">
              <c16:uniqueId val="{00000000-4915-4F1B-AFF0-11FDC5281773}"/>
            </c:ext>
          </c:extLst>
        </c:ser>
        <c:ser>
          <c:idx val="1"/>
          <c:order val="1"/>
          <c:tx>
            <c:strRef>
              <c:f>'Quarterly GDP chart fan'!$AF$16</c:f>
              <c:strCache>
                <c:ptCount val="1"/>
                <c:pt idx="0">
                  <c:v>Lower 10</c:v>
                </c:pt>
              </c:strCache>
            </c:strRef>
          </c:tx>
          <c:spPr>
            <a:solidFill>
              <a:srgbClr val="C00000">
                <a:alpha val="1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fan'!$AF$17:$AF$30</c:f>
              <c:numCache>
                <c:formatCode>0.0000</c:formatCode>
                <c:ptCount val="4"/>
                <c:pt idx="0">
                  <c:v>0</c:v>
                </c:pt>
                <c:pt idx="1">
                  <c:v>0</c:v>
                </c:pt>
                <c:pt idx="2">
                  <c:v>0.12727272727272743</c:v>
                </c:pt>
                <c:pt idx="3">
                  <c:v>0.1454545454545455</c:v>
                </c:pt>
              </c:numCache>
              <c:extLst/>
            </c:numRef>
          </c:val>
          <c:extLst>
            <c:ext xmlns:c16="http://schemas.microsoft.com/office/drawing/2014/chart" uri="{C3380CC4-5D6E-409C-BE32-E72D297353CC}">
              <c16:uniqueId val="{00000001-4915-4F1B-AFF0-11FDC5281773}"/>
            </c:ext>
          </c:extLst>
        </c:ser>
        <c:ser>
          <c:idx val="2"/>
          <c:order val="2"/>
          <c:tx>
            <c:strRef>
              <c:f>'Quarterly GDP chart fan'!$AG$16</c:f>
              <c:strCache>
                <c:ptCount val="1"/>
                <c:pt idx="0">
                  <c:v>Lower 9</c:v>
                </c:pt>
              </c:strCache>
            </c:strRef>
          </c:tx>
          <c:spPr>
            <a:solidFill>
              <a:srgbClr val="C00000">
                <a:alpha val="2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fan'!$AG$17:$AG$30</c:f>
              <c:numCache>
                <c:formatCode>0.0000</c:formatCode>
                <c:ptCount val="4"/>
                <c:pt idx="0">
                  <c:v>0</c:v>
                </c:pt>
                <c:pt idx="1">
                  <c:v>0</c:v>
                </c:pt>
                <c:pt idx="2">
                  <c:v>0.11454545454545473</c:v>
                </c:pt>
                <c:pt idx="3">
                  <c:v>0.13090909090909086</c:v>
                </c:pt>
              </c:numCache>
              <c:extLst/>
            </c:numRef>
          </c:val>
          <c:extLst>
            <c:ext xmlns:c16="http://schemas.microsoft.com/office/drawing/2014/chart" uri="{C3380CC4-5D6E-409C-BE32-E72D297353CC}">
              <c16:uniqueId val="{00000002-4915-4F1B-AFF0-11FDC5281773}"/>
            </c:ext>
          </c:extLst>
        </c:ser>
        <c:ser>
          <c:idx val="3"/>
          <c:order val="3"/>
          <c:tx>
            <c:strRef>
              <c:f>'Quarterly GDP chart fan'!$AH$16</c:f>
              <c:strCache>
                <c:ptCount val="1"/>
                <c:pt idx="0">
                  <c:v>Lower 8</c:v>
                </c:pt>
              </c:strCache>
            </c:strRef>
          </c:tx>
          <c:spPr>
            <a:solidFill>
              <a:srgbClr val="C00000">
                <a:alpha val="3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fan'!$AH$17:$AH$30</c:f>
              <c:numCache>
                <c:formatCode>0.0000</c:formatCode>
                <c:ptCount val="4"/>
                <c:pt idx="0">
                  <c:v>0</c:v>
                </c:pt>
                <c:pt idx="1">
                  <c:v>0</c:v>
                </c:pt>
                <c:pt idx="2">
                  <c:v>0.10181818181818159</c:v>
                </c:pt>
                <c:pt idx="3">
                  <c:v>0.11636363636363622</c:v>
                </c:pt>
              </c:numCache>
              <c:extLst/>
            </c:numRef>
          </c:val>
          <c:extLst>
            <c:ext xmlns:c16="http://schemas.microsoft.com/office/drawing/2014/chart" uri="{C3380CC4-5D6E-409C-BE32-E72D297353CC}">
              <c16:uniqueId val="{00000003-4915-4F1B-AFF0-11FDC5281773}"/>
            </c:ext>
          </c:extLst>
        </c:ser>
        <c:ser>
          <c:idx val="4"/>
          <c:order val="4"/>
          <c:tx>
            <c:strRef>
              <c:f>'Quarterly GDP chart fan'!$AI$16</c:f>
              <c:strCache>
                <c:ptCount val="1"/>
                <c:pt idx="0">
                  <c:v>Lower 7</c:v>
                </c:pt>
              </c:strCache>
            </c:strRef>
          </c:tx>
          <c:spPr>
            <a:solidFill>
              <a:srgbClr val="C00000">
                <a:alpha val="4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fan'!$AI$17:$AI$30</c:f>
              <c:numCache>
                <c:formatCode>0.0000</c:formatCode>
                <c:ptCount val="4"/>
                <c:pt idx="0">
                  <c:v>0</c:v>
                </c:pt>
                <c:pt idx="1">
                  <c:v>0</c:v>
                </c:pt>
                <c:pt idx="2">
                  <c:v>8.9090909090908887E-2</c:v>
                </c:pt>
                <c:pt idx="3">
                  <c:v>0.10181818181818159</c:v>
                </c:pt>
              </c:numCache>
              <c:extLst/>
            </c:numRef>
          </c:val>
          <c:extLst>
            <c:ext xmlns:c16="http://schemas.microsoft.com/office/drawing/2014/chart" uri="{C3380CC4-5D6E-409C-BE32-E72D297353CC}">
              <c16:uniqueId val="{00000004-4915-4F1B-AFF0-11FDC5281773}"/>
            </c:ext>
          </c:extLst>
        </c:ser>
        <c:ser>
          <c:idx val="5"/>
          <c:order val="5"/>
          <c:tx>
            <c:strRef>
              <c:f>'Quarterly GDP chart fan'!$AJ$16</c:f>
              <c:strCache>
                <c:ptCount val="1"/>
                <c:pt idx="0">
                  <c:v>Lower 6</c:v>
                </c:pt>
              </c:strCache>
            </c:strRef>
          </c:tx>
          <c:spPr>
            <a:solidFill>
              <a:srgbClr val="C00000">
                <a:alpha val="5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fan'!$AJ$17:$AJ$30</c:f>
              <c:numCache>
                <c:formatCode>0.0000</c:formatCode>
                <c:ptCount val="4"/>
                <c:pt idx="0">
                  <c:v>0</c:v>
                </c:pt>
                <c:pt idx="1">
                  <c:v>0</c:v>
                </c:pt>
                <c:pt idx="2">
                  <c:v>7.6363636363636189E-2</c:v>
                </c:pt>
                <c:pt idx="3">
                  <c:v>8.7272727272727391E-2</c:v>
                </c:pt>
              </c:numCache>
              <c:extLst/>
            </c:numRef>
          </c:val>
          <c:extLst>
            <c:ext xmlns:c16="http://schemas.microsoft.com/office/drawing/2014/chart" uri="{C3380CC4-5D6E-409C-BE32-E72D297353CC}">
              <c16:uniqueId val="{00000005-4915-4F1B-AFF0-11FDC5281773}"/>
            </c:ext>
          </c:extLst>
        </c:ser>
        <c:ser>
          <c:idx val="6"/>
          <c:order val="6"/>
          <c:tx>
            <c:strRef>
              <c:f>'Quarterly GDP chart fan'!$AK$16</c:f>
              <c:strCache>
                <c:ptCount val="1"/>
                <c:pt idx="0">
                  <c:v>Lower 5</c:v>
                </c:pt>
              </c:strCache>
            </c:strRef>
          </c:tx>
          <c:spPr>
            <a:solidFill>
              <a:srgbClr val="C00000">
                <a:alpha val="6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fan'!$AK$17:$AK$30</c:f>
              <c:numCache>
                <c:formatCode>0.0000</c:formatCode>
                <c:ptCount val="4"/>
                <c:pt idx="0">
                  <c:v>0</c:v>
                </c:pt>
                <c:pt idx="1">
                  <c:v>0</c:v>
                </c:pt>
                <c:pt idx="2">
                  <c:v>6.3636363636363491E-2</c:v>
                </c:pt>
                <c:pt idx="3">
                  <c:v>7.2727272727272751E-2</c:v>
                </c:pt>
              </c:numCache>
              <c:extLst/>
            </c:numRef>
          </c:val>
          <c:extLst>
            <c:ext xmlns:c16="http://schemas.microsoft.com/office/drawing/2014/chart" uri="{C3380CC4-5D6E-409C-BE32-E72D297353CC}">
              <c16:uniqueId val="{00000006-4915-4F1B-AFF0-11FDC5281773}"/>
            </c:ext>
          </c:extLst>
        </c:ser>
        <c:ser>
          <c:idx val="7"/>
          <c:order val="7"/>
          <c:tx>
            <c:strRef>
              <c:f>'Quarterly GDP chart fan'!$AL$16</c:f>
              <c:strCache>
                <c:ptCount val="1"/>
                <c:pt idx="0">
                  <c:v>Lower 4</c:v>
                </c:pt>
              </c:strCache>
            </c:strRef>
          </c:tx>
          <c:spPr>
            <a:solidFill>
              <a:srgbClr val="C00000">
                <a:alpha val="7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fan'!$AL$17:$AL$30</c:f>
              <c:numCache>
                <c:formatCode>0.0000</c:formatCode>
                <c:ptCount val="4"/>
                <c:pt idx="0">
                  <c:v>0</c:v>
                </c:pt>
                <c:pt idx="1">
                  <c:v>0</c:v>
                </c:pt>
                <c:pt idx="2">
                  <c:v>5.0909090909090793E-2</c:v>
                </c:pt>
                <c:pt idx="3">
                  <c:v>5.8181818181818112E-2</c:v>
                </c:pt>
              </c:numCache>
              <c:extLst/>
            </c:numRef>
          </c:val>
          <c:extLst>
            <c:ext xmlns:c16="http://schemas.microsoft.com/office/drawing/2014/chart" uri="{C3380CC4-5D6E-409C-BE32-E72D297353CC}">
              <c16:uniqueId val="{00000007-4915-4F1B-AFF0-11FDC5281773}"/>
            </c:ext>
          </c:extLst>
        </c:ser>
        <c:ser>
          <c:idx val="8"/>
          <c:order val="8"/>
          <c:tx>
            <c:strRef>
              <c:f>'Quarterly GDP chart fan'!$AM$16</c:f>
              <c:strCache>
                <c:ptCount val="1"/>
                <c:pt idx="0">
                  <c:v>Lower 3</c:v>
                </c:pt>
              </c:strCache>
            </c:strRef>
          </c:tx>
          <c:spPr>
            <a:solidFill>
              <a:srgbClr val="C00000">
                <a:alpha val="8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fan'!$AM$17:$AM$30</c:f>
              <c:numCache>
                <c:formatCode>0.0000</c:formatCode>
                <c:ptCount val="4"/>
                <c:pt idx="0">
                  <c:v>0</c:v>
                </c:pt>
                <c:pt idx="1">
                  <c:v>0</c:v>
                </c:pt>
                <c:pt idx="2">
                  <c:v>3.8181818181818095E-2</c:v>
                </c:pt>
                <c:pt idx="3">
                  <c:v>4.3636363636363473E-2</c:v>
                </c:pt>
              </c:numCache>
              <c:extLst/>
            </c:numRef>
          </c:val>
          <c:extLst>
            <c:ext xmlns:c16="http://schemas.microsoft.com/office/drawing/2014/chart" uri="{C3380CC4-5D6E-409C-BE32-E72D297353CC}">
              <c16:uniqueId val="{00000008-4915-4F1B-AFF0-11FDC5281773}"/>
            </c:ext>
          </c:extLst>
        </c:ser>
        <c:ser>
          <c:idx val="9"/>
          <c:order val="9"/>
          <c:tx>
            <c:strRef>
              <c:f>'Quarterly GDP chart fan'!$AN$16</c:f>
              <c:strCache>
                <c:ptCount val="1"/>
                <c:pt idx="0">
                  <c:v>Lower 2</c:v>
                </c:pt>
              </c:strCache>
            </c:strRef>
          </c:tx>
          <c:spPr>
            <a:solidFill>
              <a:srgbClr val="C00000">
                <a:alpha val="9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fan'!$AN$17:$AN$30</c:f>
              <c:numCache>
                <c:formatCode>0.0000</c:formatCode>
                <c:ptCount val="4"/>
                <c:pt idx="0">
                  <c:v>0</c:v>
                </c:pt>
                <c:pt idx="1">
                  <c:v>0</c:v>
                </c:pt>
                <c:pt idx="2">
                  <c:v>2.5454545454545396E-2</c:v>
                </c:pt>
                <c:pt idx="3">
                  <c:v>2.9090909090909278E-2</c:v>
                </c:pt>
              </c:numCache>
              <c:extLst/>
            </c:numRef>
          </c:val>
          <c:extLst>
            <c:ext xmlns:c16="http://schemas.microsoft.com/office/drawing/2014/chart" uri="{C3380CC4-5D6E-409C-BE32-E72D297353CC}">
              <c16:uniqueId val="{00000009-4915-4F1B-AFF0-11FDC5281773}"/>
            </c:ext>
          </c:extLst>
        </c:ser>
        <c:ser>
          <c:idx val="10"/>
          <c:order val="10"/>
          <c:tx>
            <c:strRef>
              <c:f>'Quarterly GDP chart fan'!$AO$16</c:f>
              <c:strCache>
                <c:ptCount val="1"/>
                <c:pt idx="0">
                  <c:v>Lower 1</c:v>
                </c:pt>
              </c:strCache>
            </c:strRef>
          </c:tx>
          <c:spPr>
            <a:solidFill>
              <a:srgbClr val="C00000"/>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fan'!$AO$17:$AO$30</c:f>
              <c:numCache>
                <c:formatCode>0.0000</c:formatCode>
                <c:ptCount val="4"/>
                <c:pt idx="0">
                  <c:v>0</c:v>
                </c:pt>
                <c:pt idx="1">
                  <c:v>0</c:v>
                </c:pt>
                <c:pt idx="2">
                  <c:v>1.2727272727272698E-2</c:v>
                </c:pt>
                <c:pt idx="3">
                  <c:v>1.4545454545454639E-2</c:v>
                </c:pt>
              </c:numCache>
              <c:extLst/>
            </c:numRef>
          </c:val>
          <c:extLst>
            <c:ext xmlns:c16="http://schemas.microsoft.com/office/drawing/2014/chart" uri="{C3380CC4-5D6E-409C-BE32-E72D297353CC}">
              <c16:uniqueId val="{0000000A-4915-4F1B-AFF0-11FDC5281773}"/>
            </c:ext>
          </c:extLst>
        </c:ser>
        <c:ser>
          <c:idx val="11"/>
          <c:order val="11"/>
          <c:tx>
            <c:strRef>
              <c:f>'Quarterly GDP chart fan'!$AP$16</c:f>
              <c:strCache>
                <c:ptCount val="1"/>
                <c:pt idx="0">
                  <c:v>Upper 1</c:v>
                </c:pt>
              </c:strCache>
            </c:strRef>
          </c:tx>
          <c:spPr>
            <a:solidFill>
              <a:srgbClr val="C00000"/>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fan'!$AP$17:$AP$30</c:f>
              <c:numCache>
                <c:formatCode>0.0000</c:formatCode>
                <c:ptCount val="4"/>
                <c:pt idx="0">
                  <c:v>0</c:v>
                </c:pt>
                <c:pt idx="1">
                  <c:v>0</c:v>
                </c:pt>
                <c:pt idx="2">
                  <c:v>1.2727272727272698E-2</c:v>
                </c:pt>
                <c:pt idx="3">
                  <c:v>1.4545454545454639E-2</c:v>
                </c:pt>
              </c:numCache>
              <c:extLst/>
            </c:numRef>
          </c:val>
          <c:extLst>
            <c:ext xmlns:c16="http://schemas.microsoft.com/office/drawing/2014/chart" uri="{C3380CC4-5D6E-409C-BE32-E72D297353CC}">
              <c16:uniqueId val="{0000000B-4915-4F1B-AFF0-11FDC5281773}"/>
            </c:ext>
          </c:extLst>
        </c:ser>
        <c:ser>
          <c:idx val="12"/>
          <c:order val="12"/>
          <c:tx>
            <c:strRef>
              <c:f>'Quarterly GDP chart fan'!$AQ$16</c:f>
              <c:strCache>
                <c:ptCount val="1"/>
                <c:pt idx="0">
                  <c:v>Upper 2</c:v>
                </c:pt>
              </c:strCache>
            </c:strRef>
          </c:tx>
          <c:spPr>
            <a:solidFill>
              <a:srgbClr val="C00000">
                <a:alpha val="9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fan'!$AQ$17:$AQ$30</c:f>
              <c:numCache>
                <c:formatCode>0.0000</c:formatCode>
                <c:ptCount val="4"/>
                <c:pt idx="0">
                  <c:v>0</c:v>
                </c:pt>
                <c:pt idx="1">
                  <c:v>0</c:v>
                </c:pt>
                <c:pt idx="2">
                  <c:v>2.5454545454545396E-2</c:v>
                </c:pt>
                <c:pt idx="3">
                  <c:v>2.9090909090909278E-2</c:v>
                </c:pt>
              </c:numCache>
              <c:extLst/>
            </c:numRef>
          </c:val>
          <c:extLst>
            <c:ext xmlns:c16="http://schemas.microsoft.com/office/drawing/2014/chart" uri="{C3380CC4-5D6E-409C-BE32-E72D297353CC}">
              <c16:uniqueId val="{0000000C-4915-4F1B-AFF0-11FDC5281773}"/>
            </c:ext>
          </c:extLst>
        </c:ser>
        <c:ser>
          <c:idx val="13"/>
          <c:order val="13"/>
          <c:tx>
            <c:strRef>
              <c:f>'Quarterly GDP chart fan'!$AR$16</c:f>
              <c:strCache>
                <c:ptCount val="1"/>
                <c:pt idx="0">
                  <c:v>Upper 3</c:v>
                </c:pt>
              </c:strCache>
            </c:strRef>
          </c:tx>
          <c:spPr>
            <a:solidFill>
              <a:srgbClr val="C00000">
                <a:alpha val="8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fan'!$AR$17:$AR$30</c:f>
              <c:numCache>
                <c:formatCode>0.0000</c:formatCode>
                <c:ptCount val="4"/>
                <c:pt idx="0">
                  <c:v>0</c:v>
                </c:pt>
                <c:pt idx="1">
                  <c:v>0</c:v>
                </c:pt>
                <c:pt idx="2">
                  <c:v>3.8181818181818095E-2</c:v>
                </c:pt>
                <c:pt idx="3">
                  <c:v>4.3636363636363473E-2</c:v>
                </c:pt>
              </c:numCache>
              <c:extLst/>
            </c:numRef>
          </c:val>
          <c:extLst>
            <c:ext xmlns:c16="http://schemas.microsoft.com/office/drawing/2014/chart" uri="{C3380CC4-5D6E-409C-BE32-E72D297353CC}">
              <c16:uniqueId val="{0000000D-4915-4F1B-AFF0-11FDC5281773}"/>
            </c:ext>
          </c:extLst>
        </c:ser>
        <c:ser>
          <c:idx val="14"/>
          <c:order val="14"/>
          <c:tx>
            <c:strRef>
              <c:f>'Quarterly GDP chart fan'!$AS$16</c:f>
              <c:strCache>
                <c:ptCount val="1"/>
                <c:pt idx="0">
                  <c:v>Upper 4</c:v>
                </c:pt>
              </c:strCache>
            </c:strRef>
          </c:tx>
          <c:spPr>
            <a:solidFill>
              <a:srgbClr val="C00000">
                <a:alpha val="7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fan'!$AS$17:$AS$30</c:f>
              <c:numCache>
                <c:formatCode>0.0000</c:formatCode>
                <c:ptCount val="4"/>
                <c:pt idx="0">
                  <c:v>0</c:v>
                </c:pt>
                <c:pt idx="1">
                  <c:v>0</c:v>
                </c:pt>
                <c:pt idx="2">
                  <c:v>5.0909090909090793E-2</c:v>
                </c:pt>
                <c:pt idx="3">
                  <c:v>5.8181818181818112E-2</c:v>
                </c:pt>
              </c:numCache>
              <c:extLst/>
            </c:numRef>
          </c:val>
          <c:extLst>
            <c:ext xmlns:c16="http://schemas.microsoft.com/office/drawing/2014/chart" uri="{C3380CC4-5D6E-409C-BE32-E72D297353CC}">
              <c16:uniqueId val="{0000000E-4915-4F1B-AFF0-11FDC5281773}"/>
            </c:ext>
          </c:extLst>
        </c:ser>
        <c:ser>
          <c:idx val="15"/>
          <c:order val="15"/>
          <c:tx>
            <c:strRef>
              <c:f>'Quarterly GDP chart fan'!$AT$16</c:f>
              <c:strCache>
                <c:ptCount val="1"/>
                <c:pt idx="0">
                  <c:v>Upper 5</c:v>
                </c:pt>
              </c:strCache>
            </c:strRef>
          </c:tx>
          <c:spPr>
            <a:solidFill>
              <a:srgbClr val="C00000">
                <a:alpha val="6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fan'!$AT$17:$AT$30</c:f>
              <c:numCache>
                <c:formatCode>0.0000</c:formatCode>
                <c:ptCount val="4"/>
                <c:pt idx="0">
                  <c:v>0</c:v>
                </c:pt>
                <c:pt idx="1">
                  <c:v>0</c:v>
                </c:pt>
                <c:pt idx="2">
                  <c:v>6.3636363636363491E-2</c:v>
                </c:pt>
                <c:pt idx="3">
                  <c:v>7.2727272727272751E-2</c:v>
                </c:pt>
              </c:numCache>
              <c:extLst/>
            </c:numRef>
          </c:val>
          <c:extLst>
            <c:ext xmlns:c16="http://schemas.microsoft.com/office/drawing/2014/chart" uri="{C3380CC4-5D6E-409C-BE32-E72D297353CC}">
              <c16:uniqueId val="{0000000F-4915-4F1B-AFF0-11FDC5281773}"/>
            </c:ext>
          </c:extLst>
        </c:ser>
        <c:ser>
          <c:idx val="16"/>
          <c:order val="16"/>
          <c:tx>
            <c:strRef>
              <c:f>'Quarterly GDP chart fan'!$AU$16</c:f>
              <c:strCache>
                <c:ptCount val="1"/>
                <c:pt idx="0">
                  <c:v>Upper 6</c:v>
                </c:pt>
              </c:strCache>
            </c:strRef>
          </c:tx>
          <c:spPr>
            <a:solidFill>
              <a:srgbClr val="C00000">
                <a:alpha val="5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fan'!$AU$17:$AU$30</c:f>
              <c:numCache>
                <c:formatCode>0.0000</c:formatCode>
                <c:ptCount val="4"/>
                <c:pt idx="0">
                  <c:v>0</c:v>
                </c:pt>
                <c:pt idx="1">
                  <c:v>0</c:v>
                </c:pt>
                <c:pt idx="2">
                  <c:v>7.6363636363636189E-2</c:v>
                </c:pt>
                <c:pt idx="3">
                  <c:v>8.7272727272727391E-2</c:v>
                </c:pt>
              </c:numCache>
              <c:extLst/>
            </c:numRef>
          </c:val>
          <c:extLst>
            <c:ext xmlns:c16="http://schemas.microsoft.com/office/drawing/2014/chart" uri="{C3380CC4-5D6E-409C-BE32-E72D297353CC}">
              <c16:uniqueId val="{00000010-4915-4F1B-AFF0-11FDC5281773}"/>
            </c:ext>
          </c:extLst>
        </c:ser>
        <c:ser>
          <c:idx val="17"/>
          <c:order val="17"/>
          <c:tx>
            <c:strRef>
              <c:f>'Quarterly GDP chart fan'!$AV$16</c:f>
              <c:strCache>
                <c:ptCount val="1"/>
                <c:pt idx="0">
                  <c:v>Upper 7</c:v>
                </c:pt>
              </c:strCache>
            </c:strRef>
          </c:tx>
          <c:spPr>
            <a:solidFill>
              <a:srgbClr val="C00000">
                <a:alpha val="4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fan'!$AV$17:$AV$30</c:f>
              <c:numCache>
                <c:formatCode>0.0000</c:formatCode>
                <c:ptCount val="4"/>
                <c:pt idx="0">
                  <c:v>0</c:v>
                </c:pt>
                <c:pt idx="1">
                  <c:v>0</c:v>
                </c:pt>
                <c:pt idx="2">
                  <c:v>8.9090909090908887E-2</c:v>
                </c:pt>
                <c:pt idx="3">
                  <c:v>0.10181818181818159</c:v>
                </c:pt>
              </c:numCache>
              <c:extLst/>
            </c:numRef>
          </c:val>
          <c:extLst>
            <c:ext xmlns:c16="http://schemas.microsoft.com/office/drawing/2014/chart" uri="{C3380CC4-5D6E-409C-BE32-E72D297353CC}">
              <c16:uniqueId val="{00000011-4915-4F1B-AFF0-11FDC5281773}"/>
            </c:ext>
          </c:extLst>
        </c:ser>
        <c:ser>
          <c:idx val="18"/>
          <c:order val="18"/>
          <c:tx>
            <c:strRef>
              <c:f>'Quarterly GDP chart fan'!$AW$16</c:f>
              <c:strCache>
                <c:ptCount val="1"/>
                <c:pt idx="0">
                  <c:v>Upper 8</c:v>
                </c:pt>
              </c:strCache>
            </c:strRef>
          </c:tx>
          <c:spPr>
            <a:solidFill>
              <a:srgbClr val="C00000">
                <a:alpha val="3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fan'!$AW$17:$AW$30</c:f>
              <c:numCache>
                <c:formatCode>0.0000</c:formatCode>
                <c:ptCount val="4"/>
                <c:pt idx="0">
                  <c:v>0</c:v>
                </c:pt>
                <c:pt idx="1">
                  <c:v>0</c:v>
                </c:pt>
                <c:pt idx="2">
                  <c:v>0.10181818181818159</c:v>
                </c:pt>
                <c:pt idx="3">
                  <c:v>0.11636363636363622</c:v>
                </c:pt>
              </c:numCache>
              <c:extLst/>
            </c:numRef>
          </c:val>
          <c:extLst>
            <c:ext xmlns:c16="http://schemas.microsoft.com/office/drawing/2014/chart" uri="{C3380CC4-5D6E-409C-BE32-E72D297353CC}">
              <c16:uniqueId val="{00000012-4915-4F1B-AFF0-11FDC5281773}"/>
            </c:ext>
          </c:extLst>
        </c:ser>
        <c:ser>
          <c:idx val="19"/>
          <c:order val="19"/>
          <c:tx>
            <c:strRef>
              <c:f>'Quarterly GDP chart fan'!$AX$16</c:f>
              <c:strCache>
                <c:ptCount val="1"/>
                <c:pt idx="0">
                  <c:v>Upper 9</c:v>
                </c:pt>
              </c:strCache>
            </c:strRef>
          </c:tx>
          <c:spPr>
            <a:solidFill>
              <a:srgbClr val="C00000">
                <a:alpha val="2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fan'!$AX$17:$AX$30</c:f>
              <c:numCache>
                <c:formatCode>0.0000</c:formatCode>
                <c:ptCount val="4"/>
                <c:pt idx="0">
                  <c:v>0</c:v>
                </c:pt>
                <c:pt idx="1">
                  <c:v>0</c:v>
                </c:pt>
                <c:pt idx="2">
                  <c:v>0.11454545454545473</c:v>
                </c:pt>
                <c:pt idx="3">
                  <c:v>0.13090909090909086</c:v>
                </c:pt>
              </c:numCache>
              <c:extLst/>
            </c:numRef>
          </c:val>
          <c:extLst>
            <c:ext xmlns:c16="http://schemas.microsoft.com/office/drawing/2014/chart" uri="{C3380CC4-5D6E-409C-BE32-E72D297353CC}">
              <c16:uniqueId val="{00000013-4915-4F1B-AFF0-11FDC5281773}"/>
            </c:ext>
          </c:extLst>
        </c:ser>
        <c:ser>
          <c:idx val="20"/>
          <c:order val="20"/>
          <c:tx>
            <c:strRef>
              <c:f>'Quarterly GDP chart fan'!$AY$16</c:f>
              <c:strCache>
                <c:ptCount val="1"/>
                <c:pt idx="0">
                  <c:v>Upper 10</c:v>
                </c:pt>
              </c:strCache>
            </c:strRef>
          </c:tx>
          <c:spPr>
            <a:solidFill>
              <a:srgbClr val="C00000">
                <a:alpha val="10000"/>
              </a:srgbClr>
            </a:solidFill>
            <a:ln w="25400">
              <a:noFill/>
            </a:ln>
            <a:effectLst/>
          </c:spPr>
          <c:cat>
            <c:multiLvlStrRef>
              <c:f>'Quarterly GDP chart fan'!$B$17:$C$29</c:f>
              <c:multiLvlStrCache>
                <c:ptCount val="4"/>
                <c:lvl>
                  <c:pt idx="0">
                    <c:v>Q1</c:v>
                  </c:pt>
                  <c:pt idx="1">
                    <c:v>Q2</c:v>
                  </c:pt>
                  <c:pt idx="2">
                    <c:v>Q3</c:v>
                  </c:pt>
                  <c:pt idx="3">
                    <c:v>Q4</c:v>
                  </c:pt>
                </c:lvl>
                <c:lvl>
                  <c:pt idx="0">
                    <c:v>2024</c:v>
                  </c:pt>
                </c:lvl>
              </c:multiLvlStrCache>
              <c:extLst/>
            </c:multiLvlStrRef>
          </c:cat>
          <c:val>
            <c:numRef>
              <c:f>'Quarterly GDP chart fan'!$AY$17:$AY$30</c:f>
              <c:numCache>
                <c:formatCode>0.0000</c:formatCode>
                <c:ptCount val="4"/>
                <c:pt idx="0">
                  <c:v>0</c:v>
                </c:pt>
                <c:pt idx="1">
                  <c:v>0</c:v>
                </c:pt>
                <c:pt idx="2">
                  <c:v>0.12727272727272743</c:v>
                </c:pt>
                <c:pt idx="3">
                  <c:v>0.1454545454545455</c:v>
                </c:pt>
              </c:numCache>
              <c:extLst/>
            </c:numRef>
          </c:val>
          <c:extLst>
            <c:ext xmlns:c16="http://schemas.microsoft.com/office/drawing/2014/chart" uri="{C3380CC4-5D6E-409C-BE32-E72D297353CC}">
              <c16:uniqueId val="{00000014-4915-4F1B-AFF0-11FDC5281773}"/>
            </c:ext>
          </c:extLst>
        </c:ser>
        <c:dLbls>
          <c:showLegendKey val="0"/>
          <c:showVal val="0"/>
          <c:showCatName val="0"/>
          <c:showSerName val="0"/>
          <c:showPercent val="0"/>
          <c:showBubbleSize val="0"/>
        </c:dLbls>
        <c:axId val="136355472"/>
        <c:axId val="136350480"/>
      </c:areaChart>
      <c:lineChart>
        <c:grouping val="standard"/>
        <c:varyColors val="0"/>
        <c:ser>
          <c:idx val="21"/>
          <c:order val="21"/>
          <c:tx>
            <c:strRef>
              <c:f>'Quarterly GDP chart fan'!$J$16</c:f>
              <c:strCache>
                <c:ptCount val="1"/>
                <c:pt idx="0">
                  <c:v>Kombinovana</c:v>
                </c:pt>
              </c:strCache>
            </c:strRef>
          </c:tx>
          <c:spPr>
            <a:ln w="12700" cap="rnd">
              <a:solidFill>
                <a:schemeClr val="tx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4"/>
              <c:pt idx="0">
                <c:v>2024 Q1</c:v>
              </c:pt>
              <c:pt idx="1">
                <c:v>2024 Q2</c:v>
              </c:pt>
              <c:pt idx="2">
                <c:v>2024 Q3</c:v>
              </c:pt>
              <c:pt idx="3">
                <c:v>2024 Q4</c:v>
              </c:pt>
              <c:extLst>
                <c:ext xmlns:c15="http://schemas.microsoft.com/office/drawing/2012/chart" uri="{02D57815-91ED-43cb-92C2-25804820EDAC}">
                  <c15:autoCat val="1"/>
                </c:ext>
              </c:extLst>
            </c:strLit>
          </c:cat>
          <c:val>
            <c:numRef>
              <c:f>'Quarterly GDP chart fan'!$J$17:$J$30</c:f>
              <c:numCache>
                <c:formatCode>0.0</c:formatCode>
                <c:ptCount val="4"/>
                <c:pt idx="0">
                  <c:v>4.5578956541714604</c:v>
                </c:pt>
                <c:pt idx="1">
                  <c:v>4.0161015208804827</c:v>
                </c:pt>
                <c:pt idx="2">
                  <c:v>3</c:v>
                </c:pt>
                <c:pt idx="3">
                  <c:v>3.5</c:v>
                </c:pt>
              </c:numCache>
              <c:extLst/>
            </c:numRef>
          </c:val>
          <c:smooth val="0"/>
          <c:extLst>
            <c:ext xmlns:c16="http://schemas.microsoft.com/office/drawing/2014/chart" uri="{C3380CC4-5D6E-409C-BE32-E72D297353CC}">
              <c16:uniqueId val="{00000015-4915-4F1B-AFF0-11FDC5281773}"/>
            </c:ext>
          </c:extLst>
        </c:ser>
        <c:dLbls>
          <c:showLegendKey val="0"/>
          <c:showVal val="0"/>
          <c:showCatName val="0"/>
          <c:showSerName val="0"/>
          <c:showPercent val="0"/>
          <c:showBubbleSize val="0"/>
        </c:dLbls>
        <c:marker val="1"/>
        <c:smooth val="0"/>
        <c:axId val="136355472"/>
        <c:axId val="136350480"/>
      </c:lineChart>
      <c:catAx>
        <c:axId val="136355472"/>
        <c:scaling>
          <c:orientation val="minMax"/>
        </c:scaling>
        <c:delete val="0"/>
        <c:axPos val="b"/>
        <c:numFmt formatCode="General" sourceLinked="1"/>
        <c:majorTickMark val="out"/>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b" anchorCtr="0"/>
          <a:lstStyle/>
          <a:p>
            <a:pPr>
              <a:defRPr sz="750" b="0" i="0" u="none" strike="noStrike" kern="1200" baseline="0">
                <a:solidFill>
                  <a:schemeClr val="tx2"/>
                </a:solidFill>
                <a:latin typeface="+mn-lt"/>
                <a:ea typeface="+mn-ea"/>
                <a:cs typeface="+mn-cs"/>
              </a:defRPr>
            </a:pPr>
            <a:endParaRPr lang="sr-Latn-RS"/>
          </a:p>
        </c:txPr>
        <c:crossAx val="136350480"/>
        <c:crosses val="autoZero"/>
        <c:auto val="1"/>
        <c:lblAlgn val="ctr"/>
        <c:lblOffset val="100"/>
        <c:noMultiLvlLbl val="0"/>
      </c:catAx>
      <c:valAx>
        <c:axId val="136350480"/>
        <c:scaling>
          <c:orientation val="minMax"/>
          <c:max val="5"/>
          <c:min val="1"/>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36355472"/>
        <c:crosses val="autoZero"/>
        <c:crossBetween val="between"/>
        <c:majorUnit val="1"/>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BDP_doprinosi!$R$8</c:f>
              <c:strCache>
                <c:ptCount val="1"/>
                <c:pt idx="0">
                  <c:v>Приватна потрошња</c:v>
                </c:pt>
              </c:strCache>
            </c:strRef>
          </c:tx>
          <c:spPr>
            <a:solidFill>
              <a:srgbClr val="10103C"/>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BDP_doprinosi!$AE$8:$AL$8</c:f>
              <c:numCache>
                <c:formatCode>0.0</c:formatCode>
                <c:ptCount val="7"/>
                <c:pt idx="0">
                  <c:v>4.9855144939129037</c:v>
                </c:pt>
                <c:pt idx="1">
                  <c:v>2.2066920500920113</c:v>
                </c:pt>
                <c:pt idx="2">
                  <c:v>0.33183102897687944</c:v>
                </c:pt>
                <c:pt idx="3">
                  <c:v>2.8380089567087738</c:v>
                </c:pt>
                <c:pt idx="4">
                  <c:v>2.6027349496918468</c:v>
                </c:pt>
                <c:pt idx="5">
                  <c:v>2.0421889228859427</c:v>
                </c:pt>
                <c:pt idx="6">
                  <c:v>1.8350608094368033</c:v>
                </c:pt>
              </c:numCache>
              <c:extLst/>
            </c:numRef>
          </c:val>
          <c:extLst>
            <c:ext xmlns:c16="http://schemas.microsoft.com/office/drawing/2014/chart" uri="{C3380CC4-5D6E-409C-BE32-E72D297353CC}">
              <c16:uniqueId val="{00000000-7175-41A6-B3D6-B27479F21287}"/>
            </c:ext>
          </c:extLst>
        </c:ser>
        <c:ser>
          <c:idx val="3"/>
          <c:order val="1"/>
          <c:tx>
            <c:strRef>
              <c:f>BDP_doprinosi!$R$9</c:f>
              <c:strCache>
                <c:ptCount val="1"/>
                <c:pt idx="0">
                  <c:v>Државна потрошња</c:v>
                </c:pt>
              </c:strCache>
            </c:strRef>
          </c:tx>
          <c:spPr>
            <a:solidFill>
              <a:srgbClr val="29489A"/>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BDP_doprinosi!$AE$9:$AL$9</c:f>
              <c:numCache>
                <c:formatCode>0.0</c:formatCode>
                <c:ptCount val="7"/>
                <c:pt idx="0">
                  <c:v>0.80633949006526828</c:v>
                </c:pt>
                <c:pt idx="1">
                  <c:v>0.24535717484312647</c:v>
                </c:pt>
                <c:pt idx="2">
                  <c:v>-0.44215128061637587</c:v>
                </c:pt>
                <c:pt idx="3">
                  <c:v>0.5396159959686283</c:v>
                </c:pt>
                <c:pt idx="4">
                  <c:v>0.38747322681066226</c:v>
                </c:pt>
                <c:pt idx="5">
                  <c:v>0.3803308631828145</c:v>
                </c:pt>
                <c:pt idx="6">
                  <c:v>0.33391463823559087</c:v>
                </c:pt>
              </c:numCache>
              <c:extLst/>
            </c:numRef>
          </c:val>
          <c:extLst>
            <c:ext xmlns:c16="http://schemas.microsoft.com/office/drawing/2014/chart" uri="{C3380CC4-5D6E-409C-BE32-E72D297353CC}">
              <c16:uniqueId val="{00000001-7175-41A6-B3D6-B27479F21287}"/>
            </c:ext>
          </c:extLst>
        </c:ser>
        <c:ser>
          <c:idx val="1"/>
          <c:order val="2"/>
          <c:tx>
            <c:strRef>
              <c:f>BDP_doprinosi!$R$10</c:f>
              <c:strCache>
                <c:ptCount val="1"/>
                <c:pt idx="0">
                  <c:v>Инвестиције</c:v>
                </c:pt>
              </c:strCache>
            </c:strRef>
          </c:tx>
          <c:spPr>
            <a:solidFill>
              <a:srgbClr val="2183C4"/>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BDP_doprinosi!$AE$10:$AL$10</c:f>
              <c:numCache>
                <c:formatCode>0.0</c:formatCode>
                <c:ptCount val="7"/>
                <c:pt idx="0">
                  <c:v>3.1469786984236165</c:v>
                </c:pt>
                <c:pt idx="1">
                  <c:v>0.5017158770996798</c:v>
                </c:pt>
                <c:pt idx="2">
                  <c:v>2.3213659464193923</c:v>
                </c:pt>
                <c:pt idx="3">
                  <c:v>2.2401409499740748</c:v>
                </c:pt>
                <c:pt idx="4">
                  <c:v>1.9783294058775911</c:v>
                </c:pt>
                <c:pt idx="5">
                  <c:v>1.9910612003078265</c:v>
                </c:pt>
                <c:pt idx="6">
                  <c:v>1.911843798362221</c:v>
                </c:pt>
              </c:numCache>
              <c:extLst/>
            </c:numRef>
          </c:val>
          <c:extLst>
            <c:ext xmlns:c16="http://schemas.microsoft.com/office/drawing/2014/chart" uri="{C3380CC4-5D6E-409C-BE32-E72D297353CC}">
              <c16:uniqueId val="{00000002-7175-41A6-B3D6-B27479F21287}"/>
            </c:ext>
          </c:extLst>
        </c:ser>
        <c:ser>
          <c:idx val="0"/>
          <c:order val="3"/>
          <c:tx>
            <c:strRef>
              <c:f>BDP_doprinosi!$R$11</c:f>
              <c:strCache>
                <c:ptCount val="1"/>
                <c:pt idx="0">
                  <c:v>Нето извоз</c:v>
                </c:pt>
              </c:strCache>
            </c:strRef>
          </c:tx>
          <c:spPr>
            <a:solidFill>
              <a:srgbClr val="51BBE7"/>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BDP_doprinosi!$AE$11:$AL$11</c:f>
              <c:numCache>
                <c:formatCode>0.0</c:formatCode>
                <c:ptCount val="7"/>
                <c:pt idx="0">
                  <c:v>-0.16502558242154691</c:v>
                </c:pt>
                <c:pt idx="1">
                  <c:v>-0.77659463953919172</c:v>
                </c:pt>
                <c:pt idx="2">
                  <c:v>2.8186404350303107</c:v>
                </c:pt>
                <c:pt idx="3">
                  <c:v>-2.5346390870821311</c:v>
                </c:pt>
                <c:pt idx="4">
                  <c:v>-0.85589776983835286</c:v>
                </c:pt>
                <c:pt idx="5">
                  <c:v>-0.48334199442912079</c:v>
                </c:pt>
                <c:pt idx="6">
                  <c:v>0.96700298187008515</c:v>
                </c:pt>
              </c:numCache>
              <c:extLst/>
            </c:numRef>
          </c:val>
          <c:extLst>
            <c:ext xmlns:c16="http://schemas.microsoft.com/office/drawing/2014/chart" uri="{C3380CC4-5D6E-409C-BE32-E72D297353CC}">
              <c16:uniqueId val="{00000003-7175-41A6-B3D6-B27479F21287}"/>
            </c:ext>
          </c:extLst>
        </c:ser>
        <c:ser>
          <c:idx val="4"/>
          <c:order val="4"/>
          <c:tx>
            <c:strRef>
              <c:f>BDP_doprinosi!$R$12</c:f>
              <c:strCache>
                <c:ptCount val="1"/>
                <c:pt idx="0">
                  <c:v>Промена у залихама</c:v>
                </c:pt>
              </c:strCache>
            </c:strRef>
          </c:tx>
          <c:spPr>
            <a:solidFill>
              <a:srgbClr val="9ED1E6"/>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BDP_doprinosi!$AE$12:$AL$12</c:f>
              <c:numCache>
                <c:formatCode>0.0</c:formatCode>
                <c:ptCount val="7"/>
                <c:pt idx="0">
                  <c:v>-0.82475029626915608</c:v>
                </c:pt>
                <c:pt idx="1">
                  <c:v>0.45381595902653044</c:v>
                </c:pt>
                <c:pt idx="2">
                  <c:v>-1.1822141759975731</c:v>
                </c:pt>
                <c:pt idx="3">
                  <c:v>0.6668731844306689</c:v>
                </c:pt>
                <c:pt idx="4">
                  <c:v>4.7360187458251768E-2</c:v>
                </c:pt>
                <c:pt idx="5">
                  <c:v>4.4761008052521221E-2</c:v>
                </c:pt>
                <c:pt idx="6">
                  <c:v>-4.7822227904700733E-2</c:v>
                </c:pt>
              </c:numCache>
              <c:extLst/>
            </c:numRef>
          </c:val>
          <c:extLst>
            <c:ext xmlns:c16="http://schemas.microsoft.com/office/drawing/2014/chart" uri="{C3380CC4-5D6E-409C-BE32-E72D297353CC}">
              <c16:uniqueId val="{00000004-7175-41A6-B3D6-B27479F21287}"/>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BDP_doprinosi!$AE$6:$AL$6</c:f>
              <c:numCache>
                <c:formatCode>General</c:formatCode>
                <c:ptCount val="7"/>
                <c:pt idx="0">
                  <c:v>2021</c:v>
                </c:pt>
                <c:pt idx="1">
                  <c:v>2022</c:v>
                </c:pt>
                <c:pt idx="2">
                  <c:v>2023</c:v>
                </c:pt>
                <c:pt idx="3">
                  <c:v>2024</c:v>
                </c:pt>
                <c:pt idx="4">
                  <c:v>2025</c:v>
                </c:pt>
                <c:pt idx="5">
                  <c:v>2026</c:v>
                </c:pt>
                <c:pt idx="6">
                  <c:v>2027</c:v>
                </c:pt>
              </c:numCache>
              <c:extLst/>
            </c:numRef>
          </c:cat>
          <c:val>
            <c:numRef>
              <c:f>BDP_doprinosi!$AE$13:$AL$13</c:f>
              <c:numCache>
                <c:formatCode>0.0</c:formatCode>
                <c:ptCount val="7"/>
                <c:pt idx="0">
                  <c:v>7.9490568037111009</c:v>
                </c:pt>
                <c:pt idx="1">
                  <c:v>2.6309864215221368</c:v>
                </c:pt>
                <c:pt idx="2">
                  <c:v>3.8474719538126321</c:v>
                </c:pt>
                <c:pt idx="3">
                  <c:v>3.8</c:v>
                </c:pt>
                <c:pt idx="4">
                  <c:v>4.2</c:v>
                </c:pt>
                <c:pt idx="5">
                  <c:v>4</c:v>
                </c:pt>
                <c:pt idx="6">
                  <c:v>5</c:v>
                </c:pt>
              </c:numCache>
              <c:extLst/>
            </c:numRef>
          </c:val>
          <c:smooth val="0"/>
          <c:extLst>
            <c:ext xmlns:c16="http://schemas.microsoft.com/office/drawing/2014/chart" uri="{C3380CC4-5D6E-409C-BE32-E72D297353CC}">
              <c16:uniqueId val="{00000005-7175-41A6-B3D6-B27479F21287}"/>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100"/>
        <c:noMultiLvlLbl val="0"/>
      </c:catAx>
      <c:valAx>
        <c:axId val="1768855072"/>
        <c:scaling>
          <c:orientation val="minMax"/>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6834989589248528"/>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BDP_doprinosi!$AF$34:$AL$34</c:f>
              <c:numCache>
                <c:formatCode>0.0</c:formatCode>
                <c:ptCount val="7"/>
                <c:pt idx="0">
                  <c:v>-0.12332786204156268</c:v>
                </c:pt>
                <c:pt idx="1">
                  <c:v>-0.3905003996335783</c:v>
                </c:pt>
                <c:pt idx="2">
                  <c:v>0.39724555358175428</c:v>
                </c:pt>
                <c:pt idx="3">
                  <c:v>-0.31260656234371642</c:v>
                </c:pt>
                <c:pt idx="4">
                  <c:v>0.22976030023849123</c:v>
                </c:pt>
                <c:pt idx="5">
                  <c:v>0</c:v>
                </c:pt>
                <c:pt idx="6">
                  <c:v>-2.2092336561393387E-3</c:v>
                </c:pt>
              </c:numCache>
            </c:numRef>
          </c:val>
          <c:extLst>
            <c:ext xmlns:c16="http://schemas.microsoft.com/office/drawing/2014/chart" uri="{C3380CC4-5D6E-409C-BE32-E72D297353CC}">
              <c16:uniqueId val="{00000000-27F9-40FF-8CBE-03B8950C90D9}"/>
            </c:ext>
          </c:extLst>
        </c:ser>
        <c:ser>
          <c:idx val="1"/>
          <c:order val="1"/>
          <c:tx>
            <c:strRef>
              <c:f>BDP_doprinosi!$R$35</c:f>
              <c:strCache>
                <c:ptCount val="1"/>
                <c:pt idx="0">
                  <c:v>Индустрија</c:v>
                </c:pt>
              </c:strCache>
            </c:strRef>
          </c:tx>
          <c:spPr>
            <a:solidFill>
              <a:srgbClr val="29489A"/>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BDP_doprinosi!$AF$35:$AL$35</c:f>
              <c:numCache>
                <c:formatCode>0.0</c:formatCode>
                <c:ptCount val="7"/>
                <c:pt idx="0">
                  <c:v>1.2218163879079065</c:v>
                </c:pt>
                <c:pt idx="1">
                  <c:v>0.81446630973366285</c:v>
                </c:pt>
                <c:pt idx="2">
                  <c:v>0.42758436892858137</c:v>
                </c:pt>
                <c:pt idx="3">
                  <c:v>0.53245571624655363</c:v>
                </c:pt>
                <c:pt idx="4">
                  <c:v>0.80370674150423194</c:v>
                </c:pt>
                <c:pt idx="5">
                  <c:v>0.86398474711704931</c:v>
                </c:pt>
                <c:pt idx="6">
                  <c:v>0.97248515722012063</c:v>
                </c:pt>
              </c:numCache>
            </c:numRef>
          </c:val>
          <c:extLst>
            <c:ext xmlns:c16="http://schemas.microsoft.com/office/drawing/2014/chart" uri="{C3380CC4-5D6E-409C-BE32-E72D297353CC}">
              <c16:uniqueId val="{00000001-27F9-40FF-8CBE-03B8950C90D9}"/>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BDP_doprinosi!$AF$36:$AL$36</c:f>
              <c:numCache>
                <c:formatCode>0.0</c:formatCode>
                <c:ptCount val="7"/>
                <c:pt idx="0">
                  <c:v>0.8785132427906609</c:v>
                </c:pt>
                <c:pt idx="1">
                  <c:v>-0.51995400260096358</c:v>
                </c:pt>
                <c:pt idx="2">
                  <c:v>0.50184602353374486</c:v>
                </c:pt>
                <c:pt idx="3">
                  <c:v>0.46486332912185474</c:v>
                </c:pt>
                <c:pt idx="4">
                  <c:v>0.42722669197194529</c:v>
                </c:pt>
                <c:pt idx="5">
                  <c:v>0.37128033945180955</c:v>
                </c:pt>
                <c:pt idx="6">
                  <c:v>0.36619430740452452</c:v>
                </c:pt>
              </c:numCache>
            </c:numRef>
          </c:val>
          <c:extLst>
            <c:ext xmlns:c16="http://schemas.microsoft.com/office/drawing/2014/chart" uri="{C3380CC4-5D6E-409C-BE32-E72D297353CC}">
              <c16:uniqueId val="{00000002-27F9-40FF-8CBE-03B8950C90D9}"/>
            </c:ext>
          </c:extLst>
        </c:ser>
        <c:ser>
          <c:idx val="3"/>
          <c:order val="3"/>
          <c:tx>
            <c:strRef>
              <c:f>BDP_doprinosi!$R$37</c:f>
              <c:strCache>
                <c:ptCount val="1"/>
                <c:pt idx="0">
                  <c:v>Услуге</c:v>
                </c:pt>
              </c:strCache>
            </c:strRef>
          </c:tx>
          <c:spPr>
            <a:solidFill>
              <a:srgbClr val="51BBE7"/>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BDP_doprinosi!$AF$37:$AL$37</c:f>
              <c:numCache>
                <c:formatCode>0.0</c:formatCode>
                <c:ptCount val="7"/>
                <c:pt idx="0">
                  <c:v>4.6475232521804202</c:v>
                </c:pt>
                <c:pt idx="1">
                  <c:v>2.2070509475026205</c:v>
                </c:pt>
                <c:pt idx="2">
                  <c:v>2.7753935944784551</c:v>
                </c:pt>
                <c:pt idx="3">
                  <c:v>2.384230656617937</c:v>
                </c:pt>
                <c:pt idx="4">
                  <c:v>2.2084348478350475</c:v>
                </c:pt>
                <c:pt idx="5">
                  <c:v>2.274358276128631</c:v>
                </c:pt>
                <c:pt idx="6">
                  <c:v>2.9885287493091193</c:v>
                </c:pt>
              </c:numCache>
            </c:numRef>
          </c:val>
          <c:extLst>
            <c:ext xmlns:c16="http://schemas.microsoft.com/office/drawing/2014/chart" uri="{C3380CC4-5D6E-409C-BE32-E72D297353CC}">
              <c16:uniqueId val="{00000003-27F9-40FF-8CBE-03B8950C90D9}"/>
            </c:ext>
          </c:extLst>
        </c:ser>
        <c:ser>
          <c:idx val="4"/>
          <c:order val="4"/>
          <c:tx>
            <c:strRef>
              <c:f>BDP_doprinosi!$R$38</c:f>
              <c:strCache>
                <c:ptCount val="1"/>
                <c:pt idx="0">
                  <c:v>Нето порези</c:v>
                </c:pt>
              </c:strCache>
            </c:strRef>
          </c:tx>
          <c:spPr>
            <a:solidFill>
              <a:srgbClr val="9ED1E6"/>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BDP_doprinosi!$AF$38:$AL$38</c:f>
              <c:numCache>
                <c:formatCode>0.0</c:formatCode>
                <c:ptCount val="7"/>
                <c:pt idx="0">
                  <c:v>1.3245271512478285</c:v>
                </c:pt>
                <c:pt idx="1">
                  <c:v>0.51992206841094535</c:v>
                </c:pt>
                <c:pt idx="2">
                  <c:v>-0.25460123616495017</c:v>
                </c:pt>
                <c:pt idx="3">
                  <c:v>0.7</c:v>
                </c:pt>
                <c:pt idx="4">
                  <c:v>0.55437406649441945</c:v>
                </c:pt>
                <c:pt idx="5">
                  <c:v>0.52565002159833563</c:v>
                </c:pt>
                <c:pt idx="6">
                  <c:v>0.63623759444825856</c:v>
                </c:pt>
              </c:numCache>
            </c:numRef>
          </c:val>
          <c:extLst>
            <c:ext xmlns:c16="http://schemas.microsoft.com/office/drawing/2014/chart" uri="{C3380CC4-5D6E-409C-BE32-E72D297353CC}">
              <c16:uniqueId val="{00000004-27F9-40FF-8CBE-03B8950C90D9}"/>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BDP_doprinosi!$AF$39:$AL$39</c:f>
              <c:numCache>
                <c:formatCode>0.0</c:formatCode>
                <c:ptCount val="7"/>
                <c:pt idx="0">
                  <c:v>7.9490556418090472</c:v>
                </c:pt>
                <c:pt idx="1">
                  <c:v>2.6309864440884008</c:v>
                </c:pt>
                <c:pt idx="2">
                  <c:v>3.8474723264728401</c:v>
                </c:pt>
                <c:pt idx="3">
                  <c:v>3.7689431396426292</c:v>
                </c:pt>
                <c:pt idx="4">
                  <c:v>4.2235026480441356</c:v>
                </c:pt>
                <c:pt idx="5">
                  <c:v>4.0352733842958255</c:v>
                </c:pt>
                <c:pt idx="6">
                  <c:v>4.9612365747258842</c:v>
                </c:pt>
              </c:numCache>
            </c:numRef>
          </c:val>
          <c:smooth val="0"/>
          <c:extLst>
            <c:ext xmlns:c16="http://schemas.microsoft.com/office/drawing/2014/chart" uri="{C3380CC4-5D6E-409C-BE32-E72D297353CC}">
              <c16:uniqueId val="{00000005-27F9-40FF-8CBE-03B8950C90D9}"/>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100"/>
        <c:noMultiLvlLbl val="0"/>
      </c:catAx>
      <c:valAx>
        <c:axId val="1768858336"/>
        <c:scaling>
          <c:orientation val="minMax"/>
          <c:max val="9"/>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2.9349664625255175E-2"/>
          <c:y val="0.84945769449176611"/>
          <c:w val="0.93586103820355804"/>
          <c:h val="0.147572875260268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0"/>
          <c:order val="0"/>
          <c:tx>
            <c:strRef>
              <c:f>'Yearly GDP chart fan'!$AE$16</c:f>
              <c:strCache>
                <c:ptCount val="1"/>
                <c:pt idx="0">
                  <c:v>Baza</c:v>
                </c:pt>
              </c:strCache>
            </c:strRef>
          </c:tx>
          <c:spPr>
            <a:noFill/>
            <a:ln>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fan'!$AE$17:$AE$25</c:f>
              <c:numCache>
                <c:formatCode>0.00</c:formatCode>
                <c:ptCount val="8"/>
                <c:pt idx="0">
                  <c:v>-0.95002358986207014</c:v>
                </c:pt>
                <c:pt idx="1">
                  <c:v>7.9490568037111018</c:v>
                </c:pt>
                <c:pt idx="2">
                  <c:v>2.6309864215221239</c:v>
                </c:pt>
                <c:pt idx="3">
                  <c:v>3.8474719538126294</c:v>
                </c:pt>
                <c:pt idx="4">
                  <c:v>2.6999999999999997</c:v>
                </c:pt>
                <c:pt idx="5">
                  <c:v>2.5666666666666673</c:v>
                </c:pt>
                <c:pt idx="6">
                  <c:v>1.8333333333333328</c:v>
                </c:pt>
                <c:pt idx="7">
                  <c:v>2.2999999999999998</c:v>
                </c:pt>
              </c:numCache>
              <c:extLst/>
            </c:numRef>
          </c:val>
          <c:extLst>
            <c:ext xmlns:c16="http://schemas.microsoft.com/office/drawing/2014/chart" uri="{C3380CC4-5D6E-409C-BE32-E72D297353CC}">
              <c16:uniqueId val="{00000000-E87F-4D3A-9CBF-6FCBA0E5B36C}"/>
            </c:ext>
          </c:extLst>
        </c:ser>
        <c:ser>
          <c:idx val="1"/>
          <c:order val="1"/>
          <c:tx>
            <c:strRef>
              <c:f>'Yearly GDP chart fan'!$AF$16</c:f>
              <c:strCache>
                <c:ptCount val="1"/>
                <c:pt idx="0">
                  <c:v>Lower 10</c:v>
                </c:pt>
              </c:strCache>
            </c:strRef>
          </c:tx>
          <c:spPr>
            <a:solidFill>
              <a:srgbClr val="C00000">
                <a:alpha val="1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fan'!$AF$17:$AF$25</c:f>
              <c:numCache>
                <c:formatCode>0.00</c:formatCode>
                <c:ptCount val="8"/>
                <c:pt idx="0">
                  <c:v>0</c:v>
                </c:pt>
                <c:pt idx="1">
                  <c:v>0</c:v>
                </c:pt>
                <c:pt idx="2">
                  <c:v>0</c:v>
                </c:pt>
                <c:pt idx="3" formatCode="0.0000">
                  <c:v>0</c:v>
                </c:pt>
                <c:pt idx="4" formatCode="0.0000">
                  <c:v>0.20952380952380967</c:v>
                </c:pt>
                <c:pt idx="5" formatCode="0.0000">
                  <c:v>0.31111111111111089</c:v>
                </c:pt>
                <c:pt idx="6" formatCode="0.0000">
                  <c:v>0.41269841269841279</c:v>
                </c:pt>
                <c:pt idx="7" formatCode="0.0000">
                  <c:v>0.51428571428571423</c:v>
                </c:pt>
              </c:numCache>
              <c:extLst/>
            </c:numRef>
          </c:val>
          <c:extLst>
            <c:ext xmlns:c16="http://schemas.microsoft.com/office/drawing/2014/chart" uri="{C3380CC4-5D6E-409C-BE32-E72D297353CC}">
              <c16:uniqueId val="{00000001-E87F-4D3A-9CBF-6FCBA0E5B36C}"/>
            </c:ext>
          </c:extLst>
        </c:ser>
        <c:ser>
          <c:idx val="2"/>
          <c:order val="2"/>
          <c:tx>
            <c:strRef>
              <c:f>'Yearly GDP chart fan'!$AG$16</c:f>
              <c:strCache>
                <c:ptCount val="1"/>
                <c:pt idx="0">
                  <c:v>Lower 9</c:v>
                </c:pt>
              </c:strCache>
            </c:strRef>
          </c:tx>
          <c:spPr>
            <a:solidFill>
              <a:srgbClr val="C00000">
                <a:alpha val="2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fan'!$AG$17:$AG$25</c:f>
              <c:numCache>
                <c:formatCode>0.00</c:formatCode>
                <c:ptCount val="8"/>
                <c:pt idx="0">
                  <c:v>0</c:v>
                </c:pt>
                <c:pt idx="1">
                  <c:v>0</c:v>
                </c:pt>
                <c:pt idx="2">
                  <c:v>0</c:v>
                </c:pt>
                <c:pt idx="3" formatCode="0.0000">
                  <c:v>0</c:v>
                </c:pt>
                <c:pt idx="4" formatCode="0.0000">
                  <c:v>0.18740740740740724</c:v>
                </c:pt>
                <c:pt idx="5" formatCode="0.0000">
                  <c:v>0.27827160493827163</c:v>
                </c:pt>
                <c:pt idx="6" formatCode="0.0000">
                  <c:v>0.36913580246913602</c:v>
                </c:pt>
                <c:pt idx="7" formatCode="0.0000">
                  <c:v>0.45999999999999996</c:v>
                </c:pt>
              </c:numCache>
              <c:extLst/>
            </c:numRef>
          </c:val>
          <c:extLst>
            <c:ext xmlns:c16="http://schemas.microsoft.com/office/drawing/2014/chart" uri="{C3380CC4-5D6E-409C-BE32-E72D297353CC}">
              <c16:uniqueId val="{00000002-E87F-4D3A-9CBF-6FCBA0E5B36C}"/>
            </c:ext>
          </c:extLst>
        </c:ser>
        <c:ser>
          <c:idx val="3"/>
          <c:order val="3"/>
          <c:tx>
            <c:strRef>
              <c:f>'Yearly GDP chart fan'!$AH$16</c:f>
              <c:strCache>
                <c:ptCount val="1"/>
                <c:pt idx="0">
                  <c:v>Lower 8</c:v>
                </c:pt>
              </c:strCache>
            </c:strRef>
          </c:tx>
          <c:spPr>
            <a:solidFill>
              <a:srgbClr val="C00000">
                <a:alpha val="3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fan'!$AH$17:$AH$25</c:f>
              <c:numCache>
                <c:formatCode>0.00</c:formatCode>
                <c:ptCount val="8"/>
                <c:pt idx="0">
                  <c:v>0</c:v>
                </c:pt>
                <c:pt idx="1">
                  <c:v>0</c:v>
                </c:pt>
                <c:pt idx="2">
                  <c:v>0</c:v>
                </c:pt>
                <c:pt idx="3" formatCode="0.0000">
                  <c:v>0</c:v>
                </c:pt>
                <c:pt idx="4" formatCode="0.0000">
                  <c:v>0.16529100529100527</c:v>
                </c:pt>
                <c:pt idx="5" formatCode="0.0000">
                  <c:v>0.24543209876543193</c:v>
                </c:pt>
                <c:pt idx="6" formatCode="0.0000">
                  <c:v>0.32557319223985903</c:v>
                </c:pt>
                <c:pt idx="7" formatCode="0.0000">
                  <c:v>0.40571428571428569</c:v>
                </c:pt>
              </c:numCache>
              <c:extLst/>
            </c:numRef>
          </c:val>
          <c:extLst>
            <c:ext xmlns:c16="http://schemas.microsoft.com/office/drawing/2014/chart" uri="{C3380CC4-5D6E-409C-BE32-E72D297353CC}">
              <c16:uniqueId val="{00000003-E87F-4D3A-9CBF-6FCBA0E5B36C}"/>
            </c:ext>
          </c:extLst>
        </c:ser>
        <c:ser>
          <c:idx val="4"/>
          <c:order val="4"/>
          <c:tx>
            <c:strRef>
              <c:f>'Yearly GDP chart fan'!$AI$16</c:f>
              <c:strCache>
                <c:ptCount val="1"/>
                <c:pt idx="0">
                  <c:v>Lower 7</c:v>
                </c:pt>
              </c:strCache>
            </c:strRef>
          </c:tx>
          <c:spPr>
            <a:solidFill>
              <a:srgbClr val="C00000">
                <a:alpha val="4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fan'!$AI$17:$AI$25</c:f>
              <c:numCache>
                <c:formatCode>0.00</c:formatCode>
                <c:ptCount val="8"/>
                <c:pt idx="0">
                  <c:v>0</c:v>
                </c:pt>
                <c:pt idx="1">
                  <c:v>0</c:v>
                </c:pt>
                <c:pt idx="2">
                  <c:v>0</c:v>
                </c:pt>
                <c:pt idx="3" formatCode="0.0000">
                  <c:v>0</c:v>
                </c:pt>
                <c:pt idx="4" formatCode="0.0000">
                  <c:v>0.14317460317460329</c:v>
                </c:pt>
                <c:pt idx="5" formatCode="0.0000">
                  <c:v>0.21259259259259267</c:v>
                </c:pt>
                <c:pt idx="6" formatCode="0.0000">
                  <c:v>0.28201058201058204</c:v>
                </c:pt>
                <c:pt idx="7" formatCode="0.0000">
                  <c:v>0.35142857142857142</c:v>
                </c:pt>
              </c:numCache>
              <c:extLst/>
            </c:numRef>
          </c:val>
          <c:extLst>
            <c:ext xmlns:c16="http://schemas.microsoft.com/office/drawing/2014/chart" uri="{C3380CC4-5D6E-409C-BE32-E72D297353CC}">
              <c16:uniqueId val="{00000004-E87F-4D3A-9CBF-6FCBA0E5B36C}"/>
            </c:ext>
          </c:extLst>
        </c:ser>
        <c:ser>
          <c:idx val="5"/>
          <c:order val="5"/>
          <c:tx>
            <c:strRef>
              <c:f>'Yearly GDP chart fan'!$AJ$16</c:f>
              <c:strCache>
                <c:ptCount val="1"/>
                <c:pt idx="0">
                  <c:v>Lower 6</c:v>
                </c:pt>
              </c:strCache>
            </c:strRef>
          </c:tx>
          <c:spPr>
            <a:solidFill>
              <a:srgbClr val="C00000">
                <a:alpha val="5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fan'!$AJ$17:$AJ$25</c:f>
              <c:numCache>
                <c:formatCode>0.00</c:formatCode>
                <c:ptCount val="8"/>
                <c:pt idx="0">
                  <c:v>0</c:v>
                </c:pt>
                <c:pt idx="1">
                  <c:v>0</c:v>
                </c:pt>
                <c:pt idx="2">
                  <c:v>0</c:v>
                </c:pt>
                <c:pt idx="3" formatCode="0.0000">
                  <c:v>0</c:v>
                </c:pt>
                <c:pt idx="4" formatCode="0.0000">
                  <c:v>0.12105820105820086</c:v>
                </c:pt>
                <c:pt idx="5" formatCode="0.0000">
                  <c:v>0.17975308641975296</c:v>
                </c:pt>
                <c:pt idx="6" formatCode="0.0000">
                  <c:v>0.23844797178130506</c:v>
                </c:pt>
                <c:pt idx="7" formatCode="0.0000">
                  <c:v>0.29714285714285715</c:v>
                </c:pt>
              </c:numCache>
              <c:extLst/>
            </c:numRef>
          </c:val>
          <c:extLst>
            <c:ext xmlns:c16="http://schemas.microsoft.com/office/drawing/2014/chart" uri="{C3380CC4-5D6E-409C-BE32-E72D297353CC}">
              <c16:uniqueId val="{00000005-E87F-4D3A-9CBF-6FCBA0E5B36C}"/>
            </c:ext>
          </c:extLst>
        </c:ser>
        <c:ser>
          <c:idx val="6"/>
          <c:order val="6"/>
          <c:tx>
            <c:strRef>
              <c:f>'Yearly GDP chart fan'!$AK$16</c:f>
              <c:strCache>
                <c:ptCount val="1"/>
                <c:pt idx="0">
                  <c:v>Lower 5</c:v>
                </c:pt>
              </c:strCache>
            </c:strRef>
          </c:tx>
          <c:spPr>
            <a:solidFill>
              <a:srgbClr val="C00000">
                <a:alpha val="6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fan'!$AK$17:$AK$25</c:f>
              <c:numCache>
                <c:formatCode>0.00</c:formatCode>
                <c:ptCount val="8"/>
                <c:pt idx="0">
                  <c:v>0</c:v>
                </c:pt>
                <c:pt idx="1">
                  <c:v>0</c:v>
                </c:pt>
                <c:pt idx="2">
                  <c:v>0</c:v>
                </c:pt>
                <c:pt idx="3" formatCode="0.0000">
                  <c:v>0</c:v>
                </c:pt>
                <c:pt idx="4" formatCode="0.0000">
                  <c:v>9.8941798941798886E-2</c:v>
                </c:pt>
                <c:pt idx="5" formatCode="0.0000">
                  <c:v>0.1469135802469137</c:v>
                </c:pt>
                <c:pt idx="6" formatCode="0.0000">
                  <c:v>0.19488536155202807</c:v>
                </c:pt>
                <c:pt idx="7" formatCode="0.0000">
                  <c:v>0.24285714285714288</c:v>
                </c:pt>
              </c:numCache>
              <c:extLst/>
            </c:numRef>
          </c:val>
          <c:extLst>
            <c:ext xmlns:c16="http://schemas.microsoft.com/office/drawing/2014/chart" uri="{C3380CC4-5D6E-409C-BE32-E72D297353CC}">
              <c16:uniqueId val="{00000006-E87F-4D3A-9CBF-6FCBA0E5B36C}"/>
            </c:ext>
          </c:extLst>
        </c:ser>
        <c:ser>
          <c:idx val="7"/>
          <c:order val="7"/>
          <c:tx>
            <c:strRef>
              <c:f>'Yearly GDP chart fan'!$AL$16</c:f>
              <c:strCache>
                <c:ptCount val="1"/>
                <c:pt idx="0">
                  <c:v>Lower 4</c:v>
                </c:pt>
              </c:strCache>
            </c:strRef>
          </c:tx>
          <c:spPr>
            <a:solidFill>
              <a:srgbClr val="C00000">
                <a:alpha val="7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fan'!$AL$17:$AL$25</c:f>
              <c:numCache>
                <c:formatCode>0.00</c:formatCode>
                <c:ptCount val="8"/>
                <c:pt idx="0">
                  <c:v>0</c:v>
                </c:pt>
                <c:pt idx="1">
                  <c:v>0</c:v>
                </c:pt>
                <c:pt idx="2">
                  <c:v>0</c:v>
                </c:pt>
                <c:pt idx="3" formatCode="0.0000">
                  <c:v>0</c:v>
                </c:pt>
                <c:pt idx="4" formatCode="0.0000">
                  <c:v>7.6825396825396908E-2</c:v>
                </c:pt>
                <c:pt idx="5" formatCode="0.0000">
                  <c:v>0.11407407407407399</c:v>
                </c:pt>
                <c:pt idx="6" formatCode="0.0000">
                  <c:v>0.15132275132275153</c:v>
                </c:pt>
                <c:pt idx="7" formatCode="0.0000">
                  <c:v>0.18857142857142861</c:v>
                </c:pt>
              </c:numCache>
              <c:extLst/>
            </c:numRef>
          </c:val>
          <c:extLst>
            <c:ext xmlns:c16="http://schemas.microsoft.com/office/drawing/2014/chart" uri="{C3380CC4-5D6E-409C-BE32-E72D297353CC}">
              <c16:uniqueId val="{00000007-E87F-4D3A-9CBF-6FCBA0E5B36C}"/>
            </c:ext>
          </c:extLst>
        </c:ser>
        <c:ser>
          <c:idx val="8"/>
          <c:order val="8"/>
          <c:tx>
            <c:strRef>
              <c:f>'Yearly GDP chart fan'!$AM$16</c:f>
              <c:strCache>
                <c:ptCount val="1"/>
                <c:pt idx="0">
                  <c:v>Lower 3</c:v>
                </c:pt>
              </c:strCache>
            </c:strRef>
          </c:tx>
          <c:spPr>
            <a:solidFill>
              <a:srgbClr val="C00000">
                <a:alpha val="8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fan'!$AM$17:$AM$25</c:f>
              <c:numCache>
                <c:formatCode>0.00</c:formatCode>
                <c:ptCount val="8"/>
                <c:pt idx="0">
                  <c:v>0</c:v>
                </c:pt>
                <c:pt idx="1">
                  <c:v>0</c:v>
                </c:pt>
                <c:pt idx="2">
                  <c:v>0</c:v>
                </c:pt>
                <c:pt idx="3" formatCode="0.0000">
                  <c:v>0</c:v>
                </c:pt>
                <c:pt idx="4" formatCode="0.0000">
                  <c:v>5.4708994708994929E-2</c:v>
                </c:pt>
                <c:pt idx="5" formatCode="0.0000">
                  <c:v>8.1234567901234733E-2</c:v>
                </c:pt>
                <c:pt idx="6" formatCode="0.0000">
                  <c:v>0.10776014109347454</c:v>
                </c:pt>
                <c:pt idx="7" formatCode="0.0000">
                  <c:v>0.13428571428571434</c:v>
                </c:pt>
              </c:numCache>
              <c:extLst/>
            </c:numRef>
          </c:val>
          <c:extLst>
            <c:ext xmlns:c16="http://schemas.microsoft.com/office/drawing/2014/chart" uri="{C3380CC4-5D6E-409C-BE32-E72D297353CC}">
              <c16:uniqueId val="{00000008-E87F-4D3A-9CBF-6FCBA0E5B36C}"/>
            </c:ext>
          </c:extLst>
        </c:ser>
        <c:ser>
          <c:idx val="9"/>
          <c:order val="9"/>
          <c:tx>
            <c:strRef>
              <c:f>'Yearly GDP chart fan'!$AN$16</c:f>
              <c:strCache>
                <c:ptCount val="1"/>
                <c:pt idx="0">
                  <c:v>Lower 2</c:v>
                </c:pt>
              </c:strCache>
            </c:strRef>
          </c:tx>
          <c:spPr>
            <a:solidFill>
              <a:srgbClr val="C00000">
                <a:alpha val="9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fan'!$AN$17:$AN$25</c:f>
              <c:numCache>
                <c:formatCode>0.00</c:formatCode>
                <c:ptCount val="8"/>
                <c:pt idx="0">
                  <c:v>0</c:v>
                </c:pt>
                <c:pt idx="1">
                  <c:v>0</c:v>
                </c:pt>
                <c:pt idx="2">
                  <c:v>0</c:v>
                </c:pt>
                <c:pt idx="3" formatCode="0.0000">
                  <c:v>0</c:v>
                </c:pt>
                <c:pt idx="4" formatCode="0.0000">
                  <c:v>3.2592592592592506E-2</c:v>
                </c:pt>
                <c:pt idx="5" formatCode="0.0000">
                  <c:v>4.8395061728395028E-2</c:v>
                </c:pt>
                <c:pt idx="6" formatCode="0.0000">
                  <c:v>6.419753086419755E-2</c:v>
                </c:pt>
                <c:pt idx="7" formatCode="0.0000">
                  <c:v>8.0000000000000071E-2</c:v>
                </c:pt>
              </c:numCache>
              <c:extLst/>
            </c:numRef>
          </c:val>
          <c:extLst>
            <c:ext xmlns:c16="http://schemas.microsoft.com/office/drawing/2014/chart" uri="{C3380CC4-5D6E-409C-BE32-E72D297353CC}">
              <c16:uniqueId val="{00000009-E87F-4D3A-9CBF-6FCBA0E5B36C}"/>
            </c:ext>
          </c:extLst>
        </c:ser>
        <c:ser>
          <c:idx val="10"/>
          <c:order val="10"/>
          <c:tx>
            <c:strRef>
              <c:f>'Yearly GDP chart fan'!$AO$16</c:f>
              <c:strCache>
                <c:ptCount val="1"/>
                <c:pt idx="0">
                  <c:v>Lower 1</c:v>
                </c:pt>
              </c:strCache>
            </c:strRef>
          </c:tx>
          <c:spPr>
            <a:solidFill>
              <a:srgbClr val="C00000"/>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fan'!$AO$17:$AO$25</c:f>
              <c:numCache>
                <c:formatCode>0.00</c:formatCode>
                <c:ptCount val="8"/>
                <c:pt idx="0">
                  <c:v>0</c:v>
                </c:pt>
                <c:pt idx="1">
                  <c:v>0</c:v>
                </c:pt>
                <c:pt idx="2">
                  <c:v>0</c:v>
                </c:pt>
                <c:pt idx="3" formatCode="0.0000">
                  <c:v>0</c:v>
                </c:pt>
                <c:pt idx="4" formatCode="0.0000">
                  <c:v>1.0476190476190528E-2</c:v>
                </c:pt>
                <c:pt idx="5" formatCode="0.0000">
                  <c:v>1.5555555555555323E-2</c:v>
                </c:pt>
                <c:pt idx="6" formatCode="0.0000">
                  <c:v>2.0634920634920562E-2</c:v>
                </c:pt>
                <c:pt idx="7" formatCode="0.0000">
                  <c:v>2.5714285714285801E-2</c:v>
                </c:pt>
              </c:numCache>
              <c:extLst/>
            </c:numRef>
          </c:val>
          <c:extLst>
            <c:ext xmlns:c16="http://schemas.microsoft.com/office/drawing/2014/chart" uri="{C3380CC4-5D6E-409C-BE32-E72D297353CC}">
              <c16:uniqueId val="{0000000A-E87F-4D3A-9CBF-6FCBA0E5B36C}"/>
            </c:ext>
          </c:extLst>
        </c:ser>
        <c:ser>
          <c:idx val="11"/>
          <c:order val="11"/>
          <c:tx>
            <c:strRef>
              <c:f>'Yearly GDP chart fan'!$AP$16</c:f>
              <c:strCache>
                <c:ptCount val="1"/>
                <c:pt idx="0">
                  <c:v>Upper 1</c:v>
                </c:pt>
              </c:strCache>
            </c:strRef>
          </c:tx>
          <c:spPr>
            <a:solidFill>
              <a:srgbClr val="C00000"/>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fan'!$AP$17:$AP$25</c:f>
              <c:numCache>
                <c:formatCode>0.0000</c:formatCode>
                <c:ptCount val="8"/>
                <c:pt idx="0">
                  <c:v>0</c:v>
                </c:pt>
                <c:pt idx="1">
                  <c:v>0</c:v>
                </c:pt>
                <c:pt idx="2">
                  <c:v>0</c:v>
                </c:pt>
                <c:pt idx="3">
                  <c:v>0</c:v>
                </c:pt>
                <c:pt idx="4">
                  <c:v>1.2380952380952159E-2</c:v>
                </c:pt>
                <c:pt idx="5">
                  <c:v>1.7460317460317398E-2</c:v>
                </c:pt>
                <c:pt idx="6">
                  <c:v>2.2539682539682637E-2</c:v>
                </c:pt>
                <c:pt idx="7">
                  <c:v>2.7619047619047876E-2</c:v>
                </c:pt>
              </c:numCache>
              <c:extLst/>
            </c:numRef>
          </c:val>
          <c:extLst>
            <c:ext xmlns:c16="http://schemas.microsoft.com/office/drawing/2014/chart" uri="{C3380CC4-5D6E-409C-BE32-E72D297353CC}">
              <c16:uniqueId val="{0000000B-E87F-4D3A-9CBF-6FCBA0E5B36C}"/>
            </c:ext>
          </c:extLst>
        </c:ser>
        <c:ser>
          <c:idx val="12"/>
          <c:order val="12"/>
          <c:tx>
            <c:strRef>
              <c:f>'Yearly GDP chart fan'!$AQ$16</c:f>
              <c:strCache>
                <c:ptCount val="1"/>
                <c:pt idx="0">
                  <c:v>Upper 2</c:v>
                </c:pt>
              </c:strCache>
            </c:strRef>
          </c:tx>
          <c:spPr>
            <a:solidFill>
              <a:srgbClr val="C00000">
                <a:alpha val="9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fan'!$AQ$17:$AQ$25</c:f>
              <c:numCache>
                <c:formatCode>0.0000</c:formatCode>
                <c:ptCount val="8"/>
                <c:pt idx="0">
                  <c:v>0</c:v>
                </c:pt>
                <c:pt idx="1">
                  <c:v>0</c:v>
                </c:pt>
                <c:pt idx="2">
                  <c:v>0</c:v>
                </c:pt>
                <c:pt idx="3">
                  <c:v>0</c:v>
                </c:pt>
                <c:pt idx="4">
                  <c:v>3.8518518518518619E-2</c:v>
                </c:pt>
                <c:pt idx="5">
                  <c:v>5.4320987654320696E-2</c:v>
                </c:pt>
                <c:pt idx="6">
                  <c:v>7.0123456790123662E-2</c:v>
                </c:pt>
                <c:pt idx="7">
                  <c:v>8.5925925925925739E-2</c:v>
                </c:pt>
              </c:numCache>
              <c:extLst/>
            </c:numRef>
          </c:val>
          <c:extLst>
            <c:ext xmlns:c16="http://schemas.microsoft.com/office/drawing/2014/chart" uri="{C3380CC4-5D6E-409C-BE32-E72D297353CC}">
              <c16:uniqueId val="{0000000C-E87F-4D3A-9CBF-6FCBA0E5B36C}"/>
            </c:ext>
          </c:extLst>
        </c:ser>
        <c:ser>
          <c:idx val="13"/>
          <c:order val="13"/>
          <c:tx>
            <c:strRef>
              <c:f>'Yearly GDP chart fan'!$AR$16</c:f>
              <c:strCache>
                <c:ptCount val="1"/>
                <c:pt idx="0">
                  <c:v>Upper 3</c:v>
                </c:pt>
              </c:strCache>
            </c:strRef>
          </c:tx>
          <c:spPr>
            <a:solidFill>
              <a:srgbClr val="C00000">
                <a:alpha val="8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fan'!$AR$17:$AR$25</c:f>
              <c:numCache>
                <c:formatCode>0.0000</c:formatCode>
                <c:ptCount val="8"/>
                <c:pt idx="0">
                  <c:v>0</c:v>
                </c:pt>
                <c:pt idx="1">
                  <c:v>0</c:v>
                </c:pt>
                <c:pt idx="2">
                  <c:v>0</c:v>
                </c:pt>
                <c:pt idx="3">
                  <c:v>0</c:v>
                </c:pt>
                <c:pt idx="4">
                  <c:v>6.4656084656084634E-2</c:v>
                </c:pt>
                <c:pt idx="5">
                  <c:v>9.1181657848324882E-2</c:v>
                </c:pt>
                <c:pt idx="6">
                  <c:v>0.11770723104056469</c:v>
                </c:pt>
                <c:pt idx="7">
                  <c:v>0.14423280423280449</c:v>
                </c:pt>
              </c:numCache>
              <c:extLst/>
            </c:numRef>
          </c:val>
          <c:extLst>
            <c:ext xmlns:c16="http://schemas.microsoft.com/office/drawing/2014/chart" uri="{C3380CC4-5D6E-409C-BE32-E72D297353CC}">
              <c16:uniqueId val="{0000000D-E87F-4D3A-9CBF-6FCBA0E5B36C}"/>
            </c:ext>
          </c:extLst>
        </c:ser>
        <c:ser>
          <c:idx val="14"/>
          <c:order val="14"/>
          <c:tx>
            <c:strRef>
              <c:f>'Yearly GDP chart fan'!$AS$16</c:f>
              <c:strCache>
                <c:ptCount val="1"/>
                <c:pt idx="0">
                  <c:v>Upper 4</c:v>
                </c:pt>
              </c:strCache>
            </c:strRef>
          </c:tx>
          <c:spPr>
            <a:solidFill>
              <a:srgbClr val="C00000">
                <a:alpha val="7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fan'!$AS$17:$AS$25</c:f>
              <c:numCache>
                <c:formatCode>0.0000</c:formatCode>
                <c:ptCount val="8"/>
                <c:pt idx="0">
                  <c:v>0</c:v>
                </c:pt>
                <c:pt idx="1">
                  <c:v>0</c:v>
                </c:pt>
                <c:pt idx="2">
                  <c:v>0</c:v>
                </c:pt>
                <c:pt idx="3">
                  <c:v>0</c:v>
                </c:pt>
                <c:pt idx="4">
                  <c:v>9.0793650793651093E-2</c:v>
                </c:pt>
                <c:pt idx="5">
                  <c:v>0.12804232804232818</c:v>
                </c:pt>
                <c:pt idx="6">
                  <c:v>0.16529100529100571</c:v>
                </c:pt>
                <c:pt idx="7">
                  <c:v>0.20253968253968235</c:v>
                </c:pt>
              </c:numCache>
              <c:extLst/>
            </c:numRef>
          </c:val>
          <c:extLst>
            <c:ext xmlns:c16="http://schemas.microsoft.com/office/drawing/2014/chart" uri="{C3380CC4-5D6E-409C-BE32-E72D297353CC}">
              <c16:uniqueId val="{0000000E-E87F-4D3A-9CBF-6FCBA0E5B36C}"/>
            </c:ext>
          </c:extLst>
        </c:ser>
        <c:ser>
          <c:idx val="15"/>
          <c:order val="15"/>
          <c:tx>
            <c:strRef>
              <c:f>'Yearly GDP chart fan'!$AT$16</c:f>
              <c:strCache>
                <c:ptCount val="1"/>
                <c:pt idx="0">
                  <c:v>Upper 5</c:v>
                </c:pt>
              </c:strCache>
            </c:strRef>
          </c:tx>
          <c:spPr>
            <a:solidFill>
              <a:srgbClr val="C00000">
                <a:alpha val="6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fan'!$AT$17:$AT$25</c:f>
              <c:numCache>
                <c:formatCode>0.0000</c:formatCode>
                <c:ptCount val="8"/>
                <c:pt idx="0">
                  <c:v>0</c:v>
                </c:pt>
                <c:pt idx="1">
                  <c:v>0</c:v>
                </c:pt>
                <c:pt idx="2">
                  <c:v>0</c:v>
                </c:pt>
                <c:pt idx="3">
                  <c:v>0</c:v>
                </c:pt>
                <c:pt idx="4">
                  <c:v>0.11693121693121711</c:v>
                </c:pt>
                <c:pt idx="5">
                  <c:v>0.16490299823633148</c:v>
                </c:pt>
                <c:pt idx="6">
                  <c:v>0.21287477954144585</c:v>
                </c:pt>
                <c:pt idx="7">
                  <c:v>0.2608465608465611</c:v>
                </c:pt>
              </c:numCache>
              <c:extLst/>
            </c:numRef>
          </c:val>
          <c:extLst>
            <c:ext xmlns:c16="http://schemas.microsoft.com/office/drawing/2014/chart" uri="{C3380CC4-5D6E-409C-BE32-E72D297353CC}">
              <c16:uniqueId val="{0000000F-E87F-4D3A-9CBF-6FCBA0E5B36C}"/>
            </c:ext>
          </c:extLst>
        </c:ser>
        <c:ser>
          <c:idx val="16"/>
          <c:order val="16"/>
          <c:tx>
            <c:strRef>
              <c:f>'Yearly GDP chart fan'!$AU$16</c:f>
              <c:strCache>
                <c:ptCount val="1"/>
                <c:pt idx="0">
                  <c:v>Upper 6</c:v>
                </c:pt>
              </c:strCache>
            </c:strRef>
          </c:tx>
          <c:spPr>
            <a:solidFill>
              <a:srgbClr val="C00000">
                <a:alpha val="5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fan'!$AU$17:$AU$25</c:f>
              <c:numCache>
                <c:formatCode>0.0000</c:formatCode>
                <c:ptCount val="8"/>
                <c:pt idx="0">
                  <c:v>0</c:v>
                </c:pt>
                <c:pt idx="1">
                  <c:v>0</c:v>
                </c:pt>
                <c:pt idx="2">
                  <c:v>0</c:v>
                </c:pt>
                <c:pt idx="3">
                  <c:v>0</c:v>
                </c:pt>
                <c:pt idx="4">
                  <c:v>0.14306878306878268</c:v>
                </c:pt>
                <c:pt idx="5">
                  <c:v>0.20176366843033477</c:v>
                </c:pt>
                <c:pt idx="6">
                  <c:v>0.26045855379188687</c:v>
                </c:pt>
                <c:pt idx="7">
                  <c:v>0.31915343915343897</c:v>
                </c:pt>
              </c:numCache>
              <c:extLst/>
            </c:numRef>
          </c:val>
          <c:extLst>
            <c:ext xmlns:c16="http://schemas.microsoft.com/office/drawing/2014/chart" uri="{C3380CC4-5D6E-409C-BE32-E72D297353CC}">
              <c16:uniqueId val="{00000010-E87F-4D3A-9CBF-6FCBA0E5B36C}"/>
            </c:ext>
          </c:extLst>
        </c:ser>
        <c:ser>
          <c:idx val="17"/>
          <c:order val="17"/>
          <c:tx>
            <c:strRef>
              <c:f>'Yearly GDP chart fan'!$AV$16</c:f>
              <c:strCache>
                <c:ptCount val="1"/>
                <c:pt idx="0">
                  <c:v>Upper 7</c:v>
                </c:pt>
              </c:strCache>
            </c:strRef>
          </c:tx>
          <c:spPr>
            <a:solidFill>
              <a:srgbClr val="C00000">
                <a:alpha val="4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fan'!$AV$17:$AV$25</c:f>
              <c:numCache>
                <c:formatCode>0.0000</c:formatCode>
                <c:ptCount val="8"/>
                <c:pt idx="0">
                  <c:v>0</c:v>
                </c:pt>
                <c:pt idx="1">
                  <c:v>0</c:v>
                </c:pt>
                <c:pt idx="2">
                  <c:v>0</c:v>
                </c:pt>
                <c:pt idx="3">
                  <c:v>0</c:v>
                </c:pt>
                <c:pt idx="4">
                  <c:v>0.16920634920634914</c:v>
                </c:pt>
                <c:pt idx="5">
                  <c:v>0.23862433862433896</c:v>
                </c:pt>
                <c:pt idx="6">
                  <c:v>0.3080423280423279</c:v>
                </c:pt>
                <c:pt idx="7">
                  <c:v>0.37746031746031772</c:v>
                </c:pt>
              </c:numCache>
              <c:extLst/>
            </c:numRef>
          </c:val>
          <c:extLst>
            <c:ext xmlns:c16="http://schemas.microsoft.com/office/drawing/2014/chart" uri="{C3380CC4-5D6E-409C-BE32-E72D297353CC}">
              <c16:uniqueId val="{00000011-E87F-4D3A-9CBF-6FCBA0E5B36C}"/>
            </c:ext>
          </c:extLst>
        </c:ser>
        <c:ser>
          <c:idx val="18"/>
          <c:order val="18"/>
          <c:tx>
            <c:strRef>
              <c:f>'Yearly GDP chart fan'!$AW$16</c:f>
              <c:strCache>
                <c:ptCount val="1"/>
                <c:pt idx="0">
                  <c:v>Upper 8</c:v>
                </c:pt>
              </c:strCache>
            </c:strRef>
          </c:tx>
          <c:spPr>
            <a:solidFill>
              <a:srgbClr val="C00000">
                <a:alpha val="3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fan'!$AW$17:$AW$25</c:f>
              <c:numCache>
                <c:formatCode>0.0000</c:formatCode>
                <c:ptCount val="8"/>
                <c:pt idx="0">
                  <c:v>0</c:v>
                </c:pt>
                <c:pt idx="1">
                  <c:v>0</c:v>
                </c:pt>
                <c:pt idx="2">
                  <c:v>0</c:v>
                </c:pt>
                <c:pt idx="3">
                  <c:v>0</c:v>
                </c:pt>
                <c:pt idx="4">
                  <c:v>0.1953439153439156</c:v>
                </c:pt>
                <c:pt idx="5">
                  <c:v>0.27548500881834226</c:v>
                </c:pt>
                <c:pt idx="6">
                  <c:v>0.35562610229276892</c:v>
                </c:pt>
                <c:pt idx="7">
                  <c:v>0.43576719576719558</c:v>
                </c:pt>
              </c:numCache>
              <c:extLst/>
            </c:numRef>
          </c:val>
          <c:extLst>
            <c:ext xmlns:c16="http://schemas.microsoft.com/office/drawing/2014/chart" uri="{C3380CC4-5D6E-409C-BE32-E72D297353CC}">
              <c16:uniqueId val="{00000012-E87F-4D3A-9CBF-6FCBA0E5B36C}"/>
            </c:ext>
          </c:extLst>
        </c:ser>
        <c:ser>
          <c:idx val="19"/>
          <c:order val="19"/>
          <c:tx>
            <c:strRef>
              <c:f>'Yearly GDP chart fan'!$AX$16</c:f>
              <c:strCache>
                <c:ptCount val="1"/>
                <c:pt idx="0">
                  <c:v>Upper 9</c:v>
                </c:pt>
              </c:strCache>
            </c:strRef>
          </c:tx>
          <c:spPr>
            <a:solidFill>
              <a:srgbClr val="C00000">
                <a:alpha val="2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fan'!$AX$17:$AX$25</c:f>
              <c:numCache>
                <c:formatCode>0.0000</c:formatCode>
                <c:ptCount val="8"/>
                <c:pt idx="0">
                  <c:v>0</c:v>
                </c:pt>
                <c:pt idx="1">
                  <c:v>0</c:v>
                </c:pt>
                <c:pt idx="2">
                  <c:v>0</c:v>
                </c:pt>
                <c:pt idx="3">
                  <c:v>0</c:v>
                </c:pt>
                <c:pt idx="4">
                  <c:v>0.22148148148148117</c:v>
                </c:pt>
                <c:pt idx="5">
                  <c:v>0.31234567901234556</c:v>
                </c:pt>
                <c:pt idx="6">
                  <c:v>0.40320987654320994</c:v>
                </c:pt>
                <c:pt idx="7">
                  <c:v>0.49407407407407433</c:v>
                </c:pt>
              </c:numCache>
              <c:extLst/>
            </c:numRef>
          </c:val>
          <c:extLst>
            <c:ext xmlns:c16="http://schemas.microsoft.com/office/drawing/2014/chart" uri="{C3380CC4-5D6E-409C-BE32-E72D297353CC}">
              <c16:uniqueId val="{00000013-E87F-4D3A-9CBF-6FCBA0E5B36C}"/>
            </c:ext>
          </c:extLst>
        </c:ser>
        <c:ser>
          <c:idx val="20"/>
          <c:order val="20"/>
          <c:tx>
            <c:strRef>
              <c:f>'Yearly GDP chart fan'!$AY$16</c:f>
              <c:strCache>
                <c:ptCount val="1"/>
                <c:pt idx="0">
                  <c:v>Upper 10</c:v>
                </c:pt>
              </c:strCache>
            </c:strRef>
          </c:tx>
          <c:spPr>
            <a:solidFill>
              <a:srgbClr val="C00000">
                <a:alpha val="10000"/>
              </a:srgbClr>
            </a:solidFill>
            <a:ln w="25400">
              <a:noFill/>
            </a:ln>
            <a:effectLst/>
          </c:spPr>
          <c:cat>
            <c:numRef>
              <c:f>'Yearly GDP chart fan'!$C$17:$C$25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fan'!$AY$17:$AY$25</c:f>
              <c:numCache>
                <c:formatCode>0.0000</c:formatCode>
                <c:ptCount val="8"/>
                <c:pt idx="0">
                  <c:v>0</c:v>
                </c:pt>
                <c:pt idx="1">
                  <c:v>0</c:v>
                </c:pt>
                <c:pt idx="2">
                  <c:v>0</c:v>
                </c:pt>
                <c:pt idx="3">
                  <c:v>0</c:v>
                </c:pt>
                <c:pt idx="4">
                  <c:v>0.24761904761904763</c:v>
                </c:pt>
                <c:pt idx="5">
                  <c:v>0.34920634920634885</c:v>
                </c:pt>
                <c:pt idx="6">
                  <c:v>0.45079365079365097</c:v>
                </c:pt>
                <c:pt idx="7">
                  <c:v>0.55238095238095219</c:v>
                </c:pt>
              </c:numCache>
              <c:extLst/>
            </c:numRef>
          </c:val>
          <c:extLst>
            <c:ext xmlns:c16="http://schemas.microsoft.com/office/drawing/2014/chart" uri="{C3380CC4-5D6E-409C-BE32-E72D297353CC}">
              <c16:uniqueId val="{00000014-E87F-4D3A-9CBF-6FCBA0E5B36C}"/>
            </c:ext>
          </c:extLst>
        </c:ser>
        <c:dLbls>
          <c:showLegendKey val="0"/>
          <c:showVal val="0"/>
          <c:showCatName val="0"/>
          <c:showSerName val="0"/>
          <c:showPercent val="0"/>
          <c:showBubbleSize val="0"/>
        </c:dLbls>
        <c:axId val="136355472"/>
        <c:axId val="136350480"/>
      </c:areaChart>
      <c:lineChart>
        <c:grouping val="standard"/>
        <c:varyColors val="0"/>
        <c:ser>
          <c:idx val="21"/>
          <c:order val="21"/>
          <c:tx>
            <c:strRef>
              <c:f>'Yearly GDP chart fan'!$J$16</c:f>
              <c:strCache>
                <c:ptCount val="1"/>
                <c:pt idx="0">
                  <c:v>Kombinovana</c:v>
                </c:pt>
              </c:strCache>
            </c:strRef>
          </c:tx>
          <c:spPr>
            <a:ln w="12700" cap="rnd">
              <a:solidFill>
                <a:schemeClr val="tx1"/>
              </a:solidFill>
              <a:round/>
            </a:ln>
            <a:effectLst/>
          </c:spPr>
          <c:marker>
            <c:symbol val="none"/>
          </c:marker>
          <c:dLbls>
            <c:dLbl>
              <c:idx val="0"/>
              <c:layout>
                <c:manualLayout>
                  <c:x val="-0.10577573636628755"/>
                  <c:y val="7.388699054126515E-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E87F-4D3A-9CBF-6FCBA0E5B36C}"/>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8"/>
              <c:pt idx="0">
                <c:v>2020</c:v>
              </c:pt>
              <c:pt idx="1">
                <c:v>2021</c:v>
              </c:pt>
              <c:pt idx="2">
                <c:v>2022</c:v>
              </c:pt>
              <c:pt idx="3">
                <c:v>2023</c:v>
              </c:pt>
              <c:pt idx="4">
                <c:v>2024</c:v>
              </c:pt>
              <c:pt idx="5">
                <c:v>2025</c:v>
              </c:pt>
              <c:pt idx="6">
                <c:v>2026</c:v>
              </c:pt>
              <c:pt idx="7">
                <c:v>2027</c:v>
              </c:pt>
              <c:extLst>
                <c:ext xmlns:c15="http://schemas.microsoft.com/office/drawing/2012/chart" uri="{02D57815-91ED-43cb-92C2-25804820EDAC}">
                  <c15:autoCat val="1"/>
                </c:ext>
              </c:extLst>
            </c:strLit>
          </c:cat>
          <c:val>
            <c:numRef>
              <c:f>'Yearly GDP chart fan'!$J$17:$J$25</c:f>
              <c:numCache>
                <c:formatCode>0.0</c:formatCode>
                <c:ptCount val="8"/>
                <c:pt idx="0">
                  <c:v>-0.95002358986207014</c:v>
                </c:pt>
                <c:pt idx="1">
                  <c:v>7.9490568037111018</c:v>
                </c:pt>
                <c:pt idx="2">
                  <c:v>2.6309864215221239</c:v>
                </c:pt>
                <c:pt idx="3">
                  <c:v>3.8474719538126294</c:v>
                </c:pt>
                <c:pt idx="4">
                  <c:v>3.8</c:v>
                </c:pt>
                <c:pt idx="5">
                  <c:v>4.2</c:v>
                </c:pt>
                <c:pt idx="6">
                  <c:v>4</c:v>
                </c:pt>
                <c:pt idx="7">
                  <c:v>5</c:v>
                </c:pt>
              </c:numCache>
              <c:extLst/>
            </c:numRef>
          </c:val>
          <c:smooth val="0"/>
          <c:extLst>
            <c:ext xmlns:c16="http://schemas.microsoft.com/office/drawing/2014/chart" uri="{C3380CC4-5D6E-409C-BE32-E72D297353CC}">
              <c16:uniqueId val="{00000015-E87F-4D3A-9CBF-6FCBA0E5B36C}"/>
            </c:ext>
          </c:extLst>
        </c:ser>
        <c:dLbls>
          <c:showLegendKey val="0"/>
          <c:showVal val="0"/>
          <c:showCatName val="0"/>
          <c:showSerName val="0"/>
          <c:showPercent val="0"/>
          <c:showBubbleSize val="0"/>
        </c:dLbls>
        <c:marker val="1"/>
        <c:smooth val="0"/>
        <c:axId val="136355472"/>
        <c:axId val="136350480"/>
      </c:lineChart>
      <c:catAx>
        <c:axId val="136355472"/>
        <c:scaling>
          <c:orientation val="minMax"/>
        </c:scaling>
        <c:delete val="0"/>
        <c:axPos val="b"/>
        <c:numFmt formatCode="General" sourceLinked="1"/>
        <c:majorTickMark val="out"/>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b" anchorCtr="0"/>
          <a:lstStyle/>
          <a:p>
            <a:pPr>
              <a:defRPr sz="700" b="0" i="0" u="none" strike="noStrike" kern="1200" baseline="0">
                <a:solidFill>
                  <a:schemeClr val="tx2"/>
                </a:solidFill>
                <a:latin typeface="+mn-lt"/>
                <a:ea typeface="+mn-ea"/>
                <a:cs typeface="+mn-cs"/>
              </a:defRPr>
            </a:pPr>
            <a:endParaRPr lang="sr-Latn-RS"/>
          </a:p>
        </c:txPr>
        <c:crossAx val="136350480"/>
        <c:crosses val="autoZero"/>
        <c:auto val="1"/>
        <c:lblAlgn val="ctr"/>
        <c:lblOffset val="100"/>
        <c:noMultiLvlLbl val="0"/>
      </c:catAx>
      <c:valAx>
        <c:axId val="136350480"/>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136355472"/>
        <c:crosses val="autoZero"/>
        <c:crossBetween val="between"/>
        <c:majorUnit val="2"/>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890798861412E-2"/>
          <c:y val="0.12259765625000001"/>
          <c:w val="0.90740810185185183"/>
          <c:h val="0.55332899305555561"/>
        </c:manualLayout>
      </c:layout>
      <c:barChart>
        <c:barDir val="col"/>
        <c:grouping val="stacked"/>
        <c:varyColors val="0"/>
        <c:ser>
          <c:idx val="2"/>
          <c:order val="1"/>
          <c:tx>
            <c:strRef>
              <c:f>'потенцијални BDP'!$D$5</c:f>
              <c:strCache>
                <c:ptCount val="1"/>
                <c:pt idx="0">
                  <c:v>Допринос фактора рада, п.п.</c:v>
                </c:pt>
              </c:strCache>
            </c:strRef>
          </c:tx>
          <c:spPr>
            <a:solidFill>
              <a:srgbClr val="10103C"/>
            </a:solidFill>
            <a:ln>
              <a:noFill/>
            </a:ln>
            <a:effectLst/>
          </c:spPr>
          <c:invertIfNegative val="0"/>
          <c:cat>
            <c:numRef>
              <c:f>'потенцијални BDP'!$B$14:$B$18</c:f>
              <c:numCache>
                <c:formatCode>General</c:formatCode>
                <c:ptCount val="5"/>
                <c:pt idx="0">
                  <c:v>2023</c:v>
                </c:pt>
                <c:pt idx="1">
                  <c:v>2024</c:v>
                </c:pt>
                <c:pt idx="2">
                  <c:v>2025</c:v>
                </c:pt>
                <c:pt idx="3">
                  <c:v>2026</c:v>
                </c:pt>
                <c:pt idx="4">
                  <c:v>2027</c:v>
                </c:pt>
              </c:numCache>
            </c:numRef>
          </c:cat>
          <c:val>
            <c:numRef>
              <c:f>'потенцијални BDP'!$D$14:$D$18</c:f>
              <c:numCache>
                <c:formatCode>0.0</c:formatCode>
                <c:ptCount val="5"/>
                <c:pt idx="0">
                  <c:v>0.75785409701585982</c:v>
                </c:pt>
                <c:pt idx="1">
                  <c:v>0.75734754324752851</c:v>
                </c:pt>
                <c:pt idx="2">
                  <c:v>0.56563013064137913</c:v>
                </c:pt>
                <c:pt idx="3">
                  <c:v>0.51530138875533704</c:v>
                </c:pt>
                <c:pt idx="4">
                  <c:v>0.43322461127278555</c:v>
                </c:pt>
              </c:numCache>
            </c:numRef>
          </c:val>
          <c:extLst>
            <c:ext xmlns:c16="http://schemas.microsoft.com/office/drawing/2014/chart" uri="{C3380CC4-5D6E-409C-BE32-E72D297353CC}">
              <c16:uniqueId val="{00000000-B044-4A72-BA1F-205EC4CB352D}"/>
            </c:ext>
          </c:extLst>
        </c:ser>
        <c:ser>
          <c:idx val="1"/>
          <c:order val="2"/>
          <c:tx>
            <c:strRef>
              <c:f>'потенцијални BDP'!$E$5</c:f>
              <c:strCache>
                <c:ptCount val="1"/>
                <c:pt idx="0">
                  <c:v>Допринос капитала, п.п.</c:v>
                </c:pt>
              </c:strCache>
            </c:strRef>
          </c:tx>
          <c:spPr>
            <a:solidFill>
              <a:srgbClr val="29489A"/>
            </a:solidFill>
            <a:ln>
              <a:noFill/>
            </a:ln>
            <a:effectLst/>
          </c:spPr>
          <c:invertIfNegative val="0"/>
          <c:cat>
            <c:numRef>
              <c:f>'потенцијални BDP'!$B$14:$B$18</c:f>
              <c:numCache>
                <c:formatCode>General</c:formatCode>
                <c:ptCount val="5"/>
                <c:pt idx="0">
                  <c:v>2023</c:v>
                </c:pt>
                <c:pt idx="1">
                  <c:v>2024</c:v>
                </c:pt>
                <c:pt idx="2">
                  <c:v>2025</c:v>
                </c:pt>
                <c:pt idx="3">
                  <c:v>2026</c:v>
                </c:pt>
                <c:pt idx="4">
                  <c:v>2027</c:v>
                </c:pt>
              </c:numCache>
            </c:numRef>
          </c:cat>
          <c:val>
            <c:numRef>
              <c:f>'потенцијални BDP'!$E$14:$E$18</c:f>
              <c:numCache>
                <c:formatCode>0.0</c:formatCode>
                <c:ptCount val="5"/>
                <c:pt idx="0">
                  <c:v>1.6616053399226458</c:v>
                </c:pt>
                <c:pt idx="1">
                  <c:v>1.8440653836107743</c:v>
                </c:pt>
                <c:pt idx="2">
                  <c:v>1.9486397777409556</c:v>
                </c:pt>
                <c:pt idx="3">
                  <c:v>2.0334896181511097</c:v>
                </c:pt>
                <c:pt idx="4">
                  <c:v>2.0855185057317405</c:v>
                </c:pt>
              </c:numCache>
            </c:numRef>
          </c:val>
          <c:extLst>
            <c:ext xmlns:c16="http://schemas.microsoft.com/office/drawing/2014/chart" uri="{C3380CC4-5D6E-409C-BE32-E72D297353CC}">
              <c16:uniqueId val="{00000001-B044-4A72-BA1F-205EC4CB352D}"/>
            </c:ext>
          </c:extLst>
        </c:ser>
        <c:ser>
          <c:idx val="3"/>
          <c:order val="3"/>
          <c:tx>
            <c:strRef>
              <c:f>'потенцијални BDP'!$F$5</c:f>
              <c:strCache>
                <c:ptCount val="1"/>
                <c:pt idx="0">
                  <c:v>ТФП, п.п.</c:v>
                </c:pt>
              </c:strCache>
            </c:strRef>
          </c:tx>
          <c:spPr>
            <a:solidFill>
              <a:srgbClr val="51BBE7"/>
            </a:solidFill>
            <a:ln>
              <a:noFill/>
            </a:ln>
            <a:effectLst/>
          </c:spPr>
          <c:invertIfNegative val="0"/>
          <c:cat>
            <c:numRef>
              <c:f>'потенцијални BDP'!$B$14:$B$18</c:f>
              <c:numCache>
                <c:formatCode>General</c:formatCode>
                <c:ptCount val="5"/>
                <c:pt idx="0">
                  <c:v>2023</c:v>
                </c:pt>
                <c:pt idx="1">
                  <c:v>2024</c:v>
                </c:pt>
                <c:pt idx="2">
                  <c:v>2025</c:v>
                </c:pt>
                <c:pt idx="3">
                  <c:v>2026</c:v>
                </c:pt>
                <c:pt idx="4">
                  <c:v>2027</c:v>
                </c:pt>
              </c:numCache>
            </c:numRef>
          </c:cat>
          <c:val>
            <c:numRef>
              <c:f>'потенцијални BDP'!$F$14:$F$18</c:f>
              <c:numCache>
                <c:formatCode>0.0</c:formatCode>
                <c:ptCount val="5"/>
                <c:pt idx="0">
                  <c:v>1.5446839629835762</c:v>
                </c:pt>
                <c:pt idx="1">
                  <c:v>1.4117272984149343</c:v>
                </c:pt>
                <c:pt idx="2">
                  <c:v>1.553052549374049</c:v>
                </c:pt>
                <c:pt idx="3">
                  <c:v>1.5572220880842322</c:v>
                </c:pt>
                <c:pt idx="4">
                  <c:v>1.5903046929206779</c:v>
                </c:pt>
              </c:numCache>
            </c:numRef>
          </c:val>
          <c:extLst>
            <c:ext xmlns:c16="http://schemas.microsoft.com/office/drawing/2014/chart" uri="{C3380CC4-5D6E-409C-BE32-E72D297353CC}">
              <c16:uniqueId val="{00000002-B044-4A72-BA1F-205EC4CB352D}"/>
            </c:ext>
          </c:extLst>
        </c:ser>
        <c:dLbls>
          <c:showLegendKey val="0"/>
          <c:showVal val="0"/>
          <c:showCatName val="0"/>
          <c:showSerName val="0"/>
          <c:showPercent val="0"/>
          <c:showBubbleSize val="0"/>
        </c:dLbls>
        <c:gapWidth val="60"/>
        <c:overlap val="100"/>
        <c:axId val="1961428144"/>
        <c:axId val="1961437392"/>
      </c:barChart>
      <c:lineChart>
        <c:grouping val="standard"/>
        <c:varyColors val="0"/>
        <c:ser>
          <c:idx val="0"/>
          <c:order val="0"/>
          <c:tx>
            <c:strRef>
              <c:f>'потенцијални BDP'!$C$5</c:f>
              <c:strCache>
                <c:ptCount val="1"/>
                <c:pt idx="0">
                  <c:v>Раст потенцијалног БДП, %</c:v>
                </c:pt>
              </c:strCache>
            </c:strRef>
          </c:tx>
          <c:spPr>
            <a:ln w="28575" cap="rnd">
              <a:solidFill>
                <a:srgbClr val="FF0000"/>
              </a:solidFill>
              <a:round/>
            </a:ln>
            <a:effectLst/>
          </c:spPr>
          <c:marker>
            <c:symbol val="none"/>
          </c:marker>
          <c:cat>
            <c:numRef>
              <c:f>'потенцијални BDP'!$B$14:$B$18</c:f>
              <c:numCache>
                <c:formatCode>General</c:formatCode>
                <c:ptCount val="5"/>
                <c:pt idx="0">
                  <c:v>2023</c:v>
                </c:pt>
                <c:pt idx="1">
                  <c:v>2024</c:v>
                </c:pt>
                <c:pt idx="2">
                  <c:v>2025</c:v>
                </c:pt>
                <c:pt idx="3">
                  <c:v>2026</c:v>
                </c:pt>
                <c:pt idx="4">
                  <c:v>2027</c:v>
                </c:pt>
              </c:numCache>
            </c:numRef>
          </c:cat>
          <c:val>
            <c:numRef>
              <c:f>'потенцијални BDP'!$C$14:$C$18</c:f>
              <c:numCache>
                <c:formatCode>0.0</c:formatCode>
                <c:ptCount val="5"/>
                <c:pt idx="0">
                  <c:v>3.9641433999220821</c:v>
                </c:pt>
                <c:pt idx="1">
                  <c:v>4.0131402252732373</c:v>
                </c:pt>
                <c:pt idx="2">
                  <c:v>4.0673224577563838</c:v>
                </c:pt>
                <c:pt idx="3">
                  <c:v>4.1060130949906792</c:v>
                </c:pt>
                <c:pt idx="4">
                  <c:v>4.1090478099252037</c:v>
                </c:pt>
              </c:numCache>
            </c:numRef>
          </c:val>
          <c:smooth val="0"/>
          <c:extLst>
            <c:ext xmlns:c16="http://schemas.microsoft.com/office/drawing/2014/chart" uri="{C3380CC4-5D6E-409C-BE32-E72D297353CC}">
              <c16:uniqueId val="{00000003-B044-4A72-BA1F-205EC4CB352D}"/>
            </c:ext>
          </c:extLst>
        </c:ser>
        <c:dLbls>
          <c:showLegendKey val="0"/>
          <c:showVal val="0"/>
          <c:showCatName val="0"/>
          <c:showSerName val="0"/>
          <c:showPercent val="0"/>
          <c:showBubbleSize val="0"/>
        </c:dLbls>
        <c:marker val="1"/>
        <c:smooth val="0"/>
        <c:axId val="1961428144"/>
        <c:axId val="1961437392"/>
      </c:lineChart>
      <c:catAx>
        <c:axId val="196142814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37392"/>
        <c:crossesAt val="0"/>
        <c:auto val="1"/>
        <c:lblAlgn val="ctr"/>
        <c:lblOffset val="100"/>
        <c:noMultiLvlLbl val="0"/>
      </c:catAx>
      <c:valAx>
        <c:axId val="1961437392"/>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28144"/>
        <c:crosses val="autoZero"/>
        <c:crossBetween val="between"/>
        <c:majorUnit val="1"/>
        <c:minorUnit val="0.2"/>
      </c:valAx>
      <c:spPr>
        <a:noFill/>
        <a:ln>
          <a:noFill/>
        </a:ln>
        <a:effectLst/>
      </c:spPr>
    </c:plotArea>
    <c:legend>
      <c:legendPos val="b"/>
      <c:layout>
        <c:manualLayout>
          <c:xMode val="edge"/>
          <c:yMode val="edge"/>
          <c:x val="1.4346234889652889E-3"/>
          <c:y val="0.79209678819444451"/>
          <c:w val="0.99827437063324831"/>
          <c:h val="0.1944487847222222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165682414698163"/>
          <c:y val="6.035665294924554E-2"/>
          <c:w val="0.71252661125692618"/>
          <c:h val="0.70831513409961688"/>
        </c:manualLayout>
      </c:layout>
      <c:barChart>
        <c:barDir val="col"/>
        <c:grouping val="clustered"/>
        <c:varyColors val="0"/>
        <c:ser>
          <c:idx val="1"/>
          <c:order val="1"/>
          <c:tx>
            <c:strRef>
              <c:f>'Trziste rada-br zap croso'!$B$15</c:f>
              <c:strCache>
                <c:ptCount val="1"/>
                <c:pt idx="0">
                  <c:v>Стопа раста, у % (десна скала)</c:v>
                </c:pt>
              </c:strCache>
            </c:strRef>
          </c:tx>
          <c:spPr>
            <a:solidFill>
              <a:srgbClr val="2948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rada-br zap croso'!$C$13:$I$13</c:f>
              <c:strCache>
                <c:ptCount val="7"/>
                <c:pt idx="0">
                  <c:v>2018</c:v>
                </c:pt>
                <c:pt idx="1">
                  <c:v>2019</c:v>
                </c:pt>
                <c:pt idx="2">
                  <c:v>2020</c:v>
                </c:pt>
                <c:pt idx="3">
                  <c:v>2021</c:v>
                </c:pt>
                <c:pt idx="4">
                  <c:v>2022</c:v>
                </c:pt>
                <c:pt idx="5">
                  <c:v>2023</c:v>
                </c:pt>
                <c:pt idx="6">
                  <c:v>I-VIII 2024</c:v>
                </c:pt>
              </c:strCache>
            </c:strRef>
          </c:cat>
          <c:val>
            <c:numRef>
              <c:f>'Trziste rada-br zap croso'!$C$15:$I$15</c:f>
              <c:numCache>
                <c:formatCode>#,#00</c:formatCode>
                <c:ptCount val="7"/>
                <c:pt idx="0">
                  <c:v>3.8024992025341504</c:v>
                </c:pt>
                <c:pt idx="1">
                  <c:v>2.3736491221046947</c:v>
                </c:pt>
                <c:pt idx="2">
                  <c:v>2.2763571179288817</c:v>
                </c:pt>
                <c:pt idx="3">
                  <c:v>2.9561962168021836</c:v>
                </c:pt>
                <c:pt idx="4">
                  <c:v>1.8458948204450394</c:v>
                </c:pt>
                <c:pt idx="5">
                  <c:v>2.4</c:v>
                </c:pt>
                <c:pt idx="6">
                  <c:v>0.6</c:v>
                </c:pt>
              </c:numCache>
            </c:numRef>
          </c:val>
          <c:extLst>
            <c:ext xmlns:c16="http://schemas.microsoft.com/office/drawing/2014/chart" uri="{C3380CC4-5D6E-409C-BE32-E72D297353CC}">
              <c16:uniqueId val="{00000000-FB3D-450F-BCA1-AE4C5156D610}"/>
            </c:ext>
          </c:extLst>
        </c:ser>
        <c:dLbls>
          <c:showLegendKey val="0"/>
          <c:showVal val="0"/>
          <c:showCatName val="0"/>
          <c:showSerName val="0"/>
          <c:showPercent val="0"/>
          <c:showBubbleSize val="0"/>
        </c:dLbls>
        <c:gapWidth val="32"/>
        <c:axId val="1699767695"/>
        <c:axId val="1699779759"/>
      </c:barChart>
      <c:lineChart>
        <c:grouping val="standard"/>
        <c:varyColors val="0"/>
        <c:ser>
          <c:idx val="0"/>
          <c:order val="0"/>
          <c:tx>
            <c:strRef>
              <c:f>'Trziste rada-br zap croso'!$B$14</c:f>
              <c:strCache>
                <c:ptCount val="1"/>
                <c:pt idx="0">
                  <c:v>Просечан број запослених, у хиљ.</c:v>
                </c:pt>
              </c:strCache>
            </c:strRef>
          </c:tx>
          <c:spPr>
            <a:ln w="28575" cap="rnd">
              <a:solidFill>
                <a:srgbClr val="FF0000"/>
              </a:solidFill>
              <a:round/>
            </a:ln>
            <a:effectLst/>
          </c:spPr>
          <c:marker>
            <c:symbol val="circle"/>
            <c:size val="18"/>
            <c:spPr>
              <a:solidFill>
                <a:srgbClr val="FF0000"/>
              </a:solidFill>
              <a:ln w="9525">
                <a:solidFill>
                  <a:srgbClr val="ED1C2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rada-br zap croso'!$C$13:$I$13</c:f>
              <c:strCache>
                <c:ptCount val="7"/>
                <c:pt idx="0">
                  <c:v>2018</c:v>
                </c:pt>
                <c:pt idx="1">
                  <c:v>2019</c:v>
                </c:pt>
                <c:pt idx="2">
                  <c:v>2020</c:v>
                </c:pt>
                <c:pt idx="3">
                  <c:v>2021</c:v>
                </c:pt>
                <c:pt idx="4">
                  <c:v>2022</c:v>
                </c:pt>
                <c:pt idx="5">
                  <c:v>2023</c:v>
                </c:pt>
                <c:pt idx="6">
                  <c:v>I-VIII 2024</c:v>
                </c:pt>
              </c:strCache>
            </c:strRef>
          </c:cat>
          <c:val>
            <c:numRef>
              <c:f>'Trziste rada-br zap croso'!$C$14:$I$14</c:f>
              <c:numCache>
                <c:formatCode>0</c:formatCode>
                <c:ptCount val="7"/>
                <c:pt idx="0">
                  <c:v>2052.5464166666666</c:v>
                </c:pt>
                <c:pt idx="1">
                  <c:v>2101.2666666666664</c:v>
                </c:pt>
                <c:pt idx="2">
                  <c:v>2149.0990000000002</c:v>
                </c:pt>
                <c:pt idx="3">
                  <c:v>2212.6305833333336</c:v>
                </c:pt>
                <c:pt idx="4">
                  <c:v>2253.4734166666667</c:v>
                </c:pt>
                <c:pt idx="5">
                  <c:v>2306.9553333333333</c:v>
                </c:pt>
                <c:pt idx="6">
                  <c:v>2315.7064999999998</c:v>
                </c:pt>
              </c:numCache>
            </c:numRef>
          </c:val>
          <c:smooth val="0"/>
          <c:extLst>
            <c:ext xmlns:c16="http://schemas.microsoft.com/office/drawing/2014/chart" uri="{C3380CC4-5D6E-409C-BE32-E72D297353CC}">
              <c16:uniqueId val="{00000001-FB3D-450F-BCA1-AE4C5156D610}"/>
            </c:ext>
          </c:extLst>
        </c:ser>
        <c:dLbls>
          <c:showLegendKey val="0"/>
          <c:showVal val="0"/>
          <c:showCatName val="0"/>
          <c:showSerName val="0"/>
          <c:showPercent val="0"/>
          <c:showBubbleSize val="0"/>
        </c:dLbls>
        <c:marker val="1"/>
        <c:smooth val="0"/>
        <c:axId val="1299337759"/>
        <c:axId val="1299338591"/>
      </c:lineChart>
      <c:catAx>
        <c:axId val="1299337759"/>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99338591"/>
        <c:crosses val="autoZero"/>
        <c:auto val="1"/>
        <c:lblAlgn val="ctr"/>
        <c:lblOffset val="100"/>
        <c:noMultiLvlLbl val="0"/>
      </c:catAx>
      <c:valAx>
        <c:axId val="129933859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99337759"/>
        <c:crosses val="autoZero"/>
        <c:crossBetween val="between"/>
      </c:valAx>
      <c:valAx>
        <c:axId val="1699779759"/>
        <c:scaling>
          <c:orientation val="minMax"/>
        </c:scaling>
        <c:delete val="0"/>
        <c:axPos val="r"/>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a:t>
                </a:r>
                <a:r>
                  <a:rPr lang="sr-Cyrl-RS" sz="700" baseline="0">
                    <a:solidFill>
                      <a:schemeClr val="tx2"/>
                    </a:solidFill>
                  </a:rPr>
                  <a:t> на и</a:t>
                </a:r>
                <a:r>
                  <a:rPr lang="sr-Cyrl-RS" sz="700">
                    <a:solidFill>
                      <a:schemeClr val="tx2"/>
                    </a:solidFill>
                  </a:rPr>
                  <a:t>сти период претходне године, %</a:t>
                </a:r>
                <a:endParaRPr lang="en-GB" sz="700">
                  <a:solidFill>
                    <a:schemeClr val="tx2"/>
                  </a:solidFill>
                </a:endParaRPr>
              </a:p>
            </c:rich>
          </c:tx>
          <c:layout>
            <c:manualLayout>
              <c:xMode val="edge"/>
              <c:yMode val="edge"/>
              <c:x val="0.90699074074074071"/>
              <c:y val="0.10163647250824812"/>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99767695"/>
        <c:crosses val="max"/>
        <c:crossBetween val="between"/>
      </c:valAx>
      <c:catAx>
        <c:axId val="1699767695"/>
        <c:scaling>
          <c:orientation val="minMax"/>
        </c:scaling>
        <c:delete val="1"/>
        <c:axPos val="b"/>
        <c:numFmt formatCode="General" sourceLinked="1"/>
        <c:majorTickMark val="out"/>
        <c:minorTickMark val="none"/>
        <c:tickLblPos val="nextTo"/>
        <c:crossAx val="1699779759"/>
        <c:crosses val="autoZero"/>
        <c:auto val="1"/>
        <c:lblAlgn val="ctr"/>
        <c:lblOffset val="100"/>
        <c:noMultiLvlLbl val="0"/>
      </c:catAx>
      <c:spPr>
        <a:noFill/>
        <a:ln>
          <a:noFill/>
        </a:ln>
        <a:effectLst/>
      </c:spPr>
    </c:plotArea>
    <c:legend>
      <c:legendPos val="b"/>
      <c:layout>
        <c:manualLayout>
          <c:xMode val="edge"/>
          <c:yMode val="edge"/>
          <c:x val="0"/>
          <c:y val="0.88085296934865898"/>
          <c:w val="0.9740740740740742"/>
          <c:h val="0.119147030651341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79862933799949E-2"/>
          <c:y val="9.8260956915078204E-2"/>
          <c:w val="0.92629337999416761"/>
          <c:h val="0.72096111111111116"/>
        </c:manualLayout>
      </c:layout>
      <c:barChart>
        <c:barDir val="col"/>
        <c:grouping val="clustered"/>
        <c:varyColors val="0"/>
        <c:ser>
          <c:idx val="0"/>
          <c:order val="0"/>
          <c:spPr>
            <a:solidFill>
              <a:srgbClr val="29489A"/>
            </a:solidFill>
            <a:ln>
              <a:noFill/>
            </a:ln>
            <a:effectLst/>
          </c:spPr>
          <c:invertIfNegative val="0"/>
          <c:dLbls>
            <c:dLbl>
              <c:idx val="0"/>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9BD-42DD-9C9E-A9FC3F5C97CB}"/>
                </c:ext>
              </c:extLst>
            </c:dLbl>
            <c:dLbl>
              <c:idx val="1"/>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9BD-42DD-9C9E-A9FC3F5C97CB}"/>
                </c:ext>
              </c:extLst>
            </c:dLbl>
            <c:dLbl>
              <c:idx val="2"/>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9BD-42DD-9C9E-A9FC3F5C97CB}"/>
                </c:ext>
              </c:extLst>
            </c:dLbl>
            <c:dLbl>
              <c:idx val="3"/>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9BD-42DD-9C9E-A9FC3F5C97CB}"/>
                </c:ext>
              </c:extLst>
            </c:dLbl>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rada-ARS'!$E$39:$E$64</c:f>
              <c:numCache>
                <c:formatCode>#,#00%</c:formatCode>
                <c:ptCount val="20"/>
                <c:pt idx="0">
                  <c:v>0.1</c:v>
                </c:pt>
                <c:pt idx="1">
                  <c:v>9.6000000000000002E-2</c:v>
                </c:pt>
                <c:pt idx="2">
                  <c:v>0.09</c:v>
                </c:pt>
                <c:pt idx="3">
                  <c:v>9.0999999999999998E-2</c:v>
                </c:pt>
                <c:pt idx="7">
                  <c:v>0.495</c:v>
                </c:pt>
                <c:pt idx="8">
                  <c:v>0.503</c:v>
                </c:pt>
                <c:pt idx="9">
                  <c:v>0.505</c:v>
                </c:pt>
                <c:pt idx="10">
                  <c:v>0.503</c:v>
                </c:pt>
                <c:pt idx="14">
                  <c:v>0.45</c:v>
                </c:pt>
                <c:pt idx="15">
                  <c:v>0.44400000000000001</c:v>
                </c:pt>
                <c:pt idx="16">
                  <c:v>0.44500000000000001</c:v>
                </c:pt>
                <c:pt idx="17">
                  <c:v>0.44700000000000001</c:v>
                </c:pt>
              </c:numCache>
            </c:numRef>
          </c:val>
          <c:extLst>
            <c:ext xmlns:c16="http://schemas.microsoft.com/office/drawing/2014/chart" uri="{C3380CC4-5D6E-409C-BE32-E72D297353CC}">
              <c16:uniqueId val="{00000004-49BD-42DD-9C9E-A9FC3F5C97CB}"/>
            </c:ext>
          </c:extLst>
        </c:ser>
        <c:dLbls>
          <c:showLegendKey val="0"/>
          <c:showVal val="0"/>
          <c:showCatName val="0"/>
          <c:showSerName val="0"/>
          <c:showPercent val="0"/>
          <c:showBubbleSize val="0"/>
        </c:dLbls>
        <c:gapWidth val="14"/>
        <c:overlap val="-27"/>
        <c:axId val="961497464"/>
        <c:axId val="961498448"/>
      </c:barChart>
      <c:barChart>
        <c:barDir val="col"/>
        <c:grouping val="clustered"/>
        <c:varyColors val="0"/>
        <c:ser>
          <c:idx val="1"/>
          <c:order val="1"/>
          <c:spPr>
            <a:solidFill>
              <a:srgbClr val="FF0000"/>
            </a:solidFill>
            <a:ln>
              <a:noFill/>
            </a:ln>
            <a:effectLst/>
          </c:spPr>
          <c:invertIfNegative val="0"/>
          <c:dLbls>
            <c:dLbl>
              <c:idx val="4"/>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9BD-42DD-9C9E-A9FC3F5C97CB}"/>
                </c:ext>
              </c:extLst>
            </c:dLbl>
            <c:dLbl>
              <c:idx val="5"/>
              <c:layout>
                <c:manualLayout>
                  <c:x val="0"/>
                  <c:y val="2.2301526238533986E-2"/>
                </c:manualLayout>
              </c:layout>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04F-477A-8F05-FD933429B85B}"/>
                </c:ext>
              </c:extLst>
            </c:dLbl>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rada-ARS'!$F$39:$F$64</c:f>
              <c:numCache>
                <c:formatCode>General</c:formatCode>
                <c:ptCount val="20"/>
                <c:pt idx="4" formatCode="#,#00%">
                  <c:v>9.4E-2</c:v>
                </c:pt>
                <c:pt idx="5" formatCode="#,#00%">
                  <c:v>8.2000000000000003E-2</c:v>
                </c:pt>
                <c:pt idx="11" formatCode="#,#00%">
                  <c:v>0.50900000000000001</c:v>
                </c:pt>
                <c:pt idx="12" formatCode="#,#00%">
                  <c:v>0.51400000000000001</c:v>
                </c:pt>
                <c:pt idx="18" formatCode="#,#00%">
                  <c:v>0.438</c:v>
                </c:pt>
                <c:pt idx="19" formatCode="#,#00%">
                  <c:v>0.44</c:v>
                </c:pt>
              </c:numCache>
            </c:numRef>
          </c:val>
          <c:extLst>
            <c:ext xmlns:c16="http://schemas.microsoft.com/office/drawing/2014/chart" uri="{C3380CC4-5D6E-409C-BE32-E72D297353CC}">
              <c16:uniqueId val="{00000006-49BD-42DD-9C9E-A9FC3F5C97CB}"/>
            </c:ext>
          </c:extLst>
        </c:ser>
        <c:dLbls>
          <c:showLegendKey val="0"/>
          <c:showVal val="0"/>
          <c:showCatName val="0"/>
          <c:showSerName val="0"/>
          <c:showPercent val="0"/>
          <c:showBubbleSize val="0"/>
        </c:dLbls>
        <c:gapWidth val="14"/>
        <c:overlap val="-27"/>
        <c:axId val="1025104512"/>
        <c:axId val="1025106808"/>
      </c:barChart>
      <c:lineChart>
        <c:grouping val="standard"/>
        <c:varyColors val="0"/>
        <c:ser>
          <c:idx val="2"/>
          <c:order val="2"/>
          <c:spPr>
            <a:ln w="28575" cap="rnd">
              <a:noFill/>
              <a:round/>
            </a:ln>
            <a:effectLst/>
          </c:spPr>
          <c:marker>
            <c:symbol val="none"/>
          </c:marker>
          <c:dLbls>
            <c:dLbl>
              <c:idx val="0"/>
              <c:tx>
                <c:rich>
                  <a:bodyPr/>
                  <a:lstStyle/>
                  <a:p>
                    <a:fld id="{A5A776F3-1931-46FC-9BC0-4EA708157838}"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49BD-42DD-9C9E-A9FC3F5C97CB}"/>
                </c:ext>
              </c:extLst>
            </c:dLbl>
            <c:dLbl>
              <c:idx val="1"/>
              <c:tx>
                <c:rich>
                  <a:bodyPr/>
                  <a:lstStyle/>
                  <a:p>
                    <a:fld id="{287B33FB-69CA-4F25-9AFC-8FBDF4B5AA60}"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9BD-42DD-9C9E-A9FC3F5C97CB}"/>
                </c:ext>
              </c:extLst>
            </c:dLbl>
            <c:dLbl>
              <c:idx val="2"/>
              <c:tx>
                <c:rich>
                  <a:bodyPr/>
                  <a:lstStyle/>
                  <a:p>
                    <a:fld id="{AAEECDB9-12CA-4A08-B70B-12F00A08C2F8}"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49BD-42DD-9C9E-A9FC3F5C97CB}"/>
                </c:ext>
              </c:extLst>
            </c:dLbl>
            <c:dLbl>
              <c:idx val="3"/>
              <c:tx>
                <c:rich>
                  <a:bodyPr/>
                  <a:lstStyle/>
                  <a:p>
                    <a:fld id="{A5429E8A-F94E-4F03-A1A0-BE49339A6863}"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49BD-42DD-9C9E-A9FC3F5C97CB}"/>
                </c:ext>
              </c:extLst>
            </c:dLbl>
            <c:dLbl>
              <c:idx val="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49BD-42DD-9C9E-A9FC3F5C97CB}"/>
                </c:ext>
              </c:extLst>
            </c:dLbl>
            <c:dLbl>
              <c:idx val="5"/>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49BD-42DD-9C9E-A9FC3F5C97CB}"/>
                </c:ext>
              </c:extLst>
            </c:dLbl>
            <c:dLbl>
              <c:idx val="6"/>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49BD-42DD-9C9E-A9FC3F5C97CB}"/>
                </c:ext>
              </c:extLst>
            </c:dLbl>
            <c:dLbl>
              <c:idx val="7"/>
              <c:tx>
                <c:rich>
                  <a:bodyPr/>
                  <a:lstStyle/>
                  <a:p>
                    <a:fld id="{1A38E911-7B59-4514-9BED-703BF315C67F}"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9BD-42DD-9C9E-A9FC3F5C97CB}"/>
                </c:ext>
              </c:extLst>
            </c:dLbl>
            <c:dLbl>
              <c:idx val="8"/>
              <c:tx>
                <c:rich>
                  <a:bodyPr/>
                  <a:lstStyle/>
                  <a:p>
                    <a:fld id="{7950C8B1-6517-4FAD-94E4-CEC34F1EE72A}"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49BD-42DD-9C9E-A9FC3F5C97CB}"/>
                </c:ext>
              </c:extLst>
            </c:dLbl>
            <c:dLbl>
              <c:idx val="9"/>
              <c:tx>
                <c:rich>
                  <a:bodyPr/>
                  <a:lstStyle/>
                  <a:p>
                    <a:fld id="{217180FF-095E-42DF-9129-EDC4D67A3304}"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49BD-42DD-9C9E-A9FC3F5C97CB}"/>
                </c:ext>
              </c:extLst>
            </c:dLbl>
            <c:dLbl>
              <c:idx val="10"/>
              <c:tx>
                <c:rich>
                  <a:bodyPr/>
                  <a:lstStyle/>
                  <a:p>
                    <a:fld id="{22B3B7DC-83D4-46D1-856D-BB8BF8737F1D}"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9BD-42DD-9C9E-A9FC3F5C97CB}"/>
                </c:ext>
              </c:extLst>
            </c:dLbl>
            <c:dLbl>
              <c:idx val="1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49BD-42DD-9C9E-A9FC3F5C97CB}"/>
                </c:ext>
              </c:extLst>
            </c:dLbl>
            <c:dLbl>
              <c:idx val="12"/>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3-49BD-42DD-9C9E-A9FC3F5C97CB}"/>
                </c:ext>
              </c:extLst>
            </c:dLbl>
            <c:dLbl>
              <c:idx val="1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4-49BD-42DD-9C9E-A9FC3F5C97CB}"/>
                </c:ext>
              </c:extLst>
            </c:dLbl>
            <c:dLbl>
              <c:idx val="14"/>
              <c:tx>
                <c:rich>
                  <a:bodyPr/>
                  <a:lstStyle/>
                  <a:p>
                    <a:fld id="{EE97A289-13B2-43B1-A7DA-B04CEF23729B}"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49BD-42DD-9C9E-A9FC3F5C97CB}"/>
                </c:ext>
              </c:extLst>
            </c:dLbl>
            <c:dLbl>
              <c:idx val="15"/>
              <c:tx>
                <c:rich>
                  <a:bodyPr/>
                  <a:lstStyle/>
                  <a:p>
                    <a:fld id="{347EC2C9-56EE-4858-A52A-BA0F0962CAE4}"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49BD-42DD-9C9E-A9FC3F5C97CB}"/>
                </c:ext>
              </c:extLst>
            </c:dLbl>
            <c:dLbl>
              <c:idx val="16"/>
              <c:tx>
                <c:rich>
                  <a:bodyPr/>
                  <a:lstStyle/>
                  <a:p>
                    <a:fld id="{4B2B0245-162C-4BC4-9783-F1219E5689CB}"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49BD-42DD-9C9E-A9FC3F5C97CB}"/>
                </c:ext>
              </c:extLst>
            </c:dLbl>
            <c:dLbl>
              <c:idx val="17"/>
              <c:tx>
                <c:rich>
                  <a:bodyPr/>
                  <a:lstStyle/>
                  <a:p>
                    <a:fld id="{F4617B15-0CEE-4552-A719-245906FAA688}"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8-49BD-42DD-9C9E-A9FC3F5C97CB}"/>
                </c:ext>
              </c:extLst>
            </c:dLbl>
            <c:dLbl>
              <c:idx val="18"/>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9-49BD-42DD-9C9E-A9FC3F5C97CB}"/>
                </c:ext>
              </c:extLst>
            </c:dLbl>
            <c:dLbl>
              <c:idx val="19"/>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A-49BD-42DD-9C9E-A9FC3F5C97CB}"/>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29489A"/>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rada-ARS'!$G$39:$G$64</c:f>
              <c:numCache>
                <c:formatCode>General</c:formatCode>
                <c:ptCount val="20"/>
                <c:pt idx="0">
                  <c:v>0</c:v>
                </c:pt>
                <c:pt idx="1">
                  <c:v>0</c:v>
                </c:pt>
                <c:pt idx="2">
                  <c:v>0</c:v>
                </c:pt>
                <c:pt idx="3">
                  <c:v>0</c:v>
                </c:pt>
                <c:pt idx="7">
                  <c:v>0</c:v>
                </c:pt>
                <c:pt idx="8">
                  <c:v>0</c:v>
                </c:pt>
                <c:pt idx="9">
                  <c:v>0</c:v>
                </c:pt>
                <c:pt idx="10">
                  <c:v>0</c:v>
                </c:pt>
                <c:pt idx="14">
                  <c:v>0</c:v>
                </c:pt>
                <c:pt idx="15">
                  <c:v>0</c:v>
                </c:pt>
                <c:pt idx="16">
                  <c:v>0</c:v>
                </c:pt>
                <c:pt idx="17">
                  <c:v>0</c:v>
                </c:pt>
              </c:numCache>
            </c:numRef>
          </c:val>
          <c:smooth val="0"/>
          <c:extLst>
            <c:ext xmlns:c15="http://schemas.microsoft.com/office/drawing/2012/chart" uri="{02D57815-91ED-43cb-92C2-25804820EDAC}">
              <c15:datalabelsRange>
                <c15:f>'Trziste rada-ARS'!$K$39:$K$64</c15:f>
                <c15:dlblRangeCache>
                  <c:ptCount val="20"/>
                  <c:pt idx="0">
                    <c:v>I</c:v>
                  </c:pt>
                  <c:pt idx="1">
                    <c:v>II</c:v>
                  </c:pt>
                  <c:pt idx="2">
                    <c:v>III</c:v>
                  </c:pt>
                  <c:pt idx="3">
                    <c:v>IV</c:v>
                  </c:pt>
                  <c:pt idx="6">
                    <c:v> </c:v>
                  </c:pt>
                  <c:pt idx="7">
                    <c:v>I</c:v>
                  </c:pt>
                  <c:pt idx="8">
                    <c:v>II</c:v>
                  </c:pt>
                  <c:pt idx="9">
                    <c:v>III</c:v>
                  </c:pt>
                  <c:pt idx="10">
                    <c:v>IV</c:v>
                  </c:pt>
                  <c:pt idx="13">
                    <c:v> </c:v>
                  </c:pt>
                  <c:pt idx="14">
                    <c:v>I</c:v>
                  </c:pt>
                  <c:pt idx="15">
                    <c:v>II</c:v>
                  </c:pt>
                  <c:pt idx="16">
                    <c:v>III</c:v>
                  </c:pt>
                  <c:pt idx="17">
                    <c:v>IV</c:v>
                  </c:pt>
                </c15:dlblRangeCache>
              </c15:datalabelsRange>
            </c:ext>
            <c:ext xmlns:c16="http://schemas.microsoft.com/office/drawing/2014/chart" uri="{C3380CC4-5D6E-409C-BE32-E72D297353CC}">
              <c16:uniqueId val="{0000001B-49BD-42DD-9C9E-A9FC3F5C97CB}"/>
            </c:ext>
          </c:extLst>
        </c:ser>
        <c:ser>
          <c:idx val="3"/>
          <c:order val="3"/>
          <c:spPr>
            <a:ln w="28575" cap="rnd">
              <a:noFill/>
              <a:round/>
            </a:ln>
            <a:effectLst/>
          </c:spPr>
          <c:marker>
            <c:symbol val="none"/>
          </c:marker>
          <c:dLbls>
            <c:dLbl>
              <c:idx val="0"/>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49BD-42DD-9C9E-A9FC3F5C97CB}"/>
                </c:ext>
              </c:extLst>
            </c:dLbl>
            <c:dLbl>
              <c:idx val="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49BD-42DD-9C9E-A9FC3F5C97CB}"/>
                </c:ext>
              </c:extLst>
            </c:dLbl>
            <c:dLbl>
              <c:idx val="2"/>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49BD-42DD-9C9E-A9FC3F5C97CB}"/>
                </c:ext>
              </c:extLst>
            </c:dLbl>
            <c:dLbl>
              <c:idx val="3"/>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F-49BD-42DD-9C9E-A9FC3F5C97CB}"/>
                </c:ext>
              </c:extLst>
            </c:dLbl>
            <c:dLbl>
              <c:idx val="4"/>
              <c:tx>
                <c:rich>
                  <a:bodyPr/>
                  <a:lstStyle/>
                  <a:p>
                    <a:fld id="{619DE972-71D8-435F-BF92-AF45EADB0007}"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49BD-42DD-9C9E-A9FC3F5C97CB}"/>
                </c:ext>
              </c:extLst>
            </c:dLbl>
            <c:dLbl>
              <c:idx val="5"/>
              <c:tx>
                <c:rich>
                  <a:bodyPr/>
                  <a:lstStyle/>
                  <a:p>
                    <a:fld id="{3C069178-049B-452A-880D-F12A3971DABC}"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1-49BD-42DD-9C9E-A9FC3F5C97CB}"/>
                </c:ext>
              </c:extLst>
            </c:dLbl>
            <c:dLbl>
              <c:idx val="6"/>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2-49BD-42DD-9C9E-A9FC3F5C97CB}"/>
                </c:ext>
              </c:extLst>
            </c:dLbl>
            <c:dLbl>
              <c:idx val="7"/>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3-49BD-42DD-9C9E-A9FC3F5C97CB}"/>
                </c:ext>
              </c:extLst>
            </c:dLbl>
            <c:dLbl>
              <c:idx val="8"/>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4-49BD-42DD-9C9E-A9FC3F5C97CB}"/>
                </c:ext>
              </c:extLst>
            </c:dLbl>
            <c:dLbl>
              <c:idx val="9"/>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5-49BD-42DD-9C9E-A9FC3F5C97CB}"/>
                </c:ext>
              </c:extLst>
            </c:dLbl>
            <c:dLbl>
              <c:idx val="10"/>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6-49BD-42DD-9C9E-A9FC3F5C97CB}"/>
                </c:ext>
              </c:extLst>
            </c:dLbl>
            <c:dLbl>
              <c:idx val="11"/>
              <c:tx>
                <c:rich>
                  <a:bodyPr/>
                  <a:lstStyle/>
                  <a:p>
                    <a:fld id="{4A3323BC-EC32-47DE-8780-687680584CCA}"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7-49BD-42DD-9C9E-A9FC3F5C97CB}"/>
                </c:ext>
              </c:extLst>
            </c:dLbl>
            <c:dLbl>
              <c:idx val="12"/>
              <c:tx>
                <c:rich>
                  <a:bodyPr/>
                  <a:lstStyle/>
                  <a:p>
                    <a:fld id="{E1EC0BF2-794B-4D9B-942B-AA9289A79D25}"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8-49BD-42DD-9C9E-A9FC3F5C97CB}"/>
                </c:ext>
              </c:extLst>
            </c:dLbl>
            <c:dLbl>
              <c:idx val="1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9-49BD-42DD-9C9E-A9FC3F5C97CB}"/>
                </c:ext>
              </c:extLst>
            </c:dLbl>
            <c:dLbl>
              <c:idx val="1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A-49BD-42DD-9C9E-A9FC3F5C97CB}"/>
                </c:ext>
              </c:extLst>
            </c:dLbl>
            <c:dLbl>
              <c:idx val="15"/>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B-49BD-42DD-9C9E-A9FC3F5C97CB}"/>
                </c:ext>
              </c:extLst>
            </c:dLbl>
            <c:dLbl>
              <c:idx val="16"/>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C-49BD-42DD-9C9E-A9FC3F5C97CB}"/>
                </c:ext>
              </c:extLst>
            </c:dLbl>
            <c:dLbl>
              <c:idx val="17"/>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D-49BD-42DD-9C9E-A9FC3F5C97CB}"/>
                </c:ext>
              </c:extLst>
            </c:dLbl>
            <c:dLbl>
              <c:idx val="18"/>
              <c:tx>
                <c:rich>
                  <a:bodyPr/>
                  <a:lstStyle/>
                  <a:p>
                    <a:fld id="{BE5A8F67-52A4-4302-8AF7-38F3085DFBD5}"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E-49BD-42DD-9C9E-A9FC3F5C97CB}"/>
                </c:ext>
              </c:extLst>
            </c:dLbl>
            <c:dLbl>
              <c:idx val="19"/>
              <c:tx>
                <c:rich>
                  <a:bodyPr/>
                  <a:lstStyle/>
                  <a:p>
                    <a:fld id="{9D9EF327-E229-4F84-94F1-487FDB4709D9}"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49BD-42DD-9C9E-A9FC3F5C97CB}"/>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rada-ARS'!$H$39:$H$64</c:f>
              <c:numCache>
                <c:formatCode>General</c:formatCode>
                <c:ptCount val="20"/>
                <c:pt idx="4">
                  <c:v>0</c:v>
                </c:pt>
                <c:pt idx="5">
                  <c:v>0</c:v>
                </c:pt>
                <c:pt idx="11">
                  <c:v>0</c:v>
                </c:pt>
                <c:pt idx="12">
                  <c:v>0</c:v>
                </c:pt>
                <c:pt idx="18">
                  <c:v>0</c:v>
                </c:pt>
                <c:pt idx="19">
                  <c:v>0</c:v>
                </c:pt>
              </c:numCache>
            </c:numRef>
          </c:val>
          <c:smooth val="0"/>
          <c:extLst>
            <c:ext xmlns:c15="http://schemas.microsoft.com/office/drawing/2012/chart" uri="{02D57815-91ED-43cb-92C2-25804820EDAC}">
              <c15:datalabelsRange>
                <c15:f>'Trziste rada-ARS'!$L$39:$L$64</c15:f>
                <c15:dlblRangeCache>
                  <c:ptCount val="20"/>
                  <c:pt idx="4">
                    <c:v>I</c:v>
                  </c:pt>
                  <c:pt idx="5">
                    <c:v>II</c:v>
                  </c:pt>
                  <c:pt idx="11">
                    <c:v>I</c:v>
                  </c:pt>
                  <c:pt idx="12">
                    <c:v>II</c:v>
                  </c:pt>
                  <c:pt idx="18">
                    <c:v>I</c:v>
                  </c:pt>
                  <c:pt idx="19">
                    <c:v>II</c:v>
                  </c:pt>
                </c15:dlblRangeCache>
              </c15:datalabelsRange>
            </c:ext>
            <c:ext xmlns:c16="http://schemas.microsoft.com/office/drawing/2014/chart" uri="{C3380CC4-5D6E-409C-BE32-E72D297353CC}">
              <c16:uniqueId val="{00000030-49BD-42DD-9C9E-A9FC3F5C97CB}"/>
            </c:ext>
          </c:extLst>
        </c:ser>
        <c:ser>
          <c:idx val="4"/>
          <c:order val="4"/>
          <c:spPr>
            <a:ln w="28575" cap="rnd">
              <a:noFill/>
              <a:round/>
            </a:ln>
            <a:effectLst/>
          </c:spPr>
          <c:marker>
            <c:symbol val="none"/>
          </c:marker>
          <c:dLbls>
            <c:dLbl>
              <c:idx val="0"/>
              <c:layout>
                <c:manualLayout>
                  <c:x val="2.5083843686205995E-3"/>
                  <c:y val="0.13676669659601692"/>
                </c:manualLayout>
              </c:layout>
              <c:tx>
                <c:rich>
                  <a:bodyPr/>
                  <a:lstStyle/>
                  <a:p>
                    <a:fld id="{F8FCC9C5-C37F-420F-8E7C-EBB3EB0A23BD}"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49BD-42DD-9C9E-A9FC3F5C97CB}"/>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2-49BD-42DD-9C9E-A9FC3F5C97CB}"/>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3-49BD-42DD-9C9E-A9FC3F5C97CB}"/>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4-49BD-42DD-9C9E-A9FC3F5C97CB}"/>
                </c:ext>
              </c:extLst>
            </c:dLbl>
            <c:dLbl>
              <c:idx val="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5-49BD-42DD-9C9E-A9FC3F5C97CB}"/>
                </c:ext>
              </c:extLst>
            </c:dLbl>
            <c:dLbl>
              <c:idx val="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6-49BD-42DD-9C9E-A9FC3F5C97CB}"/>
                </c:ext>
              </c:extLst>
            </c:dLbl>
            <c:dLbl>
              <c:idx val="6"/>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7-49BD-42DD-9C9E-A9FC3F5C97CB}"/>
                </c:ext>
              </c:extLst>
            </c:dLbl>
            <c:dLbl>
              <c:idx val="7"/>
              <c:layout>
                <c:manualLayout>
                  <c:x val="-4.2614464858559348E-3"/>
                  <c:y val="0.13676669659601692"/>
                </c:manualLayout>
              </c:layout>
              <c:tx>
                <c:rich>
                  <a:bodyPr/>
                  <a:lstStyle/>
                  <a:p>
                    <a:fld id="{97DE70EB-612C-4E1C-9973-6AED9A273108}"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8-49BD-42DD-9C9E-A9FC3F5C97CB}"/>
                </c:ext>
              </c:extLst>
            </c:dLbl>
            <c:dLbl>
              <c:idx val="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9-49BD-42DD-9C9E-A9FC3F5C97CB}"/>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A-49BD-42DD-9C9E-A9FC3F5C97CB}"/>
                </c:ext>
              </c:extLst>
            </c:dLbl>
            <c:dLbl>
              <c:idx val="1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B-49BD-42DD-9C9E-A9FC3F5C97CB}"/>
                </c:ext>
              </c:extLst>
            </c:dLbl>
            <c:dLbl>
              <c:idx val="1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C-49BD-42DD-9C9E-A9FC3F5C97CB}"/>
                </c:ext>
              </c:extLst>
            </c:dLbl>
            <c:dLbl>
              <c:idx val="1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D-49BD-42DD-9C9E-A9FC3F5C97CB}"/>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E-49BD-42DD-9C9E-A9FC3F5C97CB}"/>
                </c:ext>
              </c:extLst>
            </c:dLbl>
            <c:dLbl>
              <c:idx val="14"/>
              <c:layout>
                <c:manualLayout>
                  <c:x val="2.9148439778361036E-3"/>
                  <c:y val="0.13676669659601692"/>
                </c:manualLayout>
              </c:layout>
              <c:tx>
                <c:rich>
                  <a:bodyPr/>
                  <a:lstStyle/>
                  <a:p>
                    <a:fld id="{6C64D984-367F-4C39-923B-B09F43CBAB9D}"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F-49BD-42DD-9C9E-A9FC3F5C97CB}"/>
                </c:ext>
              </c:extLst>
            </c:dLbl>
            <c:dLbl>
              <c:idx val="1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0-49BD-42DD-9C9E-A9FC3F5C97CB}"/>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1-49BD-42DD-9C9E-A9FC3F5C97CB}"/>
                </c:ext>
              </c:extLst>
            </c:dLbl>
            <c:dLbl>
              <c:idx val="1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2-49BD-42DD-9C9E-A9FC3F5C97CB}"/>
                </c:ext>
              </c:extLst>
            </c:dLbl>
            <c:dLbl>
              <c:idx val="1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3-49BD-42DD-9C9E-A9FC3F5C97CB}"/>
                </c:ext>
              </c:extLst>
            </c:dLbl>
            <c:dLbl>
              <c:idx val="1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4-49BD-42DD-9C9E-A9FC3F5C97CB}"/>
                </c:ext>
              </c:extLst>
            </c:dLbl>
            <c:spPr>
              <a:noFill/>
              <a:ln>
                <a:noFill/>
              </a:ln>
              <a:effectLst/>
            </c:spPr>
            <c:txPr>
              <a:bodyPr rot="0" spcFirstLastPara="1" vertOverflow="ellipsis" vert="horz" wrap="none" lIns="38100" tIns="19050" rIns="38100" bIns="19050" anchor="ctr" anchorCtr="1">
                <a:spAutoFit/>
              </a:bodyPr>
              <a:lstStyle/>
              <a:p>
                <a:pPr>
                  <a:defRPr sz="759" b="1" i="0" u="none" strike="noStrike" kern="1200" baseline="0">
                    <a:solidFill>
                      <a:srgbClr val="29489A"/>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rada-ARS'!$I$39:$I$64</c:f>
              <c:numCache>
                <c:formatCode>General</c:formatCode>
                <c:ptCount val="20"/>
                <c:pt idx="0">
                  <c:v>0</c:v>
                </c:pt>
                <c:pt idx="7">
                  <c:v>0</c:v>
                </c:pt>
                <c:pt idx="14">
                  <c:v>0</c:v>
                </c:pt>
              </c:numCache>
            </c:numRef>
          </c:val>
          <c:smooth val="0"/>
          <c:extLst>
            <c:ext xmlns:c15="http://schemas.microsoft.com/office/drawing/2012/chart" uri="{02D57815-91ED-43cb-92C2-25804820EDAC}">
              <c15:datalabelsRange>
                <c15:f>'Trziste rada-ARS'!$M$39:$M$64</c15:f>
                <c15:dlblRangeCache>
                  <c:ptCount val="20"/>
                  <c:pt idx="0">
                    <c:v>2023</c:v>
                  </c:pt>
                  <c:pt idx="7">
                    <c:v>2023</c:v>
                  </c:pt>
                  <c:pt idx="14">
                    <c:v>2023</c:v>
                  </c:pt>
                </c15:dlblRangeCache>
              </c15:datalabelsRange>
            </c:ext>
            <c:ext xmlns:c16="http://schemas.microsoft.com/office/drawing/2014/chart" uri="{C3380CC4-5D6E-409C-BE32-E72D297353CC}">
              <c16:uniqueId val="{00000045-49BD-42DD-9C9E-A9FC3F5C97CB}"/>
            </c:ext>
          </c:extLst>
        </c:ser>
        <c:ser>
          <c:idx val="5"/>
          <c:order val="5"/>
          <c:spPr>
            <a:ln w="28575" cap="rnd">
              <a:solidFill>
                <a:schemeClr val="accent6"/>
              </a:solidFill>
              <a:round/>
            </a:ln>
            <a:effectLst/>
          </c:spPr>
          <c:marker>
            <c:symbol val="none"/>
          </c:marker>
          <c:dLbls>
            <c:dLbl>
              <c:idx val="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6-49BD-42DD-9C9E-A9FC3F5C97CB}"/>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7-49BD-42DD-9C9E-A9FC3F5C97CB}"/>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8-49BD-42DD-9C9E-A9FC3F5C97CB}"/>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9-49BD-42DD-9C9E-A9FC3F5C97CB}"/>
                </c:ext>
              </c:extLst>
            </c:dLbl>
            <c:dLbl>
              <c:idx val="4"/>
              <c:layout>
                <c:manualLayout>
                  <c:x val="-7.6224846894138235E-2"/>
                  <c:y val="0.13716154435447334"/>
                </c:manualLayout>
              </c:layout>
              <c:tx>
                <c:rich>
                  <a:bodyPr/>
                  <a:lstStyle/>
                  <a:p>
                    <a:fld id="{5AFD1BA2-C49A-46D7-A07C-8724BB8840D8}" type="CELLRANGE">
                      <a:rPr lang="en-US"/>
                      <a:pPr/>
                      <a:t>[CELLRANGE]</a:t>
                    </a:fld>
                    <a:endParaRPr lang="sr-Latn-RS"/>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4A-49BD-42DD-9C9E-A9FC3F5C97CB}"/>
                </c:ext>
              </c:extLst>
            </c:dLbl>
            <c:dLbl>
              <c:idx val="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B-49BD-42DD-9C9E-A9FC3F5C97CB}"/>
                </c:ext>
              </c:extLst>
            </c:dLbl>
            <c:dLbl>
              <c:idx val="6"/>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C-49BD-42DD-9C9E-A9FC3F5C97CB}"/>
                </c:ext>
              </c:extLst>
            </c:dLbl>
            <c:dLbl>
              <c:idx val="7"/>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D-49BD-42DD-9C9E-A9FC3F5C97CB}"/>
                </c:ext>
              </c:extLst>
            </c:dLbl>
            <c:dLbl>
              <c:idx val="8"/>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E-49BD-42DD-9C9E-A9FC3F5C97CB}"/>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F-49BD-42DD-9C9E-A9FC3F5C97CB}"/>
                </c:ext>
              </c:extLst>
            </c:dLbl>
            <c:dLbl>
              <c:idx val="1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0-49BD-42DD-9C9E-A9FC3F5C97CB}"/>
                </c:ext>
              </c:extLst>
            </c:dLbl>
            <c:dLbl>
              <c:idx val="11"/>
              <c:layout>
                <c:manualLayout>
                  <c:x val="-7.3708078156897061E-2"/>
                  <c:y val="0.13716154435447334"/>
                </c:manualLayout>
              </c:layout>
              <c:tx>
                <c:rich>
                  <a:bodyPr/>
                  <a:lstStyle/>
                  <a:p>
                    <a:fld id="{8172E454-1890-45A7-9013-9BF208E84965}"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51-49BD-42DD-9C9E-A9FC3F5C97CB}"/>
                </c:ext>
              </c:extLst>
            </c:dLbl>
            <c:dLbl>
              <c:idx val="1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2-49BD-42DD-9C9E-A9FC3F5C97CB}"/>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3-49BD-42DD-9C9E-A9FC3F5C97CB}"/>
                </c:ext>
              </c:extLst>
            </c:dLbl>
            <c:dLbl>
              <c:idx val="1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4-49BD-42DD-9C9E-A9FC3F5C97CB}"/>
                </c:ext>
              </c:extLst>
            </c:dLbl>
            <c:dLbl>
              <c:idx val="1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5-49BD-42DD-9C9E-A9FC3F5C97CB}"/>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6-49BD-42DD-9C9E-A9FC3F5C97CB}"/>
                </c:ext>
              </c:extLst>
            </c:dLbl>
            <c:dLbl>
              <c:idx val="1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7-49BD-42DD-9C9E-A9FC3F5C97CB}"/>
                </c:ext>
              </c:extLst>
            </c:dLbl>
            <c:dLbl>
              <c:idx val="18"/>
              <c:layout>
                <c:manualLayout>
                  <c:x val="-1.3509769612131817E-2"/>
                  <c:y val="0.13716154435447334"/>
                </c:manualLayout>
              </c:layout>
              <c:tx>
                <c:rich>
                  <a:bodyPr/>
                  <a:lstStyle/>
                  <a:p>
                    <a:fld id="{C9E56802-529B-4E98-9222-742AF17420FB}"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58-49BD-42DD-9C9E-A9FC3F5C97CB}"/>
                </c:ext>
              </c:extLst>
            </c:dLbl>
            <c:dLbl>
              <c:idx val="1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59-49BD-42DD-9C9E-A9FC3F5C97CB}"/>
                </c:ext>
              </c:extLst>
            </c:dLbl>
            <c:spPr>
              <a:noFill/>
              <a:ln>
                <a:noFill/>
              </a:ln>
              <a:effectLst/>
            </c:spPr>
            <c:txPr>
              <a:bodyPr rot="0" spcFirstLastPara="1" vertOverflow="ellipsis" vert="horz" wrap="non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20"/>
                <c:lvl>
                  <c:pt idx="0">
                    <c:v>I</c:v>
                  </c:pt>
                  <c:pt idx="1">
                    <c:v>II</c:v>
                  </c:pt>
                  <c:pt idx="2">
                    <c:v>III</c:v>
                  </c:pt>
                  <c:pt idx="3">
                    <c:v>IV</c:v>
                  </c:pt>
                  <c:pt idx="4">
                    <c:v>I</c:v>
                  </c:pt>
                  <c:pt idx="5">
                    <c:v>II</c:v>
                  </c:pt>
                  <c:pt idx="6">
                    <c:v> </c:v>
                  </c:pt>
                  <c:pt idx="7">
                    <c:v>I</c:v>
                  </c:pt>
                  <c:pt idx="8">
                    <c:v>II</c:v>
                  </c:pt>
                  <c:pt idx="9">
                    <c:v>III</c:v>
                  </c:pt>
                  <c:pt idx="10">
                    <c:v>IV</c:v>
                  </c:pt>
                  <c:pt idx="11">
                    <c:v>I</c:v>
                  </c:pt>
                  <c:pt idx="12">
                    <c:v>II</c:v>
                  </c:pt>
                  <c:pt idx="13">
                    <c:v> </c:v>
                  </c:pt>
                  <c:pt idx="14">
                    <c:v>I</c:v>
                  </c:pt>
                  <c:pt idx="15">
                    <c:v>II</c:v>
                  </c:pt>
                  <c:pt idx="16">
                    <c:v>III</c:v>
                  </c:pt>
                  <c:pt idx="17">
                    <c:v>IV</c:v>
                  </c:pt>
                  <c:pt idx="18">
                    <c:v>I</c:v>
                  </c:pt>
                  <c:pt idx="19">
                    <c:v>II</c:v>
                  </c:pt>
                </c:lvl>
                <c:lvl>
                  <c:pt idx="0">
                    <c:v>2023</c:v>
                  </c:pt>
                  <c:pt idx="4">
                    <c:v>2024</c:v>
                  </c:pt>
                  <c:pt idx="6">
                    <c:v> </c:v>
                  </c:pt>
                  <c:pt idx="7">
                    <c:v>2023</c:v>
                  </c:pt>
                  <c:pt idx="11">
                    <c:v>2024</c:v>
                  </c:pt>
                  <c:pt idx="13">
                    <c:v> </c:v>
                  </c:pt>
                  <c:pt idx="14">
                    <c:v>2023</c:v>
                  </c:pt>
                  <c:pt idx="18">
                    <c:v>2024</c:v>
                  </c:pt>
                </c:lvl>
              </c:multiLvlStrCache>
            </c:multiLvlStrRef>
          </c:cat>
          <c:val>
            <c:numRef>
              <c:f>'Trziste rada-ARS'!$J$39:$J$64</c:f>
              <c:numCache>
                <c:formatCode>General</c:formatCode>
                <c:ptCount val="20"/>
                <c:pt idx="4">
                  <c:v>0</c:v>
                </c:pt>
                <c:pt idx="11">
                  <c:v>0</c:v>
                </c:pt>
                <c:pt idx="18">
                  <c:v>0</c:v>
                </c:pt>
              </c:numCache>
            </c:numRef>
          </c:val>
          <c:smooth val="0"/>
          <c:extLst>
            <c:ext xmlns:c15="http://schemas.microsoft.com/office/drawing/2012/chart" uri="{02D57815-91ED-43cb-92C2-25804820EDAC}">
              <c15:datalabelsRange>
                <c15:f>'Trziste rada-ARS'!$N$39:$N$64</c15:f>
                <c15:dlblRangeCache>
                  <c:ptCount val="20"/>
                  <c:pt idx="4">
                    <c:v>2024</c:v>
                  </c:pt>
                  <c:pt idx="11">
                    <c:v>2024</c:v>
                  </c:pt>
                  <c:pt idx="18">
                    <c:v>2024</c:v>
                  </c:pt>
                </c15:dlblRangeCache>
              </c15:datalabelsRange>
            </c:ext>
            <c:ext xmlns:c16="http://schemas.microsoft.com/office/drawing/2014/chart" uri="{C3380CC4-5D6E-409C-BE32-E72D297353CC}">
              <c16:uniqueId val="{0000005A-49BD-42DD-9C9E-A9FC3F5C97CB}"/>
            </c:ext>
          </c:extLst>
        </c:ser>
        <c:dLbls>
          <c:showLegendKey val="0"/>
          <c:showVal val="0"/>
          <c:showCatName val="0"/>
          <c:showSerName val="0"/>
          <c:showPercent val="0"/>
          <c:showBubbleSize val="0"/>
        </c:dLbls>
        <c:marker val="1"/>
        <c:smooth val="0"/>
        <c:axId val="961497464"/>
        <c:axId val="961498448"/>
      </c:lineChart>
      <c:catAx>
        <c:axId val="961497464"/>
        <c:scaling>
          <c:orientation val="minMax"/>
        </c:scaling>
        <c:delete val="0"/>
        <c:axPos val="b"/>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61498448"/>
        <c:crosses val="autoZero"/>
        <c:auto val="1"/>
        <c:lblAlgn val="ctr"/>
        <c:lblOffset val="100"/>
        <c:noMultiLvlLbl val="0"/>
      </c:catAx>
      <c:valAx>
        <c:axId val="961498448"/>
        <c:scaling>
          <c:orientation val="minMax"/>
        </c:scaling>
        <c:delete val="0"/>
        <c:axPos val="l"/>
        <c:numFmt formatCode="0%" sourceLinked="0"/>
        <c:majorTickMark val="none"/>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961497464"/>
        <c:crosses val="autoZero"/>
        <c:crossBetween val="between"/>
      </c:valAx>
      <c:valAx>
        <c:axId val="1025106808"/>
        <c:scaling>
          <c:orientation val="minMax"/>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025104512"/>
        <c:crosses val="max"/>
        <c:crossBetween val="between"/>
      </c:valAx>
      <c:catAx>
        <c:axId val="1025104512"/>
        <c:scaling>
          <c:orientation val="minMax"/>
        </c:scaling>
        <c:delete val="1"/>
        <c:axPos val="b"/>
        <c:numFmt formatCode="General" sourceLinked="1"/>
        <c:majorTickMark val="out"/>
        <c:minorTickMark val="none"/>
        <c:tickLblPos val="nextTo"/>
        <c:crossAx val="1025106808"/>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sr-Latn-RS"/>
    </a:p>
  </c:txPr>
  <c:externalData r:id="rId2">
    <c:autoUpdate val="0"/>
  </c:externalData>
  <c:userShapes r:id="rId3"/>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700459317585304"/>
          <c:y val="6.4675925925925928E-2"/>
          <c:w val="0.66217155147273266"/>
          <c:h val="0.66223309478603765"/>
        </c:manualLayout>
      </c:layout>
      <c:barChart>
        <c:barDir val="col"/>
        <c:grouping val="clustered"/>
        <c:varyColors val="0"/>
        <c:ser>
          <c:idx val="0"/>
          <c:order val="0"/>
          <c:tx>
            <c:strRef>
              <c:f>Inflacija!$U$184</c:f>
              <c:strCache>
                <c:ptCount val="1"/>
                <c:pt idx="0">
                  <c:v>Месечна инфлација</c:v>
                </c:pt>
              </c:strCache>
            </c:strRef>
          </c:tx>
          <c:spPr>
            <a:solidFill>
              <a:srgbClr val="29489A"/>
            </a:solidFill>
            <a:ln>
              <a:noFill/>
            </a:ln>
            <a:effectLst/>
          </c:spPr>
          <c:invertIfNegative val="0"/>
          <c:cat>
            <c:multiLvlStrRef>
              <c:f>Inflacija!$R$185:$S$205</c:f>
              <c:multiLvlStrCache>
                <c:ptCount val="21"/>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lvl>
                <c:lvl>
                  <c:pt idx="0">
                    <c:v>2023</c:v>
                  </c:pt>
                  <c:pt idx="12">
                    <c:v>2024</c:v>
                  </c:pt>
                </c:lvl>
              </c:multiLvlStrCache>
            </c:multiLvlStrRef>
          </c:cat>
          <c:val>
            <c:numRef>
              <c:f>Inflacija!$U$185:$U$205</c:f>
              <c:numCache>
                <c:formatCode>#,#00</c:formatCode>
                <c:ptCount val="21"/>
                <c:pt idx="0">
                  <c:v>1.4</c:v>
                </c:pt>
                <c:pt idx="1">
                  <c:v>1.4</c:v>
                </c:pt>
                <c:pt idx="2">
                  <c:v>0.9</c:v>
                </c:pt>
                <c:pt idx="3">
                  <c:v>0.7</c:v>
                </c:pt>
                <c:pt idx="4">
                  <c:v>0.9</c:v>
                </c:pt>
                <c:pt idx="5">
                  <c:v>0.7</c:v>
                </c:pt>
                <c:pt idx="6">
                  <c:v>-0.1</c:v>
                </c:pt>
                <c:pt idx="7">
                  <c:v>0.4</c:v>
                </c:pt>
                <c:pt idx="8">
                  <c:v>0.29999999999999716</c:v>
                </c:pt>
                <c:pt idx="9">
                  <c:v>0.29999999999999716</c:v>
                </c:pt>
                <c:pt idx="10">
                  <c:v>0.5</c:v>
                </c:pt>
                <c:pt idx="11">
                  <c:v>9.9999999999994316E-2</c:v>
                </c:pt>
                <c:pt idx="12">
                  <c:v>0.29999999999999716</c:v>
                </c:pt>
                <c:pt idx="13">
                  <c:v>0.59999999999999432</c:v>
                </c:pt>
                <c:pt idx="14">
                  <c:v>0.29999999999999716</c:v>
                </c:pt>
                <c:pt idx="15">
                  <c:v>0.70000000000000284</c:v>
                </c:pt>
                <c:pt idx="16">
                  <c:v>0.4</c:v>
                </c:pt>
                <c:pt idx="17">
                  <c:v>0.1</c:v>
                </c:pt>
                <c:pt idx="18">
                  <c:v>0.4</c:v>
                </c:pt>
                <c:pt idx="19">
                  <c:v>0.4</c:v>
                </c:pt>
                <c:pt idx="20">
                  <c:v>0.1</c:v>
                </c:pt>
              </c:numCache>
            </c:numRef>
          </c:val>
          <c:extLst>
            <c:ext xmlns:c16="http://schemas.microsoft.com/office/drawing/2014/chart" uri="{C3380CC4-5D6E-409C-BE32-E72D297353CC}">
              <c16:uniqueId val="{00000000-0E0C-459B-B204-60A9CFCEB31F}"/>
            </c:ext>
          </c:extLst>
        </c:ser>
        <c:dLbls>
          <c:showLegendKey val="0"/>
          <c:showVal val="0"/>
          <c:showCatName val="0"/>
          <c:showSerName val="0"/>
          <c:showPercent val="0"/>
          <c:showBubbleSize val="0"/>
        </c:dLbls>
        <c:gapWidth val="59"/>
        <c:axId val="807687135"/>
        <c:axId val="807693375"/>
      </c:barChart>
      <c:lineChart>
        <c:grouping val="standard"/>
        <c:varyColors val="0"/>
        <c:ser>
          <c:idx val="1"/>
          <c:order val="1"/>
          <c:tx>
            <c:strRef>
              <c:f>Inflacija!$V$184</c:f>
              <c:strCache>
                <c:ptCount val="1"/>
                <c:pt idx="0">
                  <c:v>Међугодишња инфлација (десна скала)</c:v>
                </c:pt>
              </c:strCache>
            </c:strRef>
          </c:tx>
          <c:spPr>
            <a:ln w="22225" cap="rnd">
              <a:solidFill>
                <a:srgbClr val="FF0000"/>
              </a:solidFill>
              <a:round/>
            </a:ln>
            <a:effectLst/>
          </c:spPr>
          <c:marker>
            <c:symbol val="none"/>
          </c:marker>
          <c:cat>
            <c:multiLvlStrRef>
              <c:f>Inflacija!$R$185:$S$205</c:f>
              <c:multiLvlStrCache>
                <c:ptCount val="21"/>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lvl>
                <c:lvl>
                  <c:pt idx="0">
                    <c:v>2023</c:v>
                  </c:pt>
                  <c:pt idx="12">
                    <c:v>2024</c:v>
                  </c:pt>
                </c:lvl>
              </c:multiLvlStrCache>
            </c:multiLvlStrRef>
          </c:cat>
          <c:val>
            <c:numRef>
              <c:f>Inflacija!$V$185:$V$205</c:f>
              <c:numCache>
                <c:formatCode>#,#00</c:formatCode>
                <c:ptCount val="21"/>
                <c:pt idx="0">
                  <c:v>15.8</c:v>
                </c:pt>
                <c:pt idx="1">
                  <c:v>16.100000000000001</c:v>
                </c:pt>
                <c:pt idx="2">
                  <c:v>16.2</c:v>
                </c:pt>
                <c:pt idx="3">
                  <c:v>15.1</c:v>
                </c:pt>
                <c:pt idx="4">
                  <c:v>14.8</c:v>
                </c:pt>
                <c:pt idx="5">
                  <c:v>13.7</c:v>
                </c:pt>
                <c:pt idx="6">
                  <c:v>12.5</c:v>
                </c:pt>
                <c:pt idx="7">
                  <c:v>11.5</c:v>
                </c:pt>
                <c:pt idx="8">
                  <c:v>10.200000000000003</c:v>
                </c:pt>
                <c:pt idx="9">
                  <c:v>8.5</c:v>
                </c:pt>
                <c:pt idx="10">
                  <c:v>8</c:v>
                </c:pt>
                <c:pt idx="11">
                  <c:v>7.5999999999999943</c:v>
                </c:pt>
                <c:pt idx="12">
                  <c:v>6.4000000000000057</c:v>
                </c:pt>
                <c:pt idx="13">
                  <c:v>5.5999999999999943</c:v>
                </c:pt>
                <c:pt idx="14">
                  <c:v>5</c:v>
                </c:pt>
                <c:pt idx="15">
                  <c:v>5</c:v>
                </c:pt>
                <c:pt idx="16">
                  <c:v>4.5</c:v>
                </c:pt>
                <c:pt idx="17">
                  <c:v>3.8</c:v>
                </c:pt>
                <c:pt idx="18">
                  <c:v>4.3</c:v>
                </c:pt>
                <c:pt idx="19">
                  <c:v>4.3</c:v>
                </c:pt>
                <c:pt idx="20">
                  <c:v>4.2</c:v>
                </c:pt>
              </c:numCache>
            </c:numRef>
          </c:val>
          <c:smooth val="0"/>
          <c:extLst>
            <c:ext xmlns:c16="http://schemas.microsoft.com/office/drawing/2014/chart" uri="{C3380CC4-5D6E-409C-BE32-E72D297353CC}">
              <c16:uniqueId val="{00000001-0E0C-459B-B204-60A9CFCEB31F}"/>
            </c:ext>
          </c:extLst>
        </c:ser>
        <c:dLbls>
          <c:showLegendKey val="0"/>
          <c:showVal val="0"/>
          <c:showCatName val="0"/>
          <c:showSerName val="0"/>
          <c:showPercent val="0"/>
          <c:showBubbleSize val="0"/>
        </c:dLbls>
        <c:marker val="1"/>
        <c:smooth val="0"/>
        <c:axId val="1141220367"/>
        <c:axId val="1141215375"/>
      </c:lineChart>
      <c:catAx>
        <c:axId val="807687135"/>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0" spcFirstLastPara="1" vertOverflow="ellipsis" wrap="square" anchor="t" anchorCtr="0"/>
          <a:lstStyle/>
          <a:p>
            <a:pPr>
              <a:defRPr sz="700" b="0" i="0" u="none" strike="noStrike" kern="1200" baseline="0">
                <a:solidFill>
                  <a:schemeClr val="tx2"/>
                </a:solidFill>
                <a:latin typeface="+mn-lt"/>
                <a:ea typeface="+mn-ea"/>
                <a:cs typeface="+mn-cs"/>
              </a:defRPr>
            </a:pPr>
            <a:endParaRPr lang="sr-Latn-RS"/>
          </a:p>
        </c:txPr>
        <c:crossAx val="807693375"/>
        <c:crosses val="autoZero"/>
        <c:auto val="1"/>
        <c:lblAlgn val="ctr"/>
        <c:lblOffset val="100"/>
        <c:noMultiLvlLbl val="1"/>
      </c:catAx>
      <c:valAx>
        <c:axId val="807693375"/>
        <c:scaling>
          <c:orientation val="minMax"/>
        </c:scaling>
        <c:delete val="0"/>
        <c:axPos val="l"/>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 на претходни месец, %</a:t>
                </a:r>
              </a:p>
            </c:rich>
          </c:tx>
          <c:layout>
            <c:manualLayout>
              <c:xMode val="edge"/>
              <c:yMode val="edge"/>
              <c:x val="2.9932560513269174E-2"/>
              <c:y val="9.9343869731800764E-3"/>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807687135"/>
        <c:crosses val="autoZero"/>
        <c:crossBetween val="between"/>
      </c:valAx>
      <c:valAx>
        <c:axId val="1141215375"/>
        <c:scaling>
          <c:orientation val="minMax"/>
        </c:scaling>
        <c:delete val="0"/>
        <c:axPos val="r"/>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 на исти месец претходне године, %</a:t>
                </a:r>
              </a:p>
            </c:rich>
          </c:tx>
          <c:layout>
            <c:manualLayout>
              <c:xMode val="edge"/>
              <c:yMode val="edge"/>
              <c:x val="0.90699074074074071"/>
              <c:y val="6.4024425287356301E-2"/>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141220367"/>
        <c:crosses val="max"/>
        <c:crossBetween val="between"/>
      </c:valAx>
      <c:catAx>
        <c:axId val="1141220367"/>
        <c:scaling>
          <c:orientation val="minMax"/>
        </c:scaling>
        <c:delete val="1"/>
        <c:axPos val="b"/>
        <c:numFmt formatCode="General" sourceLinked="1"/>
        <c:majorTickMark val="out"/>
        <c:minorTickMark val="none"/>
        <c:tickLblPos val="nextTo"/>
        <c:crossAx val="1141215375"/>
        <c:crosses val="autoZero"/>
        <c:auto val="1"/>
        <c:lblAlgn val="ctr"/>
        <c:lblOffset val="100"/>
        <c:noMultiLvlLbl val="0"/>
      </c:catAx>
      <c:spPr>
        <a:noFill/>
        <a:ln>
          <a:noFill/>
        </a:ln>
        <a:effectLst/>
      </c:spPr>
    </c:plotArea>
    <c:legend>
      <c:legendPos val="b"/>
      <c:layout>
        <c:manualLayout>
          <c:xMode val="edge"/>
          <c:yMode val="edge"/>
          <c:x val="0.10446741032370954"/>
          <c:y val="0.87872129629629614"/>
          <c:w val="0.77717592592592588"/>
          <c:h val="0.1095194444444444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857193732193733"/>
          <c:y val="3.9230096237970254E-2"/>
          <c:w val="0.86351317663817662"/>
          <c:h val="0.6289622222222222"/>
        </c:manualLayout>
      </c:layout>
      <c:lineChart>
        <c:grouping val="standard"/>
        <c:varyColors val="0"/>
        <c:ser>
          <c:idx val="0"/>
          <c:order val="0"/>
          <c:tx>
            <c:strRef>
              <c:f>Inflacija!$U$3</c:f>
              <c:strCache>
                <c:ptCount val="1"/>
                <c:pt idx="0">
                  <c:v>Референтна каматна стопа</c:v>
                </c:pt>
              </c:strCache>
            </c:strRef>
          </c:tx>
          <c:spPr>
            <a:ln w="22225" cap="rnd">
              <a:solidFill>
                <a:srgbClr val="51BBE7"/>
              </a:solidFill>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Inflacija!$U$40:$U$180</c:f>
              <c:numCache>
                <c:formatCode>0.00</c:formatCode>
                <c:ptCount val="141"/>
                <c:pt idx="0">
                  <c:v>11.5</c:v>
                </c:pt>
                <c:pt idx="1">
                  <c:v>11.75</c:v>
                </c:pt>
                <c:pt idx="2">
                  <c:v>11.75</c:v>
                </c:pt>
                <c:pt idx="3">
                  <c:v>11.75</c:v>
                </c:pt>
                <c:pt idx="4">
                  <c:v>11.25</c:v>
                </c:pt>
                <c:pt idx="5">
                  <c:v>11</c:v>
                </c:pt>
                <c:pt idx="6">
                  <c:v>11</c:v>
                </c:pt>
                <c:pt idx="7">
                  <c:v>11</c:v>
                </c:pt>
                <c:pt idx="8">
                  <c:v>11</c:v>
                </c:pt>
                <c:pt idx="9">
                  <c:v>10.5</c:v>
                </c:pt>
                <c:pt idx="10">
                  <c:v>10</c:v>
                </c:pt>
                <c:pt idx="11">
                  <c:v>9.5</c:v>
                </c:pt>
                <c:pt idx="12">
                  <c:v>9.5</c:v>
                </c:pt>
                <c:pt idx="13">
                  <c:v>9.5</c:v>
                </c:pt>
                <c:pt idx="14">
                  <c:v>9.5</c:v>
                </c:pt>
                <c:pt idx="15">
                  <c:v>9.5</c:v>
                </c:pt>
                <c:pt idx="16">
                  <c:v>9</c:v>
                </c:pt>
                <c:pt idx="17">
                  <c:v>8.5</c:v>
                </c:pt>
                <c:pt idx="18">
                  <c:v>8.5</c:v>
                </c:pt>
                <c:pt idx="19">
                  <c:v>8.5</c:v>
                </c:pt>
                <c:pt idx="20">
                  <c:v>8.5</c:v>
                </c:pt>
                <c:pt idx="21">
                  <c:v>8.5</c:v>
                </c:pt>
                <c:pt idx="22">
                  <c:v>8</c:v>
                </c:pt>
                <c:pt idx="23">
                  <c:v>8</c:v>
                </c:pt>
                <c:pt idx="24">
                  <c:v>8</c:v>
                </c:pt>
                <c:pt idx="25">
                  <c:v>8</c:v>
                </c:pt>
                <c:pt idx="26">
                  <c:v>7.5</c:v>
                </c:pt>
                <c:pt idx="27">
                  <c:v>7</c:v>
                </c:pt>
                <c:pt idx="28">
                  <c:v>6.5</c:v>
                </c:pt>
                <c:pt idx="29">
                  <c:v>6</c:v>
                </c:pt>
                <c:pt idx="30">
                  <c:v>6</c:v>
                </c:pt>
                <c:pt idx="31">
                  <c:v>5.5</c:v>
                </c:pt>
                <c:pt idx="32">
                  <c:v>5</c:v>
                </c:pt>
                <c:pt idx="33">
                  <c:v>4.5</c:v>
                </c:pt>
                <c:pt idx="34">
                  <c:v>4.5</c:v>
                </c:pt>
                <c:pt idx="35">
                  <c:v>4.5</c:v>
                </c:pt>
                <c:pt idx="36">
                  <c:v>4.5</c:v>
                </c:pt>
                <c:pt idx="37">
                  <c:v>4.25</c:v>
                </c:pt>
                <c:pt idx="38">
                  <c:v>4.25</c:v>
                </c:pt>
                <c:pt idx="39">
                  <c:v>4.25</c:v>
                </c:pt>
                <c:pt idx="40">
                  <c:v>4.25</c:v>
                </c:pt>
                <c:pt idx="41">
                  <c:v>4.25</c:v>
                </c:pt>
                <c:pt idx="42">
                  <c:v>4</c:v>
                </c:pt>
                <c:pt idx="43">
                  <c:v>4</c:v>
                </c:pt>
                <c:pt idx="44">
                  <c:v>4</c:v>
                </c:pt>
                <c:pt idx="45">
                  <c:v>4</c:v>
                </c:pt>
                <c:pt idx="46">
                  <c:v>4</c:v>
                </c:pt>
                <c:pt idx="47">
                  <c:v>4</c:v>
                </c:pt>
                <c:pt idx="48">
                  <c:v>4</c:v>
                </c:pt>
                <c:pt idx="49">
                  <c:v>4</c:v>
                </c:pt>
                <c:pt idx="50">
                  <c:v>4</c:v>
                </c:pt>
                <c:pt idx="51">
                  <c:v>4</c:v>
                </c:pt>
                <c:pt idx="52">
                  <c:v>4</c:v>
                </c:pt>
                <c:pt idx="53">
                  <c:v>4</c:v>
                </c:pt>
                <c:pt idx="54">
                  <c:v>4</c:v>
                </c:pt>
                <c:pt idx="55">
                  <c:v>4</c:v>
                </c:pt>
                <c:pt idx="56">
                  <c:v>3.75</c:v>
                </c:pt>
                <c:pt idx="57">
                  <c:v>3.5</c:v>
                </c:pt>
                <c:pt idx="58">
                  <c:v>3.5</c:v>
                </c:pt>
                <c:pt idx="59">
                  <c:v>3.5</c:v>
                </c:pt>
                <c:pt idx="60">
                  <c:v>3.5</c:v>
                </c:pt>
                <c:pt idx="61">
                  <c:v>3.5</c:v>
                </c:pt>
                <c:pt idx="62">
                  <c:v>3.25</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2.75</c:v>
                </c:pt>
                <c:pt idx="79">
                  <c:v>2.5</c:v>
                </c:pt>
                <c:pt idx="80">
                  <c:v>2.5</c:v>
                </c:pt>
                <c:pt idx="81">
                  <c:v>2.5</c:v>
                </c:pt>
                <c:pt idx="82">
                  <c:v>2.25</c:v>
                </c:pt>
                <c:pt idx="83">
                  <c:v>2.25</c:v>
                </c:pt>
                <c:pt idx="84">
                  <c:v>2.25</c:v>
                </c:pt>
                <c:pt idx="85">
                  <c:v>2.25</c:v>
                </c:pt>
                <c:pt idx="86">
                  <c:v>1.75</c:v>
                </c:pt>
                <c:pt idx="87">
                  <c:v>1.5</c:v>
                </c:pt>
                <c:pt idx="88">
                  <c:v>1.5</c:v>
                </c:pt>
                <c:pt idx="89">
                  <c:v>1.25</c:v>
                </c:pt>
                <c:pt idx="90">
                  <c:v>1.25</c:v>
                </c:pt>
                <c:pt idx="91">
                  <c:v>1.25</c:v>
                </c:pt>
                <c:pt idx="92">
                  <c:v>1.25</c:v>
                </c:pt>
                <c:pt idx="93" formatCode="General">
                  <c:v>1.25</c:v>
                </c:pt>
                <c:pt idx="94" formatCode="General">
                  <c:v>1.25</c:v>
                </c:pt>
                <c:pt idx="95">
                  <c:v>1</c:v>
                </c:pt>
                <c:pt idx="96">
                  <c:v>1</c:v>
                </c:pt>
                <c:pt idx="97">
                  <c:v>1</c:v>
                </c:pt>
                <c:pt idx="98">
                  <c:v>1</c:v>
                </c:pt>
                <c:pt idx="99">
                  <c:v>1</c:v>
                </c:pt>
                <c:pt idx="100">
                  <c:v>1</c:v>
                </c:pt>
                <c:pt idx="101">
                  <c:v>1</c:v>
                </c:pt>
                <c:pt idx="102">
                  <c:v>1</c:v>
                </c:pt>
                <c:pt idx="103">
                  <c:v>1</c:v>
                </c:pt>
                <c:pt idx="104">
                  <c:v>1</c:v>
                </c:pt>
                <c:pt idx="105">
                  <c:v>1</c:v>
                </c:pt>
                <c:pt idx="106">
                  <c:v>1</c:v>
                </c:pt>
                <c:pt idx="107">
                  <c:v>1</c:v>
                </c:pt>
                <c:pt idx="108">
                  <c:v>1</c:v>
                </c:pt>
                <c:pt idx="109">
                  <c:v>1</c:v>
                </c:pt>
                <c:pt idx="110">
                  <c:v>1</c:v>
                </c:pt>
                <c:pt idx="111">
                  <c:v>1.5</c:v>
                </c:pt>
                <c:pt idx="112">
                  <c:v>2</c:v>
                </c:pt>
                <c:pt idx="113">
                  <c:v>2.5</c:v>
                </c:pt>
                <c:pt idx="114">
                  <c:v>2.75</c:v>
                </c:pt>
                <c:pt idx="115">
                  <c:v>3</c:v>
                </c:pt>
                <c:pt idx="116">
                  <c:v>3.5</c:v>
                </c:pt>
                <c:pt idx="117">
                  <c:v>4</c:v>
                </c:pt>
                <c:pt idx="118">
                  <c:v>4.5</c:v>
                </c:pt>
                <c:pt idx="119">
                  <c:v>5</c:v>
                </c:pt>
                <c:pt idx="120">
                  <c:v>5.25</c:v>
                </c:pt>
                <c:pt idx="121">
                  <c:v>5.5</c:v>
                </c:pt>
                <c:pt idx="122">
                  <c:v>5.75</c:v>
                </c:pt>
                <c:pt idx="123">
                  <c:v>6</c:v>
                </c:pt>
                <c:pt idx="124">
                  <c:v>6</c:v>
                </c:pt>
                <c:pt idx="125" formatCode="General">
                  <c:v>6.25</c:v>
                </c:pt>
                <c:pt idx="126">
                  <c:v>6.5</c:v>
                </c:pt>
                <c:pt idx="127">
                  <c:v>6.5</c:v>
                </c:pt>
                <c:pt idx="128">
                  <c:v>6.5</c:v>
                </c:pt>
                <c:pt idx="129">
                  <c:v>6.5</c:v>
                </c:pt>
                <c:pt idx="130">
                  <c:v>6.5</c:v>
                </c:pt>
                <c:pt idx="131">
                  <c:v>6.5</c:v>
                </c:pt>
                <c:pt idx="132">
                  <c:v>6.5</c:v>
                </c:pt>
                <c:pt idx="133">
                  <c:v>6.5</c:v>
                </c:pt>
                <c:pt idx="134">
                  <c:v>6.5</c:v>
                </c:pt>
                <c:pt idx="135">
                  <c:v>6.5</c:v>
                </c:pt>
                <c:pt idx="136">
                  <c:v>6.5</c:v>
                </c:pt>
                <c:pt idx="137">
                  <c:v>6.25</c:v>
                </c:pt>
                <c:pt idx="138">
                  <c:v>6</c:v>
                </c:pt>
                <c:pt idx="139">
                  <c:v>6</c:v>
                </c:pt>
                <c:pt idx="140">
                  <c:v>5.75</c:v>
                </c:pt>
              </c:numCache>
            </c:numRef>
          </c:val>
          <c:smooth val="0"/>
          <c:extLst>
            <c:ext xmlns:c16="http://schemas.microsoft.com/office/drawing/2014/chart" uri="{C3380CC4-5D6E-409C-BE32-E72D297353CC}">
              <c16:uniqueId val="{00000000-4C8B-4E0E-BD3C-85C37A3CFCF9}"/>
            </c:ext>
          </c:extLst>
        </c:ser>
        <c:ser>
          <c:idx val="1"/>
          <c:order val="1"/>
          <c:tx>
            <c:strRef>
              <c:f>Inflacija!$V$3</c:f>
              <c:strCache>
                <c:ptCount val="1"/>
                <c:pt idx="0">
                  <c:v>Потрошачке цене</c:v>
                </c:pt>
              </c:strCache>
            </c:strRef>
          </c:tx>
          <c:spPr>
            <a:ln w="22225" cap="rnd">
              <a:solidFill>
                <a:srgbClr val="7F3F98"/>
              </a:solidFill>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Inflacija!$V$40:$V$180</c:f>
              <c:numCache>
                <c:formatCode>#,#00</c:formatCode>
                <c:ptCount val="141"/>
                <c:pt idx="0">
                  <c:v>12.753293315144077</c:v>
                </c:pt>
                <c:pt idx="1">
                  <c:v>12.412739988820135</c:v>
                </c:pt>
                <c:pt idx="2">
                  <c:v>11.175774206136737</c:v>
                </c:pt>
                <c:pt idx="3">
                  <c:v>11.4</c:v>
                </c:pt>
                <c:pt idx="4">
                  <c:v>9.9</c:v>
                </c:pt>
                <c:pt idx="5">
                  <c:v>9.8000000000000007</c:v>
                </c:pt>
                <c:pt idx="6">
                  <c:v>8.6</c:v>
                </c:pt>
                <c:pt idx="7" formatCode="General">
                  <c:v>7.3</c:v>
                </c:pt>
                <c:pt idx="8">
                  <c:v>4.8545411542100254</c:v>
                </c:pt>
                <c:pt idx="9">
                  <c:v>2.1686608375517835</c:v>
                </c:pt>
                <c:pt idx="10">
                  <c:v>1.5706806282722425</c:v>
                </c:pt>
                <c:pt idx="11">
                  <c:v>2.2241478913922492</c:v>
                </c:pt>
                <c:pt idx="12" formatCode="General">
                  <c:v>3.1</c:v>
                </c:pt>
                <c:pt idx="13" formatCode="General">
                  <c:v>2.6</c:v>
                </c:pt>
                <c:pt idx="14" formatCode="General">
                  <c:v>2.2999999999999998</c:v>
                </c:pt>
                <c:pt idx="15" formatCode="General">
                  <c:v>2.1</c:v>
                </c:pt>
                <c:pt idx="16">
                  <c:v>2.1</c:v>
                </c:pt>
                <c:pt idx="17" formatCode="General">
                  <c:v>1.3</c:v>
                </c:pt>
                <c:pt idx="18" formatCode="General">
                  <c:v>2.1</c:v>
                </c:pt>
                <c:pt idx="19" formatCode="General">
                  <c:v>1.5</c:v>
                </c:pt>
                <c:pt idx="20" formatCode="General">
                  <c:v>2.1</c:v>
                </c:pt>
                <c:pt idx="21" formatCode="General">
                  <c:v>1.8</c:v>
                </c:pt>
                <c:pt idx="22" formatCode="General">
                  <c:v>2.4</c:v>
                </c:pt>
                <c:pt idx="23" formatCode="General">
                  <c:v>1.7</c:v>
                </c:pt>
                <c:pt idx="24" formatCode="General">
                  <c:v>0.1</c:v>
                </c:pt>
                <c:pt idx="25" formatCode="General">
                  <c:v>0.8</c:v>
                </c:pt>
                <c:pt idx="26" formatCode="General">
                  <c:v>1.9</c:v>
                </c:pt>
                <c:pt idx="27" formatCode="General">
                  <c:v>1.8</c:v>
                </c:pt>
                <c:pt idx="28">
                  <c:v>1.5</c:v>
                </c:pt>
                <c:pt idx="29">
                  <c:v>1.9</c:v>
                </c:pt>
                <c:pt idx="30">
                  <c:v>1</c:v>
                </c:pt>
                <c:pt idx="31" formatCode="General">
                  <c:v>2.1</c:v>
                </c:pt>
                <c:pt idx="32" formatCode="General">
                  <c:v>1.4</c:v>
                </c:pt>
                <c:pt idx="33" formatCode="General">
                  <c:v>1.4</c:v>
                </c:pt>
                <c:pt idx="34" formatCode="General">
                  <c:v>1.3</c:v>
                </c:pt>
                <c:pt idx="35" formatCode="General">
                  <c:v>1.5</c:v>
                </c:pt>
                <c:pt idx="36" formatCode="General">
                  <c:v>2.4</c:v>
                </c:pt>
                <c:pt idx="37" formatCode="General">
                  <c:v>1.5</c:v>
                </c:pt>
                <c:pt idx="38" formatCode="General">
                  <c:v>0.6</c:v>
                </c:pt>
                <c:pt idx="39" formatCode="General">
                  <c:v>0.4</c:v>
                </c:pt>
                <c:pt idx="40">
                  <c:v>0.7</c:v>
                </c:pt>
                <c:pt idx="41">
                  <c:v>0.3</c:v>
                </c:pt>
                <c:pt idx="42">
                  <c:v>1.2</c:v>
                </c:pt>
                <c:pt idx="43" formatCode="General">
                  <c:v>1.2</c:v>
                </c:pt>
                <c:pt idx="44" formatCode="General">
                  <c:v>0.6</c:v>
                </c:pt>
                <c:pt idx="45" formatCode="General">
                  <c:v>1.5</c:v>
                </c:pt>
                <c:pt idx="46" formatCode="General">
                  <c:v>1.5</c:v>
                </c:pt>
                <c:pt idx="47" formatCode="General">
                  <c:v>1.6</c:v>
                </c:pt>
                <c:pt idx="48" formatCode="General">
                  <c:v>2.4</c:v>
                </c:pt>
                <c:pt idx="49" formatCode="General">
                  <c:v>3.2</c:v>
                </c:pt>
                <c:pt idx="50" formatCode="General">
                  <c:v>3.6</c:v>
                </c:pt>
                <c:pt idx="51">
                  <c:v>4</c:v>
                </c:pt>
                <c:pt idx="52">
                  <c:v>3.5</c:v>
                </c:pt>
                <c:pt idx="53">
                  <c:v>3.6</c:v>
                </c:pt>
                <c:pt idx="54">
                  <c:v>3.2</c:v>
                </c:pt>
                <c:pt idx="55" formatCode="General">
                  <c:v>2.5</c:v>
                </c:pt>
                <c:pt idx="56" formatCode="General">
                  <c:v>3.2</c:v>
                </c:pt>
                <c:pt idx="57" formatCode="General">
                  <c:v>2.8</c:v>
                </c:pt>
                <c:pt idx="58" formatCode="General">
                  <c:v>2.8</c:v>
                </c:pt>
                <c:pt idx="59">
                  <c:v>3</c:v>
                </c:pt>
                <c:pt idx="60">
                  <c:v>1.9</c:v>
                </c:pt>
                <c:pt idx="61" formatCode="General">
                  <c:v>1.5</c:v>
                </c:pt>
                <c:pt idx="62" formatCode="General">
                  <c:v>1.4</c:v>
                </c:pt>
                <c:pt idx="63">
                  <c:v>1.1000000000000001</c:v>
                </c:pt>
                <c:pt idx="64" formatCode="General">
                  <c:v>2.1</c:v>
                </c:pt>
                <c:pt idx="65" formatCode="General">
                  <c:v>2.2999999999999998</c:v>
                </c:pt>
                <c:pt idx="66" formatCode="General">
                  <c:v>2.4</c:v>
                </c:pt>
                <c:pt idx="67" formatCode="General">
                  <c:v>2.6</c:v>
                </c:pt>
                <c:pt idx="68" formatCode="General">
                  <c:v>2.1</c:v>
                </c:pt>
                <c:pt idx="69" formatCode="General">
                  <c:v>2.2000000000000002</c:v>
                </c:pt>
                <c:pt idx="70" formatCode="General">
                  <c:v>1.9</c:v>
                </c:pt>
                <c:pt idx="71">
                  <c:v>2</c:v>
                </c:pt>
                <c:pt idx="72">
                  <c:v>2.1</c:v>
                </c:pt>
                <c:pt idx="73">
                  <c:v>2.4</c:v>
                </c:pt>
                <c:pt idx="74" formatCode="General">
                  <c:v>2.8</c:v>
                </c:pt>
                <c:pt idx="75" formatCode="General">
                  <c:v>3.1</c:v>
                </c:pt>
                <c:pt idx="76" formatCode="General">
                  <c:v>2.2000000000000002</c:v>
                </c:pt>
                <c:pt idx="77" formatCode="General">
                  <c:v>1.5</c:v>
                </c:pt>
                <c:pt idx="78" formatCode="General">
                  <c:v>1.6</c:v>
                </c:pt>
                <c:pt idx="79" formatCode="General">
                  <c:v>1.3</c:v>
                </c:pt>
                <c:pt idx="80" formatCode="General">
                  <c:v>1.1000000000000001</c:v>
                </c:pt>
                <c:pt idx="81">
                  <c:v>1</c:v>
                </c:pt>
                <c:pt idx="82">
                  <c:v>1.5</c:v>
                </c:pt>
                <c:pt idx="83">
                  <c:v>1.9</c:v>
                </c:pt>
                <c:pt idx="84">
                  <c:v>2</c:v>
                </c:pt>
                <c:pt idx="85">
                  <c:v>1.9</c:v>
                </c:pt>
                <c:pt idx="86">
                  <c:v>1.3</c:v>
                </c:pt>
                <c:pt idx="87">
                  <c:v>0.6</c:v>
                </c:pt>
                <c:pt idx="88">
                  <c:v>0.7</c:v>
                </c:pt>
                <c:pt idx="89">
                  <c:v>1.6</c:v>
                </c:pt>
                <c:pt idx="90">
                  <c:v>2</c:v>
                </c:pt>
                <c:pt idx="91">
                  <c:v>1.9</c:v>
                </c:pt>
                <c:pt idx="92">
                  <c:v>1.8</c:v>
                </c:pt>
                <c:pt idx="93">
                  <c:v>1.8</c:v>
                </c:pt>
                <c:pt idx="94">
                  <c:v>1.7</c:v>
                </c:pt>
                <c:pt idx="95">
                  <c:v>1.3</c:v>
                </c:pt>
                <c:pt idx="96">
                  <c:v>1.1000000000000001</c:v>
                </c:pt>
                <c:pt idx="97">
                  <c:v>1.2</c:v>
                </c:pt>
                <c:pt idx="98">
                  <c:v>1.8</c:v>
                </c:pt>
                <c:pt idx="99">
                  <c:v>2.8</c:v>
                </c:pt>
                <c:pt idx="100">
                  <c:v>3.6</c:v>
                </c:pt>
                <c:pt idx="101">
                  <c:v>3.3</c:v>
                </c:pt>
                <c:pt idx="102">
                  <c:v>3.3</c:v>
                </c:pt>
                <c:pt idx="103">
                  <c:v>4.3</c:v>
                </c:pt>
                <c:pt idx="104">
                  <c:v>5.7</c:v>
                </c:pt>
                <c:pt idx="105" formatCode="General">
                  <c:v>6.6</c:v>
                </c:pt>
                <c:pt idx="106" formatCode="General">
                  <c:v>7.5</c:v>
                </c:pt>
                <c:pt idx="107" formatCode="General">
                  <c:v>7.9</c:v>
                </c:pt>
                <c:pt idx="108" formatCode="General">
                  <c:v>8.1999999999999993</c:v>
                </c:pt>
                <c:pt idx="109" formatCode="General">
                  <c:v>8.8000000000000007</c:v>
                </c:pt>
                <c:pt idx="110" formatCode="General">
                  <c:v>9.1</c:v>
                </c:pt>
                <c:pt idx="111" formatCode="General">
                  <c:v>9.6</c:v>
                </c:pt>
                <c:pt idx="112" formatCode="General">
                  <c:v>10.4</c:v>
                </c:pt>
                <c:pt idx="113" formatCode="General">
                  <c:v>11.9</c:v>
                </c:pt>
                <c:pt idx="114" formatCode="General">
                  <c:v>12.8</c:v>
                </c:pt>
                <c:pt idx="115" formatCode="General">
                  <c:v>13.2</c:v>
                </c:pt>
                <c:pt idx="116">
                  <c:v>14</c:v>
                </c:pt>
                <c:pt idx="117">
                  <c:v>15</c:v>
                </c:pt>
                <c:pt idx="118" formatCode="General">
                  <c:v>15.1</c:v>
                </c:pt>
                <c:pt idx="119" formatCode="General">
                  <c:v>15.1</c:v>
                </c:pt>
                <c:pt idx="120" formatCode="General">
                  <c:v>15.8</c:v>
                </c:pt>
                <c:pt idx="121" formatCode="General">
                  <c:v>16.100000000000001</c:v>
                </c:pt>
                <c:pt idx="122" formatCode="General">
                  <c:v>16.2</c:v>
                </c:pt>
                <c:pt idx="123" formatCode="General">
                  <c:v>15.1</c:v>
                </c:pt>
                <c:pt idx="124" formatCode="General">
                  <c:v>14.8</c:v>
                </c:pt>
                <c:pt idx="125" formatCode="General">
                  <c:v>13.7</c:v>
                </c:pt>
                <c:pt idx="126" formatCode="General">
                  <c:v>12.5</c:v>
                </c:pt>
                <c:pt idx="127" formatCode="General">
                  <c:v>11.5</c:v>
                </c:pt>
                <c:pt idx="128">
                  <c:v>10.200000000000003</c:v>
                </c:pt>
                <c:pt idx="129">
                  <c:v>8.5</c:v>
                </c:pt>
                <c:pt idx="130">
                  <c:v>8</c:v>
                </c:pt>
                <c:pt idx="131">
                  <c:v>7.5999999999999943</c:v>
                </c:pt>
                <c:pt idx="132">
                  <c:v>6.4000000000000057</c:v>
                </c:pt>
                <c:pt idx="133">
                  <c:v>5.5999999999999943</c:v>
                </c:pt>
                <c:pt idx="134">
                  <c:v>5</c:v>
                </c:pt>
                <c:pt idx="135">
                  <c:v>5</c:v>
                </c:pt>
                <c:pt idx="136" formatCode="General">
                  <c:v>4.5</c:v>
                </c:pt>
                <c:pt idx="137" formatCode="General">
                  <c:v>3.8</c:v>
                </c:pt>
                <c:pt idx="138" formatCode="General">
                  <c:v>4.3</c:v>
                </c:pt>
                <c:pt idx="139" formatCode="General">
                  <c:v>4.3</c:v>
                </c:pt>
                <c:pt idx="140" formatCode="General">
                  <c:v>4.2</c:v>
                </c:pt>
              </c:numCache>
            </c:numRef>
          </c:val>
          <c:smooth val="0"/>
          <c:extLst>
            <c:ext xmlns:c16="http://schemas.microsoft.com/office/drawing/2014/chart" uri="{C3380CC4-5D6E-409C-BE32-E72D297353CC}">
              <c16:uniqueId val="{00000001-4C8B-4E0E-BD3C-85C37A3CFCF9}"/>
            </c:ext>
          </c:extLst>
        </c:ser>
        <c:ser>
          <c:idx val="2"/>
          <c:order val="2"/>
          <c:tx>
            <c:strRef>
              <c:f>Inflacija!$W$3</c:f>
              <c:strCache>
                <c:ptCount val="1"/>
                <c:pt idx="0">
                  <c:v>Циљана инфлација</c:v>
                </c:pt>
              </c:strCache>
            </c:strRef>
          </c:tx>
          <c:spPr>
            <a:ln w="22225" cap="rnd">
              <a:solidFill>
                <a:srgbClr val="FF0000"/>
              </a:solidFill>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Inflacija!$W$40:$W$180</c:f>
              <c:numCache>
                <c:formatCode>#,#00</c:formatCode>
                <c:ptCount val="141"/>
                <c:pt idx="0">
                  <c:v>4</c:v>
                </c:pt>
                <c:pt idx="1">
                  <c:v>4</c:v>
                </c:pt>
                <c:pt idx="2">
                  <c:v>4</c:v>
                </c:pt>
                <c:pt idx="3">
                  <c:v>4</c:v>
                </c:pt>
                <c:pt idx="4">
                  <c:v>4</c:v>
                </c:pt>
                <c:pt idx="5">
                  <c:v>4</c:v>
                </c:pt>
                <c:pt idx="6">
                  <c:v>4</c:v>
                </c:pt>
                <c:pt idx="7">
                  <c:v>4</c:v>
                </c:pt>
                <c:pt idx="8">
                  <c:v>4</c:v>
                </c:pt>
                <c:pt idx="9">
                  <c:v>4</c:v>
                </c:pt>
                <c:pt idx="10">
                  <c:v>4</c:v>
                </c:pt>
                <c:pt idx="11">
                  <c:v>4</c:v>
                </c:pt>
                <c:pt idx="12">
                  <c:v>4</c:v>
                </c:pt>
                <c:pt idx="13">
                  <c:v>4</c:v>
                </c:pt>
                <c:pt idx="14">
                  <c:v>4</c:v>
                </c:pt>
                <c:pt idx="15">
                  <c:v>4</c:v>
                </c:pt>
                <c:pt idx="16">
                  <c:v>4</c:v>
                </c:pt>
                <c:pt idx="17">
                  <c:v>4</c:v>
                </c:pt>
                <c:pt idx="18">
                  <c:v>4</c:v>
                </c:pt>
                <c:pt idx="19">
                  <c:v>4</c:v>
                </c:pt>
                <c:pt idx="20">
                  <c:v>4</c:v>
                </c:pt>
                <c:pt idx="21">
                  <c:v>4</c:v>
                </c:pt>
                <c:pt idx="22">
                  <c:v>4</c:v>
                </c:pt>
                <c:pt idx="23">
                  <c:v>4</c:v>
                </c:pt>
                <c:pt idx="24">
                  <c:v>4</c:v>
                </c:pt>
                <c:pt idx="25">
                  <c:v>4</c:v>
                </c:pt>
                <c:pt idx="26">
                  <c:v>4</c:v>
                </c:pt>
                <c:pt idx="27">
                  <c:v>4</c:v>
                </c:pt>
                <c:pt idx="28">
                  <c:v>4</c:v>
                </c:pt>
                <c:pt idx="29">
                  <c:v>4</c:v>
                </c:pt>
                <c:pt idx="30">
                  <c:v>4</c:v>
                </c:pt>
                <c:pt idx="31">
                  <c:v>4</c:v>
                </c:pt>
                <c:pt idx="32">
                  <c:v>4</c:v>
                </c:pt>
                <c:pt idx="33">
                  <c:v>4</c:v>
                </c:pt>
                <c:pt idx="34">
                  <c:v>4</c:v>
                </c:pt>
                <c:pt idx="35">
                  <c:v>4</c:v>
                </c:pt>
                <c:pt idx="36">
                  <c:v>4</c:v>
                </c:pt>
                <c:pt idx="37">
                  <c:v>4</c:v>
                </c:pt>
                <c:pt idx="38">
                  <c:v>4</c:v>
                </c:pt>
                <c:pt idx="39">
                  <c:v>4</c:v>
                </c:pt>
                <c:pt idx="40">
                  <c:v>4</c:v>
                </c:pt>
                <c:pt idx="41">
                  <c:v>4</c:v>
                </c:pt>
                <c:pt idx="42">
                  <c:v>4</c:v>
                </c:pt>
                <c:pt idx="43">
                  <c:v>4</c:v>
                </c:pt>
                <c:pt idx="44">
                  <c:v>4</c:v>
                </c:pt>
                <c:pt idx="45">
                  <c:v>4</c:v>
                </c:pt>
                <c:pt idx="46">
                  <c:v>4</c:v>
                </c:pt>
                <c:pt idx="47">
                  <c:v>4</c:v>
                </c:pt>
                <c:pt idx="48">
                  <c:v>3</c:v>
                </c:pt>
                <c:pt idx="49">
                  <c:v>3</c:v>
                </c:pt>
                <c:pt idx="50">
                  <c:v>3</c:v>
                </c:pt>
                <c:pt idx="51">
                  <c:v>3</c:v>
                </c:pt>
                <c:pt idx="52">
                  <c:v>3</c:v>
                </c:pt>
                <c:pt idx="53">
                  <c:v>3</c:v>
                </c:pt>
                <c:pt idx="54">
                  <c:v>3</c:v>
                </c:pt>
                <c:pt idx="55">
                  <c:v>3</c:v>
                </c:pt>
                <c:pt idx="56">
                  <c:v>3</c:v>
                </c:pt>
                <c:pt idx="57">
                  <c:v>3</c:v>
                </c:pt>
                <c:pt idx="58">
                  <c:v>3</c:v>
                </c:pt>
                <c:pt idx="59">
                  <c:v>3</c:v>
                </c:pt>
                <c:pt idx="60">
                  <c:v>3</c:v>
                </c:pt>
                <c:pt idx="61">
                  <c:v>3</c:v>
                </c:pt>
                <c:pt idx="62">
                  <c:v>3</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3</c:v>
                </c:pt>
                <c:pt idx="79">
                  <c:v>3</c:v>
                </c:pt>
                <c:pt idx="80">
                  <c:v>3</c:v>
                </c:pt>
                <c:pt idx="81">
                  <c:v>3</c:v>
                </c:pt>
                <c:pt idx="82">
                  <c:v>3</c:v>
                </c:pt>
                <c:pt idx="83">
                  <c:v>3</c:v>
                </c:pt>
                <c:pt idx="84">
                  <c:v>3</c:v>
                </c:pt>
                <c:pt idx="85">
                  <c:v>3</c:v>
                </c:pt>
                <c:pt idx="86">
                  <c:v>3</c:v>
                </c:pt>
                <c:pt idx="87">
                  <c:v>3</c:v>
                </c:pt>
                <c:pt idx="88">
                  <c:v>3</c:v>
                </c:pt>
                <c:pt idx="89">
                  <c:v>3</c:v>
                </c:pt>
                <c:pt idx="90">
                  <c:v>3</c:v>
                </c:pt>
                <c:pt idx="91">
                  <c:v>3</c:v>
                </c:pt>
                <c:pt idx="92">
                  <c:v>3</c:v>
                </c:pt>
                <c:pt idx="93">
                  <c:v>3</c:v>
                </c:pt>
                <c:pt idx="94">
                  <c:v>3</c:v>
                </c:pt>
                <c:pt idx="95">
                  <c:v>3</c:v>
                </c:pt>
                <c:pt idx="96">
                  <c:v>3</c:v>
                </c:pt>
                <c:pt idx="97">
                  <c:v>3</c:v>
                </c:pt>
                <c:pt idx="98">
                  <c:v>3</c:v>
                </c:pt>
                <c:pt idx="99">
                  <c:v>3</c:v>
                </c:pt>
                <c:pt idx="100">
                  <c:v>3</c:v>
                </c:pt>
                <c:pt idx="101">
                  <c:v>3</c:v>
                </c:pt>
                <c:pt idx="102">
                  <c:v>3</c:v>
                </c:pt>
                <c:pt idx="103">
                  <c:v>3</c:v>
                </c:pt>
                <c:pt idx="104">
                  <c:v>3</c:v>
                </c:pt>
                <c:pt idx="105">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pt idx="123">
                  <c:v>3</c:v>
                </c:pt>
                <c:pt idx="124">
                  <c:v>3</c:v>
                </c:pt>
                <c:pt idx="125">
                  <c:v>3</c:v>
                </c:pt>
                <c:pt idx="126">
                  <c:v>3</c:v>
                </c:pt>
                <c:pt idx="127">
                  <c:v>3</c:v>
                </c:pt>
                <c:pt idx="128">
                  <c:v>3</c:v>
                </c:pt>
                <c:pt idx="129">
                  <c:v>3</c:v>
                </c:pt>
                <c:pt idx="130">
                  <c:v>3</c:v>
                </c:pt>
                <c:pt idx="131">
                  <c:v>3</c:v>
                </c:pt>
                <c:pt idx="132">
                  <c:v>3</c:v>
                </c:pt>
                <c:pt idx="133">
                  <c:v>3</c:v>
                </c:pt>
                <c:pt idx="134">
                  <c:v>3</c:v>
                </c:pt>
                <c:pt idx="135">
                  <c:v>3</c:v>
                </c:pt>
                <c:pt idx="136">
                  <c:v>3</c:v>
                </c:pt>
                <c:pt idx="137">
                  <c:v>3</c:v>
                </c:pt>
                <c:pt idx="138">
                  <c:v>3</c:v>
                </c:pt>
                <c:pt idx="139">
                  <c:v>3</c:v>
                </c:pt>
                <c:pt idx="140">
                  <c:v>3</c:v>
                </c:pt>
              </c:numCache>
            </c:numRef>
          </c:val>
          <c:smooth val="0"/>
          <c:extLst>
            <c:ext xmlns:c16="http://schemas.microsoft.com/office/drawing/2014/chart" uri="{C3380CC4-5D6E-409C-BE32-E72D297353CC}">
              <c16:uniqueId val="{00000002-4C8B-4E0E-BD3C-85C37A3CFCF9}"/>
            </c:ext>
          </c:extLst>
        </c:ser>
        <c:ser>
          <c:idx val="3"/>
          <c:order val="3"/>
          <c:tx>
            <c:strRef>
              <c:f>Inflacija!$X$3</c:f>
              <c:strCache>
                <c:ptCount val="1"/>
                <c:pt idx="0">
                  <c:v>Коридор инфлације</c:v>
                </c:pt>
              </c:strCache>
            </c:strRef>
          </c:tx>
          <c:spPr>
            <a:ln w="12700" cap="rnd">
              <a:solidFill>
                <a:srgbClr val="898989"/>
              </a:solidFill>
              <a:prstDash val="sysDash"/>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Inflacija!$X$40:$X$180</c:f>
              <c:numCache>
                <c:formatCode>#,#00</c:formatCode>
                <c:ptCount val="141"/>
                <c:pt idx="0">
                  <c:v>5.5</c:v>
                </c:pt>
                <c:pt idx="1">
                  <c:v>5.5</c:v>
                </c:pt>
                <c:pt idx="2">
                  <c:v>5.5</c:v>
                </c:pt>
                <c:pt idx="3">
                  <c:v>5.5</c:v>
                </c:pt>
                <c:pt idx="4">
                  <c:v>5.5</c:v>
                </c:pt>
                <c:pt idx="5">
                  <c:v>5.5</c:v>
                </c:pt>
                <c:pt idx="6">
                  <c:v>5.5</c:v>
                </c:pt>
                <c:pt idx="7">
                  <c:v>5.5</c:v>
                </c:pt>
                <c:pt idx="8">
                  <c:v>5.5</c:v>
                </c:pt>
                <c:pt idx="9">
                  <c:v>5.5</c:v>
                </c:pt>
                <c:pt idx="10">
                  <c:v>5.5</c:v>
                </c:pt>
                <c:pt idx="11">
                  <c:v>5.5</c:v>
                </c:pt>
                <c:pt idx="12">
                  <c:v>5.5</c:v>
                </c:pt>
                <c:pt idx="13">
                  <c:v>5.5</c:v>
                </c:pt>
                <c:pt idx="14">
                  <c:v>5.5</c:v>
                </c:pt>
                <c:pt idx="15">
                  <c:v>5.5</c:v>
                </c:pt>
                <c:pt idx="16">
                  <c:v>5.5</c:v>
                </c:pt>
                <c:pt idx="17">
                  <c:v>5.5</c:v>
                </c:pt>
                <c:pt idx="18">
                  <c:v>5.5</c:v>
                </c:pt>
                <c:pt idx="19">
                  <c:v>5.5</c:v>
                </c:pt>
                <c:pt idx="20">
                  <c:v>5.5</c:v>
                </c:pt>
                <c:pt idx="21">
                  <c:v>5.5</c:v>
                </c:pt>
                <c:pt idx="22">
                  <c:v>5.5</c:v>
                </c:pt>
                <c:pt idx="23">
                  <c:v>5.5</c:v>
                </c:pt>
                <c:pt idx="24">
                  <c:v>5.5</c:v>
                </c:pt>
                <c:pt idx="25">
                  <c:v>5.5</c:v>
                </c:pt>
                <c:pt idx="26">
                  <c:v>5.5</c:v>
                </c:pt>
                <c:pt idx="27">
                  <c:v>5.5</c:v>
                </c:pt>
                <c:pt idx="28">
                  <c:v>5.5</c:v>
                </c:pt>
                <c:pt idx="29">
                  <c:v>5.5</c:v>
                </c:pt>
                <c:pt idx="30">
                  <c:v>5.5</c:v>
                </c:pt>
                <c:pt idx="31">
                  <c:v>5.5</c:v>
                </c:pt>
                <c:pt idx="32">
                  <c:v>5.5</c:v>
                </c:pt>
                <c:pt idx="33">
                  <c:v>5.5</c:v>
                </c:pt>
                <c:pt idx="34">
                  <c:v>5.5</c:v>
                </c:pt>
                <c:pt idx="35">
                  <c:v>5.5</c:v>
                </c:pt>
                <c:pt idx="36">
                  <c:v>5.5</c:v>
                </c:pt>
                <c:pt idx="37" formatCode="General">
                  <c:v>5.5</c:v>
                </c:pt>
                <c:pt idx="38" formatCode="General">
                  <c:v>5.5</c:v>
                </c:pt>
                <c:pt idx="39" formatCode="General">
                  <c:v>5.5</c:v>
                </c:pt>
                <c:pt idx="40" formatCode="General">
                  <c:v>5.5</c:v>
                </c:pt>
                <c:pt idx="41" formatCode="General">
                  <c:v>5.5</c:v>
                </c:pt>
                <c:pt idx="42" formatCode="General">
                  <c:v>5.5</c:v>
                </c:pt>
                <c:pt idx="43" formatCode="General">
                  <c:v>5.5</c:v>
                </c:pt>
                <c:pt idx="44" formatCode="General">
                  <c:v>5.5</c:v>
                </c:pt>
                <c:pt idx="45" formatCode="General">
                  <c:v>5.5</c:v>
                </c:pt>
                <c:pt idx="46" formatCode="General">
                  <c:v>5.5</c:v>
                </c:pt>
                <c:pt idx="47" formatCode="General">
                  <c:v>5.5</c:v>
                </c:pt>
                <c:pt idx="48">
                  <c:v>4.5</c:v>
                </c:pt>
                <c:pt idx="49">
                  <c:v>4.5</c:v>
                </c:pt>
                <c:pt idx="50">
                  <c:v>4.5</c:v>
                </c:pt>
                <c:pt idx="51">
                  <c:v>4.5</c:v>
                </c:pt>
                <c:pt idx="52">
                  <c:v>4.5</c:v>
                </c:pt>
                <c:pt idx="53">
                  <c:v>4.5</c:v>
                </c:pt>
                <c:pt idx="54">
                  <c:v>4.5</c:v>
                </c:pt>
                <c:pt idx="55">
                  <c:v>4.5</c:v>
                </c:pt>
                <c:pt idx="56">
                  <c:v>4.5</c:v>
                </c:pt>
                <c:pt idx="57">
                  <c:v>4.5</c:v>
                </c:pt>
                <c:pt idx="58">
                  <c:v>4.5</c:v>
                </c:pt>
                <c:pt idx="59">
                  <c:v>4.5</c:v>
                </c:pt>
                <c:pt idx="60">
                  <c:v>4.5</c:v>
                </c:pt>
                <c:pt idx="61">
                  <c:v>4.5</c:v>
                </c:pt>
                <c:pt idx="62">
                  <c:v>4.5</c:v>
                </c:pt>
                <c:pt idx="63">
                  <c:v>4.5</c:v>
                </c:pt>
                <c:pt idx="64">
                  <c:v>4.5</c:v>
                </c:pt>
                <c:pt idx="65" formatCode="General">
                  <c:v>4.5</c:v>
                </c:pt>
                <c:pt idx="66" formatCode="General">
                  <c:v>4.5</c:v>
                </c:pt>
                <c:pt idx="67" formatCode="General">
                  <c:v>4.5</c:v>
                </c:pt>
                <c:pt idx="68">
                  <c:v>4.5</c:v>
                </c:pt>
                <c:pt idx="69">
                  <c:v>4.5</c:v>
                </c:pt>
                <c:pt idx="70">
                  <c:v>4.5</c:v>
                </c:pt>
                <c:pt idx="71">
                  <c:v>4.5</c:v>
                </c:pt>
                <c:pt idx="72">
                  <c:v>4.5</c:v>
                </c:pt>
                <c:pt idx="73">
                  <c:v>4.5</c:v>
                </c:pt>
                <c:pt idx="74">
                  <c:v>4.5</c:v>
                </c:pt>
                <c:pt idx="75">
                  <c:v>4.5</c:v>
                </c:pt>
                <c:pt idx="76">
                  <c:v>4.5</c:v>
                </c:pt>
                <c:pt idx="77">
                  <c:v>4.5</c:v>
                </c:pt>
                <c:pt idx="78">
                  <c:v>4.5</c:v>
                </c:pt>
                <c:pt idx="79">
                  <c:v>4.5</c:v>
                </c:pt>
                <c:pt idx="80">
                  <c:v>4.5</c:v>
                </c:pt>
                <c:pt idx="81">
                  <c:v>4.5</c:v>
                </c:pt>
                <c:pt idx="82">
                  <c:v>4.5</c:v>
                </c:pt>
                <c:pt idx="83">
                  <c:v>4.5</c:v>
                </c:pt>
                <c:pt idx="84">
                  <c:v>4.5</c:v>
                </c:pt>
                <c:pt idx="85">
                  <c:v>4.5</c:v>
                </c:pt>
                <c:pt idx="86">
                  <c:v>4.5</c:v>
                </c:pt>
                <c:pt idx="87">
                  <c:v>4.5</c:v>
                </c:pt>
                <c:pt idx="88">
                  <c:v>4.5</c:v>
                </c:pt>
                <c:pt idx="89">
                  <c:v>4.5</c:v>
                </c:pt>
                <c:pt idx="90">
                  <c:v>4.5</c:v>
                </c:pt>
                <c:pt idx="91">
                  <c:v>4.5</c:v>
                </c:pt>
                <c:pt idx="92">
                  <c:v>4.5</c:v>
                </c:pt>
                <c:pt idx="93">
                  <c:v>4.5</c:v>
                </c:pt>
                <c:pt idx="94">
                  <c:v>4.5</c:v>
                </c:pt>
                <c:pt idx="95">
                  <c:v>4.5</c:v>
                </c:pt>
                <c:pt idx="96">
                  <c:v>4.5</c:v>
                </c:pt>
                <c:pt idx="97">
                  <c:v>4.5</c:v>
                </c:pt>
                <c:pt idx="98">
                  <c:v>4.5</c:v>
                </c:pt>
                <c:pt idx="99">
                  <c:v>4.5</c:v>
                </c:pt>
                <c:pt idx="100">
                  <c:v>4.5</c:v>
                </c:pt>
                <c:pt idx="101">
                  <c:v>4.5</c:v>
                </c:pt>
                <c:pt idx="102">
                  <c:v>4.5</c:v>
                </c:pt>
                <c:pt idx="103">
                  <c:v>4.5</c:v>
                </c:pt>
                <c:pt idx="104">
                  <c:v>4.5</c:v>
                </c:pt>
                <c:pt idx="105" formatCode="General">
                  <c:v>4.5</c:v>
                </c:pt>
                <c:pt idx="106" formatCode="General">
                  <c:v>4.5</c:v>
                </c:pt>
                <c:pt idx="107" formatCode="General">
                  <c:v>4.5</c:v>
                </c:pt>
                <c:pt idx="108" formatCode="General">
                  <c:v>4.5</c:v>
                </c:pt>
                <c:pt idx="109" formatCode="General">
                  <c:v>4.5</c:v>
                </c:pt>
                <c:pt idx="110" formatCode="General">
                  <c:v>4.5</c:v>
                </c:pt>
                <c:pt idx="111" formatCode="General">
                  <c:v>4.5</c:v>
                </c:pt>
                <c:pt idx="112" formatCode="General">
                  <c:v>4.5</c:v>
                </c:pt>
                <c:pt idx="113" formatCode="General">
                  <c:v>4.5</c:v>
                </c:pt>
                <c:pt idx="114" formatCode="General">
                  <c:v>4.5</c:v>
                </c:pt>
                <c:pt idx="115" formatCode="General">
                  <c:v>4.5</c:v>
                </c:pt>
                <c:pt idx="116" formatCode="General">
                  <c:v>4.5</c:v>
                </c:pt>
                <c:pt idx="117" formatCode="General">
                  <c:v>4.5</c:v>
                </c:pt>
                <c:pt idx="118" formatCode="General">
                  <c:v>4.5</c:v>
                </c:pt>
                <c:pt idx="119" formatCode="General">
                  <c:v>4.5</c:v>
                </c:pt>
                <c:pt idx="120" formatCode="General">
                  <c:v>4.5</c:v>
                </c:pt>
                <c:pt idx="121" formatCode="General">
                  <c:v>4.5</c:v>
                </c:pt>
                <c:pt idx="122" formatCode="General">
                  <c:v>4.5</c:v>
                </c:pt>
                <c:pt idx="123" formatCode="General">
                  <c:v>4.5</c:v>
                </c:pt>
                <c:pt idx="124" formatCode="General">
                  <c:v>4.5</c:v>
                </c:pt>
                <c:pt idx="125" formatCode="General">
                  <c:v>4.5</c:v>
                </c:pt>
                <c:pt idx="126" formatCode="General">
                  <c:v>4.5</c:v>
                </c:pt>
                <c:pt idx="127" formatCode="General">
                  <c:v>4.5</c:v>
                </c:pt>
                <c:pt idx="128" formatCode="General">
                  <c:v>4.5</c:v>
                </c:pt>
                <c:pt idx="129" formatCode="General">
                  <c:v>4.5</c:v>
                </c:pt>
                <c:pt idx="130" formatCode="General">
                  <c:v>4.5</c:v>
                </c:pt>
                <c:pt idx="131" formatCode="General">
                  <c:v>4.5</c:v>
                </c:pt>
                <c:pt idx="132" formatCode="General">
                  <c:v>4.5</c:v>
                </c:pt>
                <c:pt idx="133" formatCode="General">
                  <c:v>4.5</c:v>
                </c:pt>
                <c:pt idx="134" formatCode="General">
                  <c:v>4.5</c:v>
                </c:pt>
                <c:pt idx="135" formatCode="General">
                  <c:v>4.5</c:v>
                </c:pt>
                <c:pt idx="136" formatCode="General">
                  <c:v>4.5</c:v>
                </c:pt>
                <c:pt idx="137" formatCode="General">
                  <c:v>4.5</c:v>
                </c:pt>
                <c:pt idx="138" formatCode="General">
                  <c:v>4.5</c:v>
                </c:pt>
                <c:pt idx="139" formatCode="General">
                  <c:v>4.5</c:v>
                </c:pt>
                <c:pt idx="140" formatCode="General">
                  <c:v>4.5</c:v>
                </c:pt>
              </c:numCache>
            </c:numRef>
          </c:val>
          <c:smooth val="0"/>
          <c:extLst>
            <c:ext xmlns:c16="http://schemas.microsoft.com/office/drawing/2014/chart" uri="{C3380CC4-5D6E-409C-BE32-E72D297353CC}">
              <c16:uniqueId val="{00000003-4C8B-4E0E-BD3C-85C37A3CFCF9}"/>
            </c:ext>
          </c:extLst>
        </c:ser>
        <c:ser>
          <c:idx val="4"/>
          <c:order val="4"/>
          <c:tx>
            <c:strRef>
              <c:f>Inflacija!$Y$3</c:f>
              <c:strCache>
                <c:ptCount val="1"/>
              </c:strCache>
            </c:strRef>
          </c:tx>
          <c:spPr>
            <a:ln w="12700" cap="rnd">
              <a:solidFill>
                <a:srgbClr val="898989"/>
              </a:solidFill>
              <a:prstDash val="sysDash"/>
              <a:round/>
            </a:ln>
            <a:effectLst/>
          </c:spPr>
          <c:marker>
            <c:symbol val="none"/>
          </c:marker>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Inflacija!$Y$40:$Y$180</c:f>
              <c:numCache>
                <c:formatCode>#,#00</c:formatCode>
                <c:ptCount val="141"/>
                <c:pt idx="0">
                  <c:v>2.5</c:v>
                </c:pt>
                <c:pt idx="1">
                  <c:v>2.5</c:v>
                </c:pt>
                <c:pt idx="2">
                  <c:v>2.5</c:v>
                </c:pt>
                <c:pt idx="3">
                  <c:v>2.5</c:v>
                </c:pt>
                <c:pt idx="4">
                  <c:v>2.5</c:v>
                </c:pt>
                <c:pt idx="5">
                  <c:v>2.5</c:v>
                </c:pt>
                <c:pt idx="6">
                  <c:v>2.5</c:v>
                </c:pt>
                <c:pt idx="7">
                  <c:v>2.5</c:v>
                </c:pt>
                <c:pt idx="8">
                  <c:v>2.5</c:v>
                </c:pt>
                <c:pt idx="9">
                  <c:v>2.5</c:v>
                </c:pt>
                <c:pt idx="10">
                  <c:v>2.5</c:v>
                </c:pt>
                <c:pt idx="11">
                  <c:v>2.5</c:v>
                </c:pt>
                <c:pt idx="12">
                  <c:v>2.5</c:v>
                </c:pt>
                <c:pt idx="13">
                  <c:v>2.5</c:v>
                </c:pt>
                <c:pt idx="14">
                  <c:v>2.5</c:v>
                </c:pt>
                <c:pt idx="15">
                  <c:v>2.5</c:v>
                </c:pt>
                <c:pt idx="16">
                  <c:v>2.5</c:v>
                </c:pt>
                <c:pt idx="17">
                  <c:v>2.5</c:v>
                </c:pt>
                <c:pt idx="18">
                  <c:v>2.5</c:v>
                </c:pt>
                <c:pt idx="19">
                  <c:v>2.5</c:v>
                </c:pt>
                <c:pt idx="20">
                  <c:v>2.5</c:v>
                </c:pt>
                <c:pt idx="21">
                  <c:v>2.5</c:v>
                </c:pt>
                <c:pt idx="22">
                  <c:v>2.5</c:v>
                </c:pt>
                <c:pt idx="23">
                  <c:v>2.5</c:v>
                </c:pt>
                <c:pt idx="24">
                  <c:v>2.5</c:v>
                </c:pt>
                <c:pt idx="25">
                  <c:v>2.5</c:v>
                </c:pt>
                <c:pt idx="26">
                  <c:v>2.5</c:v>
                </c:pt>
                <c:pt idx="27">
                  <c:v>2.5</c:v>
                </c:pt>
                <c:pt idx="28">
                  <c:v>2.5</c:v>
                </c:pt>
                <c:pt idx="29">
                  <c:v>2.5</c:v>
                </c:pt>
                <c:pt idx="30">
                  <c:v>2.5</c:v>
                </c:pt>
                <c:pt idx="31">
                  <c:v>2.5</c:v>
                </c:pt>
                <c:pt idx="32">
                  <c:v>2.5</c:v>
                </c:pt>
                <c:pt idx="33">
                  <c:v>2.5</c:v>
                </c:pt>
                <c:pt idx="34">
                  <c:v>2.5</c:v>
                </c:pt>
                <c:pt idx="35">
                  <c:v>2.5</c:v>
                </c:pt>
                <c:pt idx="36">
                  <c:v>2.5</c:v>
                </c:pt>
                <c:pt idx="37" formatCode="General">
                  <c:v>2.5</c:v>
                </c:pt>
                <c:pt idx="38" formatCode="General">
                  <c:v>2.5</c:v>
                </c:pt>
                <c:pt idx="39" formatCode="General">
                  <c:v>2.5</c:v>
                </c:pt>
                <c:pt idx="40" formatCode="General">
                  <c:v>2.5</c:v>
                </c:pt>
                <c:pt idx="41" formatCode="General">
                  <c:v>2.5</c:v>
                </c:pt>
                <c:pt idx="42" formatCode="General">
                  <c:v>2.5</c:v>
                </c:pt>
                <c:pt idx="43" formatCode="General">
                  <c:v>2.5</c:v>
                </c:pt>
                <c:pt idx="44" formatCode="General">
                  <c:v>2.5</c:v>
                </c:pt>
                <c:pt idx="45" formatCode="General">
                  <c:v>2.5</c:v>
                </c:pt>
                <c:pt idx="46" formatCode="General">
                  <c:v>2.5</c:v>
                </c:pt>
                <c:pt idx="47" formatCode="General">
                  <c:v>2.5</c:v>
                </c:pt>
                <c:pt idx="48">
                  <c:v>1.5</c:v>
                </c:pt>
                <c:pt idx="49">
                  <c:v>1.5</c:v>
                </c:pt>
                <c:pt idx="50">
                  <c:v>1.5</c:v>
                </c:pt>
                <c:pt idx="51">
                  <c:v>1.5</c:v>
                </c:pt>
                <c:pt idx="52">
                  <c:v>1.5</c:v>
                </c:pt>
                <c:pt idx="53">
                  <c:v>1.5</c:v>
                </c:pt>
                <c:pt idx="54">
                  <c:v>1.5</c:v>
                </c:pt>
                <c:pt idx="55">
                  <c:v>1.5</c:v>
                </c:pt>
                <c:pt idx="56">
                  <c:v>1.5</c:v>
                </c:pt>
                <c:pt idx="57">
                  <c:v>1.5</c:v>
                </c:pt>
                <c:pt idx="58">
                  <c:v>1.5</c:v>
                </c:pt>
                <c:pt idx="59">
                  <c:v>1.5</c:v>
                </c:pt>
                <c:pt idx="60">
                  <c:v>1.5</c:v>
                </c:pt>
                <c:pt idx="61">
                  <c:v>1.5</c:v>
                </c:pt>
                <c:pt idx="62">
                  <c:v>1.5</c:v>
                </c:pt>
                <c:pt idx="63">
                  <c:v>1.5</c:v>
                </c:pt>
                <c:pt idx="64">
                  <c:v>1.5</c:v>
                </c:pt>
                <c:pt idx="65" formatCode="General">
                  <c:v>1.5</c:v>
                </c:pt>
                <c:pt idx="66" formatCode="General">
                  <c:v>1.5</c:v>
                </c:pt>
                <c:pt idx="67" formatCode="General">
                  <c:v>1.5</c:v>
                </c:pt>
                <c:pt idx="68">
                  <c:v>1.5</c:v>
                </c:pt>
                <c:pt idx="69">
                  <c:v>1.5</c:v>
                </c:pt>
                <c:pt idx="70">
                  <c:v>1.5</c:v>
                </c:pt>
                <c:pt idx="71">
                  <c:v>1.5</c:v>
                </c:pt>
                <c:pt idx="72">
                  <c:v>1.5</c:v>
                </c:pt>
                <c:pt idx="73">
                  <c:v>1.5</c:v>
                </c:pt>
                <c:pt idx="74">
                  <c:v>1.5</c:v>
                </c:pt>
                <c:pt idx="75">
                  <c:v>1.5</c:v>
                </c:pt>
                <c:pt idx="76">
                  <c:v>1.5</c:v>
                </c:pt>
                <c:pt idx="77">
                  <c:v>1.5</c:v>
                </c:pt>
                <c:pt idx="78">
                  <c:v>1.5</c:v>
                </c:pt>
                <c:pt idx="79">
                  <c:v>1.5</c:v>
                </c:pt>
                <c:pt idx="80">
                  <c:v>1.5</c:v>
                </c:pt>
                <c:pt idx="81">
                  <c:v>1.5</c:v>
                </c:pt>
                <c:pt idx="82">
                  <c:v>1.5</c:v>
                </c:pt>
                <c:pt idx="83">
                  <c:v>1.5</c:v>
                </c:pt>
                <c:pt idx="84">
                  <c:v>1.5</c:v>
                </c:pt>
                <c:pt idx="85">
                  <c:v>1.5</c:v>
                </c:pt>
                <c:pt idx="86">
                  <c:v>1.5</c:v>
                </c:pt>
                <c:pt idx="87">
                  <c:v>1.5</c:v>
                </c:pt>
                <c:pt idx="88">
                  <c:v>1.5</c:v>
                </c:pt>
                <c:pt idx="89">
                  <c:v>1.5</c:v>
                </c:pt>
                <c:pt idx="90">
                  <c:v>1.5</c:v>
                </c:pt>
                <c:pt idx="91">
                  <c:v>1.5</c:v>
                </c:pt>
                <c:pt idx="92">
                  <c:v>1.5</c:v>
                </c:pt>
                <c:pt idx="93">
                  <c:v>1.5</c:v>
                </c:pt>
                <c:pt idx="94">
                  <c:v>1.5</c:v>
                </c:pt>
                <c:pt idx="95">
                  <c:v>1.5</c:v>
                </c:pt>
                <c:pt idx="96">
                  <c:v>1.5</c:v>
                </c:pt>
                <c:pt idx="97">
                  <c:v>1.5</c:v>
                </c:pt>
                <c:pt idx="98">
                  <c:v>1.5</c:v>
                </c:pt>
                <c:pt idx="99">
                  <c:v>1.5</c:v>
                </c:pt>
                <c:pt idx="100">
                  <c:v>1.5</c:v>
                </c:pt>
                <c:pt idx="101">
                  <c:v>1.5</c:v>
                </c:pt>
                <c:pt idx="102">
                  <c:v>1.5</c:v>
                </c:pt>
                <c:pt idx="103">
                  <c:v>1.5</c:v>
                </c:pt>
                <c:pt idx="104">
                  <c:v>1.5</c:v>
                </c:pt>
                <c:pt idx="105" formatCode="General">
                  <c:v>1.5</c:v>
                </c:pt>
                <c:pt idx="106" formatCode="General">
                  <c:v>1.5</c:v>
                </c:pt>
                <c:pt idx="107" formatCode="General">
                  <c:v>1.5</c:v>
                </c:pt>
                <c:pt idx="108" formatCode="General">
                  <c:v>1.5</c:v>
                </c:pt>
                <c:pt idx="109" formatCode="General">
                  <c:v>1.5</c:v>
                </c:pt>
                <c:pt idx="110" formatCode="General">
                  <c:v>1.5</c:v>
                </c:pt>
                <c:pt idx="111" formatCode="General">
                  <c:v>1.5</c:v>
                </c:pt>
                <c:pt idx="112" formatCode="General">
                  <c:v>1.5</c:v>
                </c:pt>
                <c:pt idx="113" formatCode="General">
                  <c:v>1.5</c:v>
                </c:pt>
                <c:pt idx="114" formatCode="General">
                  <c:v>1.5</c:v>
                </c:pt>
                <c:pt idx="115" formatCode="General">
                  <c:v>1.5</c:v>
                </c:pt>
                <c:pt idx="116" formatCode="General">
                  <c:v>1.5</c:v>
                </c:pt>
                <c:pt idx="117" formatCode="General">
                  <c:v>1.5</c:v>
                </c:pt>
                <c:pt idx="118" formatCode="General">
                  <c:v>1.5</c:v>
                </c:pt>
                <c:pt idx="119" formatCode="General">
                  <c:v>1.5</c:v>
                </c:pt>
                <c:pt idx="120" formatCode="General">
                  <c:v>1.5</c:v>
                </c:pt>
                <c:pt idx="121" formatCode="General">
                  <c:v>1.5</c:v>
                </c:pt>
                <c:pt idx="122" formatCode="General">
                  <c:v>1.5</c:v>
                </c:pt>
                <c:pt idx="123" formatCode="General">
                  <c:v>1.5</c:v>
                </c:pt>
                <c:pt idx="124" formatCode="General">
                  <c:v>1.5</c:v>
                </c:pt>
                <c:pt idx="125" formatCode="General">
                  <c:v>1.5</c:v>
                </c:pt>
                <c:pt idx="126" formatCode="General">
                  <c:v>1.5</c:v>
                </c:pt>
                <c:pt idx="127" formatCode="General">
                  <c:v>1.5</c:v>
                </c:pt>
                <c:pt idx="128" formatCode="General">
                  <c:v>1.5</c:v>
                </c:pt>
                <c:pt idx="129" formatCode="General">
                  <c:v>1.5</c:v>
                </c:pt>
                <c:pt idx="130" formatCode="General">
                  <c:v>1.5</c:v>
                </c:pt>
                <c:pt idx="131" formatCode="General">
                  <c:v>1.5</c:v>
                </c:pt>
                <c:pt idx="132" formatCode="General">
                  <c:v>1.5</c:v>
                </c:pt>
                <c:pt idx="133" formatCode="General">
                  <c:v>1.5</c:v>
                </c:pt>
                <c:pt idx="134" formatCode="General">
                  <c:v>1.5</c:v>
                </c:pt>
                <c:pt idx="135" formatCode="General">
                  <c:v>1.5</c:v>
                </c:pt>
                <c:pt idx="136" formatCode="General">
                  <c:v>1.5</c:v>
                </c:pt>
                <c:pt idx="137" formatCode="General">
                  <c:v>1.5</c:v>
                </c:pt>
                <c:pt idx="138" formatCode="General">
                  <c:v>1.5</c:v>
                </c:pt>
                <c:pt idx="139" formatCode="General">
                  <c:v>1.5</c:v>
                </c:pt>
                <c:pt idx="140" formatCode="General">
                  <c:v>1.5</c:v>
                </c:pt>
              </c:numCache>
            </c:numRef>
          </c:val>
          <c:smooth val="0"/>
          <c:extLst>
            <c:ext xmlns:c16="http://schemas.microsoft.com/office/drawing/2014/chart" uri="{C3380CC4-5D6E-409C-BE32-E72D297353CC}">
              <c16:uniqueId val="{00000004-4C8B-4E0E-BD3C-85C37A3CFCF9}"/>
            </c:ext>
          </c:extLst>
        </c:ser>
        <c:ser>
          <c:idx val="5"/>
          <c:order val="5"/>
          <c:tx>
            <c:strRef>
              <c:f>Inflacija!$Z$3</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170047737570141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C8B-4E0E-BD3C-85C37A3CFCF9}"/>
                </c:ext>
              </c:extLst>
            </c:dLbl>
            <c:dLbl>
              <c:idx val="12"/>
              <c:layout>
                <c:manualLayout>
                  <c:x val="-2.171326137127528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C8B-4E0E-BD3C-85C37A3CFCF9}"/>
                </c:ext>
              </c:extLst>
            </c:dLbl>
            <c:dLbl>
              <c:idx val="24"/>
              <c:layout>
                <c:manualLayout>
                  <c:x val="-2.0699064389079484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C8B-4E0E-BD3C-85C37A3CFCF9}"/>
                </c:ext>
              </c:extLst>
            </c:dLbl>
            <c:dLbl>
              <c:idx val="36"/>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C8B-4E0E-BD3C-85C37A3CFCF9}"/>
                </c:ext>
              </c:extLst>
            </c:dLbl>
            <c:dLbl>
              <c:idx val="48"/>
              <c:layout>
                <c:manualLayout>
                  <c:x val="-2.06816639506594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C8B-4E0E-BD3C-85C37A3CFCF9}"/>
                </c:ext>
              </c:extLst>
            </c:dLbl>
            <c:dLbl>
              <c:idx val="60"/>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C8B-4E0E-BD3C-85C37A3CFCF9}"/>
                </c:ext>
              </c:extLst>
            </c:dLbl>
            <c:dLbl>
              <c:idx val="72"/>
              <c:layout>
                <c:manualLayout>
                  <c:x val="-1.9029687633721565E-2"/>
                  <c:y val="3.57962092722168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C8B-4E0E-BD3C-85C37A3CFCF9}"/>
                </c:ext>
              </c:extLst>
            </c:dLbl>
            <c:dLbl>
              <c:idx val="84"/>
              <c:layout>
                <c:manualLayout>
                  <c:x val="-2.2446565561833522E-2"/>
                  <c:y val="3.552931189257716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4C8B-4E0E-BD3C-85C37A3CFCF9}"/>
                </c:ext>
              </c:extLst>
            </c:dLbl>
            <c:dLbl>
              <c:idx val="96"/>
              <c:layout>
                <c:manualLayout>
                  <c:x val="-2.162803473411614E-2"/>
                  <c:y val="3.620833022607217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4C8B-4E0E-BD3C-85C37A3CFCF9}"/>
                </c:ext>
              </c:extLst>
            </c:dLbl>
            <c:dLbl>
              <c:idx val="108"/>
              <c:layout>
                <c:manualLayout>
                  <c:x val="-2.5283475783475784E-2"/>
                  <c:y val="3.615711130995147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E-4C8B-4E0E-BD3C-85C37A3CFCF9}"/>
                </c:ext>
              </c:extLst>
            </c:dLbl>
            <c:dLbl>
              <c:idx val="120"/>
              <c:layout>
                <c:manualLayout>
                  <c:x val="-2.1756940022819433E-2"/>
                  <c:y val="3.567285334045059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4C8B-4E0E-BD3C-85C37A3CFCF9}"/>
                </c:ext>
              </c:extLst>
            </c:dLbl>
            <c:dLbl>
              <c:idx val="132"/>
              <c:layout>
                <c:manualLayout>
                  <c:x val="-9.366809116809283E-3"/>
                  <c:y val="3.582500000000000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0-4C8B-4E0E-BD3C-85C37A3CFCF9}"/>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Inflacija!$Q$40:$Q$180</c:f>
              <c:numCache>
                <c:formatCode>yyyy</c:formatCode>
                <c:ptCount val="14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pt idx="137" formatCode="yy">
                  <c:v>45444</c:v>
                </c:pt>
                <c:pt idx="138" formatCode="yy">
                  <c:v>45474</c:v>
                </c:pt>
                <c:pt idx="139" formatCode="yy">
                  <c:v>45505</c:v>
                </c:pt>
                <c:pt idx="140" formatCode="yy">
                  <c:v>45536</c:v>
                </c:pt>
              </c:numCache>
            </c:numRef>
          </c:cat>
          <c:val>
            <c:numRef>
              <c:f>Inflacija!$Z$40:$Z$180</c:f>
              <c:numCache>
                <c:formatCode>General</c:formatCode>
                <c:ptCount val="141"/>
                <c:pt idx="0">
                  <c:v>0</c:v>
                </c:pt>
                <c:pt idx="12">
                  <c:v>0</c:v>
                </c:pt>
                <c:pt idx="24">
                  <c:v>0</c:v>
                </c:pt>
                <c:pt idx="36">
                  <c:v>0</c:v>
                </c:pt>
                <c:pt idx="48">
                  <c:v>0</c:v>
                </c:pt>
                <c:pt idx="60">
                  <c:v>0</c:v>
                </c:pt>
                <c:pt idx="72">
                  <c:v>0</c:v>
                </c:pt>
                <c:pt idx="84">
                  <c:v>0</c:v>
                </c:pt>
                <c:pt idx="96">
                  <c:v>0</c:v>
                </c:pt>
                <c:pt idx="108">
                  <c:v>0</c:v>
                </c:pt>
                <c:pt idx="120">
                  <c:v>0</c:v>
                </c:pt>
                <c:pt idx="132">
                  <c:v>0</c:v>
                </c:pt>
              </c:numCache>
            </c:numRef>
          </c:val>
          <c:smooth val="0"/>
          <c:extLst>
            <c:ext xmlns:c16="http://schemas.microsoft.com/office/drawing/2014/chart" uri="{C3380CC4-5D6E-409C-BE32-E72D297353CC}">
              <c16:uniqueId val="{00000011-4C8B-4E0E-BD3C-85C37A3CFCF9}"/>
            </c:ext>
          </c:extLst>
        </c:ser>
        <c:dLbls>
          <c:showLegendKey val="0"/>
          <c:showVal val="0"/>
          <c:showCatName val="0"/>
          <c:showSerName val="0"/>
          <c:showPercent val="0"/>
          <c:showBubbleSize val="0"/>
        </c:dLbls>
        <c:smooth val="0"/>
        <c:axId val="2067917072"/>
        <c:axId val="2067937744"/>
      </c:lineChart>
      <c:catAx>
        <c:axId val="2067917072"/>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7744"/>
        <c:crosses val="autoZero"/>
        <c:auto val="0"/>
        <c:lblAlgn val="ctr"/>
        <c:lblOffset val="100"/>
        <c:tickLblSkip val="12"/>
        <c:tickMarkSkip val="1"/>
        <c:noMultiLvlLbl val="1"/>
      </c:catAx>
      <c:valAx>
        <c:axId val="2067937744"/>
        <c:scaling>
          <c:orientation val="minMax"/>
        </c:scaling>
        <c:delete val="0"/>
        <c:axPos val="l"/>
        <c:title>
          <c:tx>
            <c:rich>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r>
                  <a:rPr lang="sr-Latn-RS"/>
                  <a:t>%</a:t>
                </a:r>
                <a:endParaRPr lang="en-GB"/>
              </a:p>
            </c:rich>
          </c:tx>
          <c:layout>
            <c:manualLayout>
              <c:xMode val="edge"/>
              <c:yMode val="edge"/>
              <c:x val="8.3333333333333332E-3"/>
              <c:y val="0.34151501895596381"/>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7072"/>
        <c:crosses val="autoZero"/>
        <c:crossBetween val="midCat"/>
        <c:majorUnit val="2"/>
      </c:valAx>
      <c:spPr>
        <a:noFill/>
        <a:ln>
          <a:noFill/>
        </a:ln>
        <a:effectLst/>
      </c:spPr>
    </c:plotArea>
    <c:legend>
      <c:legendPos val="b"/>
      <c:legendEntry>
        <c:idx val="4"/>
        <c:delete val="1"/>
      </c:legendEntry>
      <c:legendEntry>
        <c:idx val="5"/>
        <c:delete val="1"/>
      </c:legendEntry>
      <c:layout>
        <c:manualLayout>
          <c:xMode val="edge"/>
          <c:yMode val="edge"/>
          <c:x val="5.2445156695156696E-2"/>
          <c:y val="0.75916055555555551"/>
          <c:w val="0.89270036496097616"/>
          <c:h val="0.237537777777777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178986378388172E-2"/>
          <c:y val="5.3106332138590201E-2"/>
          <c:w val="0.80840046303318902"/>
          <c:h val="0.58882795698924728"/>
        </c:manualLayout>
      </c:layout>
      <c:barChart>
        <c:barDir val="col"/>
        <c:grouping val="stacked"/>
        <c:varyColors val="0"/>
        <c:ser>
          <c:idx val="0"/>
          <c:order val="0"/>
          <c:tx>
            <c:strRef>
              <c:f>NPL!$S$4</c:f>
              <c:strCache>
                <c:ptCount val="1"/>
                <c:pt idx="0">
                  <c:v>Привреда</c:v>
                </c:pt>
              </c:strCache>
            </c:strRef>
          </c:tx>
          <c:spPr>
            <a:solidFill>
              <a:srgbClr val="10103C"/>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VIII 2024</c:v>
                </c:pt>
              </c:strCache>
            </c:strRef>
          </c:cat>
          <c:val>
            <c:numRef>
              <c:f>NPL!$S$5:$S$16</c:f>
              <c:numCache>
                <c:formatCode>#,##0</c:formatCode>
                <c:ptCount val="12"/>
                <c:pt idx="0">
                  <c:v>238.4</c:v>
                </c:pt>
                <c:pt idx="1">
                  <c:v>248.4</c:v>
                </c:pt>
                <c:pt idx="2" formatCode="0">
                  <c:v>216.8</c:v>
                </c:pt>
                <c:pt idx="3" formatCode="0">
                  <c:v>172.8</c:v>
                </c:pt>
                <c:pt idx="4" formatCode="0">
                  <c:v>107.6</c:v>
                </c:pt>
                <c:pt idx="5" formatCode="0">
                  <c:v>56.849434000000002</c:v>
                </c:pt>
                <c:pt idx="6" formatCode="0">
                  <c:v>38.949154999999998</c:v>
                </c:pt>
                <c:pt idx="7" formatCode="0">
                  <c:v>41.826799999999999</c:v>
                </c:pt>
                <c:pt idx="8" formatCode="0">
                  <c:v>43.140020999999997</c:v>
                </c:pt>
                <c:pt idx="9" formatCode="0">
                  <c:v>33.740698000000002</c:v>
                </c:pt>
                <c:pt idx="10" formatCode="0">
                  <c:v>34.603248999999998</c:v>
                </c:pt>
              </c:numCache>
            </c:numRef>
          </c:val>
          <c:extLst>
            <c:ext xmlns:c16="http://schemas.microsoft.com/office/drawing/2014/chart" uri="{C3380CC4-5D6E-409C-BE32-E72D297353CC}">
              <c16:uniqueId val="{00000000-5B97-4B78-BD01-6513F7441569}"/>
            </c:ext>
          </c:extLst>
        </c:ser>
        <c:ser>
          <c:idx val="1"/>
          <c:order val="1"/>
          <c:tx>
            <c:strRef>
              <c:f>NPL!$T$4</c:f>
              <c:strCache>
                <c:ptCount val="1"/>
                <c:pt idx="0">
                  <c:v>Становништво</c:v>
                </c:pt>
              </c:strCache>
            </c:strRef>
          </c:tx>
          <c:spPr>
            <a:solidFill>
              <a:srgbClr val="2183C4"/>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VIII 2024</c:v>
                </c:pt>
              </c:strCache>
            </c:strRef>
          </c:cat>
          <c:val>
            <c:numRef>
              <c:f>NPL!$T$5:$T$16</c:f>
              <c:numCache>
                <c:formatCode>#,##0</c:formatCode>
                <c:ptCount val="12"/>
                <c:pt idx="0">
                  <c:v>56.7</c:v>
                </c:pt>
                <c:pt idx="1">
                  <c:v>66.400000000000006</c:v>
                </c:pt>
                <c:pt idx="2" formatCode="0">
                  <c:v>73.400000000000006</c:v>
                </c:pt>
                <c:pt idx="3" formatCode="0">
                  <c:v>69.2</c:v>
                </c:pt>
                <c:pt idx="4" formatCode="0">
                  <c:v>45.4</c:v>
                </c:pt>
                <c:pt idx="5" formatCode="0">
                  <c:v>39.608241</c:v>
                </c:pt>
                <c:pt idx="6" formatCode="0">
                  <c:v>39.016837000000002</c:v>
                </c:pt>
                <c:pt idx="7" formatCode="0">
                  <c:v>40.746828000000001</c:v>
                </c:pt>
                <c:pt idx="8" formatCode="0">
                  <c:v>51.147905000000002</c:v>
                </c:pt>
                <c:pt idx="9" formatCode="0">
                  <c:v>52.061318999999997</c:v>
                </c:pt>
                <c:pt idx="10" formatCode="0">
                  <c:v>58.331890999999999</c:v>
                </c:pt>
              </c:numCache>
            </c:numRef>
          </c:val>
          <c:extLst>
            <c:ext xmlns:c16="http://schemas.microsoft.com/office/drawing/2014/chart" uri="{C3380CC4-5D6E-409C-BE32-E72D297353CC}">
              <c16:uniqueId val="{00000001-5B97-4B78-BD01-6513F7441569}"/>
            </c:ext>
          </c:extLst>
        </c:ser>
        <c:ser>
          <c:idx val="2"/>
          <c:order val="2"/>
          <c:tx>
            <c:strRef>
              <c:f>NPL!$U$4</c:f>
              <c:strCache>
                <c:ptCount val="1"/>
                <c:pt idx="0">
                  <c:v>Остали</c:v>
                </c:pt>
              </c:strCache>
            </c:strRef>
          </c:tx>
          <c:spPr>
            <a:solidFill>
              <a:srgbClr val="51BBE7"/>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VIII 2024</c:v>
                </c:pt>
              </c:strCache>
            </c:strRef>
          </c:cat>
          <c:val>
            <c:numRef>
              <c:f>NPL!$U$5:$U$16</c:f>
              <c:numCache>
                <c:formatCode>#,##0</c:formatCode>
                <c:ptCount val="12"/>
                <c:pt idx="0">
                  <c:v>100.2</c:v>
                </c:pt>
                <c:pt idx="1">
                  <c:v>106.4</c:v>
                </c:pt>
                <c:pt idx="2" formatCode="0">
                  <c:v>134.4</c:v>
                </c:pt>
                <c:pt idx="3" formatCode="0">
                  <c:v>103.8</c:v>
                </c:pt>
                <c:pt idx="4" formatCode="0">
                  <c:v>51.9</c:v>
                </c:pt>
                <c:pt idx="5" formatCode="0">
                  <c:v>34.192292000000002</c:v>
                </c:pt>
                <c:pt idx="6" formatCode="0">
                  <c:v>23.450085000000001</c:v>
                </c:pt>
                <c:pt idx="7" formatCode="0">
                  <c:v>19.835072</c:v>
                </c:pt>
                <c:pt idx="8" formatCode="0">
                  <c:v>14.723131</c:v>
                </c:pt>
                <c:pt idx="9" formatCode="0">
                  <c:v>13.706968</c:v>
                </c:pt>
                <c:pt idx="10" formatCode="0">
                  <c:v>14.360376</c:v>
                </c:pt>
              </c:numCache>
            </c:numRef>
          </c:val>
          <c:extLst>
            <c:ext xmlns:c16="http://schemas.microsoft.com/office/drawing/2014/chart" uri="{C3380CC4-5D6E-409C-BE32-E72D297353CC}">
              <c16:uniqueId val="{00000002-5B97-4B78-BD01-6513F7441569}"/>
            </c:ext>
          </c:extLst>
        </c:ser>
        <c:dLbls>
          <c:showLegendKey val="0"/>
          <c:showVal val="0"/>
          <c:showCatName val="0"/>
          <c:showSerName val="0"/>
          <c:showPercent val="0"/>
          <c:showBubbleSize val="0"/>
        </c:dLbls>
        <c:gapWidth val="40"/>
        <c:overlap val="100"/>
        <c:axId val="1839178672"/>
        <c:axId val="1839199888"/>
      </c:barChart>
      <c:lineChart>
        <c:grouping val="standard"/>
        <c:varyColors val="0"/>
        <c:ser>
          <c:idx val="3"/>
          <c:order val="3"/>
          <c:tx>
            <c:strRef>
              <c:f>NPL!$V$4</c:f>
              <c:strCache>
                <c:ptCount val="1"/>
                <c:pt idx="0">
                  <c:v>NPL % (бруто)</c:v>
                </c:pt>
              </c:strCache>
            </c:strRef>
          </c:tx>
          <c:spPr>
            <a:ln w="25400" cap="rnd">
              <a:solidFill>
                <a:srgbClr val="FF0000"/>
              </a:solidFill>
              <a:round/>
            </a:ln>
            <a:effectLst/>
          </c:spPr>
          <c:marker>
            <c:symbol val="none"/>
          </c:marker>
          <c:dLbls>
            <c:numFmt formatCode="0.0%" sourceLinked="0"/>
            <c:spPr>
              <a:noFill/>
              <a:ln>
                <a:noFill/>
              </a:ln>
              <a:effectLst/>
            </c:spPr>
            <c:txPr>
              <a:bodyPr rot="0" spcFirstLastPara="1" vertOverflow="ellipsis" vert="horz" wrap="square" anchor="ctr" anchorCtr="1"/>
              <a:lstStyle/>
              <a:p>
                <a:pPr>
                  <a:defRPr sz="50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VIII 2024</c:v>
                </c:pt>
              </c:strCache>
            </c:strRef>
          </c:cat>
          <c:val>
            <c:numRef>
              <c:f>NPL!$V$5:$V$16</c:f>
              <c:numCache>
                <c:formatCode>#,#00%</c:formatCode>
                <c:ptCount val="12"/>
                <c:pt idx="0">
                  <c:v>0.2137</c:v>
                </c:pt>
                <c:pt idx="1">
                  <c:v>0.21539999999999998</c:v>
                </c:pt>
                <c:pt idx="2">
                  <c:v>0.216</c:v>
                </c:pt>
                <c:pt idx="3">
                  <c:v>0.17030000000000001</c:v>
                </c:pt>
                <c:pt idx="4">
                  <c:v>9.8500000000000004E-2</c:v>
                </c:pt>
                <c:pt idx="5">
                  <c:v>5.7000000000000002E-2</c:v>
                </c:pt>
                <c:pt idx="6">
                  <c:v>4.1000000000000002E-2</c:v>
                </c:pt>
                <c:pt idx="7">
                  <c:v>3.6999999999999998E-2</c:v>
                </c:pt>
                <c:pt idx="8">
                  <c:v>3.5999999999999997E-2</c:v>
                </c:pt>
                <c:pt idx="9">
                  <c:v>0.03</c:v>
                </c:pt>
                <c:pt idx="10">
                  <c:v>3.2000000000000001E-2</c:v>
                </c:pt>
                <c:pt idx="11">
                  <c:v>2.7E-2</c:v>
                </c:pt>
              </c:numCache>
            </c:numRef>
          </c:val>
          <c:smooth val="0"/>
          <c:extLst>
            <c:ext xmlns:c16="http://schemas.microsoft.com/office/drawing/2014/chart" uri="{C3380CC4-5D6E-409C-BE32-E72D297353CC}">
              <c16:uniqueId val="{00000003-5B97-4B78-BD01-6513F7441569}"/>
            </c:ext>
          </c:extLst>
        </c:ser>
        <c:dLbls>
          <c:showLegendKey val="0"/>
          <c:showVal val="0"/>
          <c:showCatName val="0"/>
          <c:showSerName val="0"/>
          <c:showPercent val="0"/>
          <c:showBubbleSize val="0"/>
        </c:dLbls>
        <c:marker val="1"/>
        <c:smooth val="0"/>
        <c:axId val="1839198256"/>
        <c:axId val="1839197712"/>
      </c:lineChart>
      <c:catAx>
        <c:axId val="183917867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9888"/>
        <c:crosses val="autoZero"/>
        <c:auto val="1"/>
        <c:lblAlgn val="ctr"/>
        <c:lblOffset val="100"/>
        <c:noMultiLvlLbl val="0"/>
      </c:catAx>
      <c:valAx>
        <c:axId val="1839199888"/>
        <c:scaling>
          <c:orientation val="minMax"/>
          <c:max val="4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8672"/>
        <c:crosses val="autoZero"/>
        <c:crossBetween val="between"/>
        <c:majorUnit val="100"/>
      </c:valAx>
      <c:valAx>
        <c:axId val="1839197712"/>
        <c:scaling>
          <c:orientation val="minMax"/>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8256"/>
        <c:crosses val="max"/>
        <c:crossBetween val="between"/>
      </c:valAx>
      <c:catAx>
        <c:axId val="1839198256"/>
        <c:scaling>
          <c:orientation val="minMax"/>
        </c:scaling>
        <c:delete val="1"/>
        <c:axPos val="b"/>
        <c:numFmt formatCode="General" sourceLinked="1"/>
        <c:majorTickMark val="out"/>
        <c:minorTickMark val="none"/>
        <c:tickLblPos val="nextTo"/>
        <c:crossAx val="1839197712"/>
        <c:crosses val="autoZero"/>
        <c:auto val="1"/>
        <c:lblAlgn val="ctr"/>
        <c:lblOffset val="100"/>
        <c:noMultiLvlLbl val="0"/>
      </c:catAx>
      <c:spPr>
        <a:noFill/>
        <a:ln>
          <a:noFill/>
        </a:ln>
        <a:effectLst/>
      </c:spPr>
    </c:plotArea>
    <c:legend>
      <c:legendPos val="b"/>
      <c:layout>
        <c:manualLayout>
          <c:xMode val="edge"/>
          <c:yMode val="edge"/>
          <c:x val="0.14793963254593176"/>
          <c:y val="0.82833811230585419"/>
          <c:w val="0.76430592009332154"/>
          <c:h val="0.1489020310633213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067586007101372E-2"/>
          <c:y val="5.6338028169014086E-2"/>
          <c:w val="0.79899510791436967"/>
          <c:h val="0.65544933643857894"/>
        </c:manualLayout>
      </c:layout>
      <c:barChart>
        <c:barDir val="col"/>
        <c:grouping val="clustered"/>
        <c:varyColors val="0"/>
        <c:ser>
          <c:idx val="1"/>
          <c:order val="1"/>
          <c:tx>
            <c:strRef>
              <c:f>'Devizni kurs'!$V$2</c:f>
              <c:strCache>
                <c:ptCount val="1"/>
                <c:pt idx="0">
                  <c:v>Интервенције НБС, нето, мил. евра (десна скала)</c:v>
                </c:pt>
              </c:strCache>
            </c:strRef>
          </c:tx>
          <c:spPr>
            <a:solidFill>
              <a:srgbClr val="29489A"/>
            </a:solidFill>
            <a:ln>
              <a:noFill/>
            </a:ln>
            <a:effectLst/>
          </c:spPr>
          <c:invertIfNegative val="0"/>
          <c:cat>
            <c:numRef>
              <c:f>'Devizni kurs'!$Q$39:$Q$167</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'Devizni kurs'!$V$39:$V$167</c:f>
              <c:numCache>
                <c:formatCode>General</c:formatCode>
                <c:ptCount val="129"/>
                <c:pt idx="0">
                  <c:v>330</c:v>
                </c:pt>
                <c:pt idx="1">
                  <c:v>280</c:v>
                </c:pt>
                <c:pt idx="2">
                  <c:v>190</c:v>
                </c:pt>
                <c:pt idx="3">
                  <c:v>-110</c:v>
                </c:pt>
                <c:pt idx="4">
                  <c:v>-20</c:v>
                </c:pt>
                <c:pt idx="5" formatCode="0">
                  <c:v>-40</c:v>
                </c:pt>
                <c:pt idx="6">
                  <c:v>30</c:v>
                </c:pt>
                <c:pt idx="7">
                  <c:v>60</c:v>
                </c:pt>
                <c:pt idx="8">
                  <c:v>135</c:v>
                </c:pt>
                <c:pt idx="9">
                  <c:v>140</c:v>
                </c:pt>
                <c:pt idx="10">
                  <c:v>250</c:v>
                </c:pt>
                <c:pt idx="11">
                  <c:v>375</c:v>
                </c:pt>
                <c:pt idx="12">
                  <c:v>90</c:v>
                </c:pt>
                <c:pt idx="13">
                  <c:v>-140</c:v>
                </c:pt>
                <c:pt idx="14">
                  <c:v>-120</c:v>
                </c:pt>
                <c:pt idx="15">
                  <c:v>-110</c:v>
                </c:pt>
                <c:pt idx="16">
                  <c:v>0</c:v>
                </c:pt>
                <c:pt idx="17">
                  <c:v>-10</c:v>
                </c:pt>
                <c:pt idx="18">
                  <c:v>-230</c:v>
                </c:pt>
                <c:pt idx="19">
                  <c:v>-130</c:v>
                </c:pt>
                <c:pt idx="20">
                  <c:v>-80</c:v>
                </c:pt>
                <c:pt idx="21">
                  <c:v>-60</c:v>
                </c:pt>
                <c:pt idx="22">
                  <c:v>0</c:v>
                </c:pt>
                <c:pt idx="23">
                  <c:v>270</c:v>
                </c:pt>
                <c:pt idx="24">
                  <c:v>290</c:v>
                </c:pt>
                <c:pt idx="25">
                  <c:v>100</c:v>
                </c:pt>
                <c:pt idx="26">
                  <c:v>175</c:v>
                </c:pt>
                <c:pt idx="27">
                  <c:v>140</c:v>
                </c:pt>
                <c:pt idx="28">
                  <c:v>65</c:v>
                </c:pt>
                <c:pt idx="29">
                  <c:v>50</c:v>
                </c:pt>
                <c:pt idx="30">
                  <c:v>-355</c:v>
                </c:pt>
                <c:pt idx="31">
                  <c:v>-90</c:v>
                </c:pt>
                <c:pt idx="32">
                  <c:v>-30</c:v>
                </c:pt>
                <c:pt idx="33">
                  <c:v>-135</c:v>
                </c:pt>
                <c:pt idx="34">
                  <c:v>-60</c:v>
                </c:pt>
                <c:pt idx="35">
                  <c:v>10</c:v>
                </c:pt>
                <c:pt idx="36">
                  <c:v>225</c:v>
                </c:pt>
                <c:pt idx="37">
                  <c:v>105</c:v>
                </c:pt>
                <c:pt idx="38">
                  <c:v>15</c:v>
                </c:pt>
                <c:pt idx="39">
                  <c:v>-40</c:v>
                </c:pt>
                <c:pt idx="40">
                  <c:v>-120</c:v>
                </c:pt>
                <c:pt idx="41">
                  <c:v>-345</c:v>
                </c:pt>
                <c:pt idx="42">
                  <c:v>-165</c:v>
                </c:pt>
                <c:pt idx="43">
                  <c:v>-290</c:v>
                </c:pt>
                <c:pt idx="44">
                  <c:v>-150</c:v>
                </c:pt>
                <c:pt idx="45">
                  <c:v>-15</c:v>
                </c:pt>
                <c:pt idx="46">
                  <c:v>-50</c:v>
                </c:pt>
                <c:pt idx="47">
                  <c:v>135</c:v>
                </c:pt>
                <c:pt idx="48">
                  <c:v>180</c:v>
                </c:pt>
                <c:pt idx="49">
                  <c:v>-180</c:v>
                </c:pt>
                <c:pt idx="50">
                  <c:v>-400</c:v>
                </c:pt>
                <c:pt idx="51">
                  <c:v>-205</c:v>
                </c:pt>
                <c:pt idx="52">
                  <c:v>-220</c:v>
                </c:pt>
                <c:pt idx="53">
                  <c:v>-365</c:v>
                </c:pt>
                <c:pt idx="54">
                  <c:v>-220</c:v>
                </c:pt>
                <c:pt idx="55">
                  <c:v>-190</c:v>
                </c:pt>
                <c:pt idx="56">
                  <c:v>5</c:v>
                </c:pt>
                <c:pt idx="57">
                  <c:v>30</c:v>
                </c:pt>
                <c:pt idx="58">
                  <c:v>-15</c:v>
                </c:pt>
                <c:pt idx="59">
                  <c:v>0</c:v>
                </c:pt>
                <c:pt idx="60">
                  <c:v>130</c:v>
                </c:pt>
                <c:pt idx="61">
                  <c:v>-30</c:v>
                </c:pt>
                <c:pt idx="62">
                  <c:v>-135</c:v>
                </c:pt>
                <c:pt idx="63">
                  <c:v>-75</c:v>
                </c:pt>
                <c:pt idx="64" formatCode="0">
                  <c:v>-110</c:v>
                </c:pt>
                <c:pt idx="65" formatCode="0">
                  <c:v>-735</c:v>
                </c:pt>
                <c:pt idx="66" formatCode="0">
                  <c:v>-645</c:v>
                </c:pt>
                <c:pt idx="67" formatCode="0">
                  <c:v>-105</c:v>
                </c:pt>
                <c:pt idx="68" formatCode="0">
                  <c:v>-410</c:v>
                </c:pt>
                <c:pt idx="69">
                  <c:v>-235</c:v>
                </c:pt>
                <c:pt idx="70">
                  <c:v>0</c:v>
                </c:pt>
                <c:pt idx="71">
                  <c:v>-355</c:v>
                </c:pt>
                <c:pt idx="72">
                  <c:v>-15</c:v>
                </c:pt>
                <c:pt idx="73">
                  <c:v>65</c:v>
                </c:pt>
                <c:pt idx="74">
                  <c:v>135</c:v>
                </c:pt>
                <c:pt idx="75">
                  <c:v>440</c:v>
                </c:pt>
                <c:pt idx="76">
                  <c:v>250</c:v>
                </c:pt>
                <c:pt idx="77">
                  <c:v>155</c:v>
                </c:pt>
                <c:pt idx="78">
                  <c:v>325</c:v>
                </c:pt>
                <c:pt idx="79">
                  <c:v>160</c:v>
                </c:pt>
                <c:pt idx="80">
                  <c:v>120</c:v>
                </c:pt>
                <c:pt idx="81">
                  <c:v>100</c:v>
                </c:pt>
                <c:pt idx="82">
                  <c:v>-115</c:v>
                </c:pt>
                <c:pt idx="83">
                  <c:v>-170</c:v>
                </c:pt>
                <c:pt idx="84">
                  <c:v>105</c:v>
                </c:pt>
                <c:pt idx="85">
                  <c:v>-55</c:v>
                </c:pt>
                <c:pt idx="86">
                  <c:v>0</c:v>
                </c:pt>
                <c:pt idx="87">
                  <c:v>0</c:v>
                </c:pt>
                <c:pt idx="88">
                  <c:v>-45</c:v>
                </c:pt>
                <c:pt idx="89">
                  <c:v>-325</c:v>
                </c:pt>
                <c:pt idx="90">
                  <c:v>-380</c:v>
                </c:pt>
                <c:pt idx="91">
                  <c:v>-265</c:v>
                </c:pt>
                <c:pt idx="92">
                  <c:v>-135</c:v>
                </c:pt>
                <c:pt idx="93">
                  <c:v>140</c:v>
                </c:pt>
                <c:pt idx="94">
                  <c:v>110</c:v>
                </c:pt>
                <c:pt idx="95">
                  <c:v>205</c:v>
                </c:pt>
                <c:pt idx="96">
                  <c:v>340</c:v>
                </c:pt>
                <c:pt idx="97">
                  <c:v>605</c:v>
                </c:pt>
                <c:pt idx="98">
                  <c:v>1170</c:v>
                </c:pt>
                <c:pt idx="99">
                  <c:v>155</c:v>
                </c:pt>
                <c:pt idx="100">
                  <c:v>-75</c:v>
                </c:pt>
                <c:pt idx="101">
                  <c:v>-405</c:v>
                </c:pt>
                <c:pt idx="102">
                  <c:v>-435</c:v>
                </c:pt>
                <c:pt idx="103">
                  <c:v>-450</c:v>
                </c:pt>
                <c:pt idx="104">
                  <c:v>-480</c:v>
                </c:pt>
                <c:pt idx="105">
                  <c:v>-525</c:v>
                </c:pt>
                <c:pt idx="106">
                  <c:v>-350</c:v>
                </c:pt>
                <c:pt idx="107">
                  <c:v>-550</c:v>
                </c:pt>
                <c:pt idx="108">
                  <c:v>225</c:v>
                </c:pt>
                <c:pt idx="109">
                  <c:v>-390</c:v>
                </c:pt>
                <c:pt idx="110">
                  <c:v>-300</c:v>
                </c:pt>
                <c:pt idx="111">
                  <c:v>-600</c:v>
                </c:pt>
                <c:pt idx="112">
                  <c:v>-255</c:v>
                </c:pt>
                <c:pt idx="113">
                  <c:v>-540</c:v>
                </c:pt>
                <c:pt idx="114">
                  <c:v>-595</c:v>
                </c:pt>
                <c:pt idx="115">
                  <c:v>-315</c:v>
                </c:pt>
                <c:pt idx="116">
                  <c:v>-615</c:v>
                </c:pt>
                <c:pt idx="117">
                  <c:v>-25</c:v>
                </c:pt>
                <c:pt idx="118">
                  <c:v>60</c:v>
                </c:pt>
                <c:pt idx="119">
                  <c:v>-590</c:v>
                </c:pt>
                <c:pt idx="120">
                  <c:v>45</c:v>
                </c:pt>
                <c:pt idx="121">
                  <c:v>-345</c:v>
                </c:pt>
                <c:pt idx="122">
                  <c:v>-20</c:v>
                </c:pt>
                <c:pt idx="123">
                  <c:v>-210</c:v>
                </c:pt>
                <c:pt idx="124">
                  <c:v>-105</c:v>
                </c:pt>
                <c:pt idx="125">
                  <c:v>-695</c:v>
                </c:pt>
                <c:pt idx="126">
                  <c:v>-225</c:v>
                </c:pt>
                <c:pt idx="127">
                  <c:v>-280</c:v>
                </c:pt>
                <c:pt idx="128">
                  <c:v>100</c:v>
                </c:pt>
              </c:numCache>
            </c:numRef>
          </c:val>
          <c:extLst>
            <c:ext xmlns:c16="http://schemas.microsoft.com/office/drawing/2014/chart" uri="{C3380CC4-5D6E-409C-BE32-E72D297353CC}">
              <c16:uniqueId val="{00000000-CECA-4D2D-A03B-3EEF0E1C7D3D}"/>
            </c:ext>
          </c:extLst>
        </c:ser>
        <c:dLbls>
          <c:showLegendKey val="0"/>
          <c:showVal val="0"/>
          <c:showCatName val="0"/>
          <c:showSerName val="0"/>
          <c:showPercent val="0"/>
          <c:showBubbleSize val="0"/>
        </c:dLbls>
        <c:gapWidth val="30"/>
        <c:axId val="1839186832"/>
        <c:axId val="1839203696"/>
      </c:barChart>
      <c:lineChart>
        <c:grouping val="standard"/>
        <c:varyColors val="0"/>
        <c:ser>
          <c:idx val="0"/>
          <c:order val="0"/>
          <c:tx>
            <c:strRef>
              <c:f>'Devizni kurs'!$U$2</c:f>
              <c:strCache>
                <c:ptCount val="1"/>
                <c:pt idx="0">
                  <c:v>Просечан девизни курс ЕУР/РСД</c:v>
                </c:pt>
              </c:strCache>
            </c:strRef>
          </c:tx>
          <c:spPr>
            <a:ln w="22225" cap="rnd">
              <a:solidFill>
                <a:srgbClr val="FF0000"/>
              </a:solidFill>
              <a:round/>
            </a:ln>
            <a:effectLst/>
          </c:spPr>
          <c:marker>
            <c:symbol val="none"/>
          </c:marker>
          <c:cat>
            <c:numRef>
              <c:f>'Devizni kurs'!$Q$39:$Q$167</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'Devizni kurs'!$U$39:$U$167</c:f>
              <c:numCache>
                <c:formatCode>0.00</c:formatCode>
                <c:ptCount val="129"/>
                <c:pt idx="0">
                  <c:v>115.50068000000002</c:v>
                </c:pt>
                <c:pt idx="1">
                  <c:v>115.89948421052632</c:v>
                </c:pt>
                <c:pt idx="2">
                  <c:v>115.84343333333334</c:v>
                </c:pt>
                <c:pt idx="3">
                  <c:v>115.5407</c:v>
                </c:pt>
                <c:pt idx="4">
                  <c:v>115.65779999999999</c:v>
                </c:pt>
                <c:pt idx="5">
                  <c:v>115.5341</c:v>
                </c:pt>
                <c:pt idx="6">
                  <c:v>116.22490000000001</c:v>
                </c:pt>
                <c:pt idx="7">
                  <c:v>117.3078</c:v>
                </c:pt>
                <c:pt idx="8">
                  <c:v>118.61799999999999</c:v>
                </c:pt>
                <c:pt idx="9">
                  <c:v>119.3497</c:v>
                </c:pt>
                <c:pt idx="10">
                  <c:v>119.9829</c:v>
                </c:pt>
                <c:pt idx="11">
                  <c:v>121.53</c:v>
                </c:pt>
                <c:pt idx="12">
                  <c:v>122.62</c:v>
                </c:pt>
                <c:pt idx="13">
                  <c:v>121.58</c:v>
                </c:pt>
                <c:pt idx="14">
                  <c:v>120.47</c:v>
                </c:pt>
                <c:pt idx="15">
                  <c:v>120.17</c:v>
                </c:pt>
                <c:pt idx="16">
                  <c:v>120.59</c:v>
                </c:pt>
                <c:pt idx="17">
                  <c:v>120.55517727272726</c:v>
                </c:pt>
                <c:pt idx="18">
                  <c:v>120.21342173913044</c:v>
                </c:pt>
                <c:pt idx="19">
                  <c:v>120.22183333333331</c:v>
                </c:pt>
                <c:pt idx="20">
                  <c:v>120.18703181818181</c:v>
                </c:pt>
                <c:pt idx="21">
                  <c:v>120.07991818181817</c:v>
                </c:pt>
                <c:pt idx="22">
                  <c:v>120.65054000000001</c:v>
                </c:pt>
                <c:pt idx="23">
                  <c:v>121.75174782608696</c:v>
                </c:pt>
                <c:pt idx="24">
                  <c:v>122.54524736842107</c:v>
                </c:pt>
                <c:pt idx="25">
                  <c:v>122.87654736842104</c:v>
                </c:pt>
                <c:pt idx="26">
                  <c:v>123.13206956521738</c:v>
                </c:pt>
                <c:pt idx="27">
                  <c:v>122.80799500000001</c:v>
                </c:pt>
                <c:pt idx="28">
                  <c:v>122.82450500000002</c:v>
                </c:pt>
                <c:pt idx="29">
                  <c:v>123.40000909090909</c:v>
                </c:pt>
                <c:pt idx="30">
                  <c:v>123.34886190476189</c:v>
                </c:pt>
                <c:pt idx="31">
                  <c:v>123.30531739130437</c:v>
                </c:pt>
                <c:pt idx="32">
                  <c:v>123.23121818181816</c:v>
                </c:pt>
                <c:pt idx="33">
                  <c:v>123.17817142857142</c:v>
                </c:pt>
                <c:pt idx="34">
                  <c:v>123.18741904761906</c:v>
                </c:pt>
                <c:pt idx="35">
                  <c:v>123.42</c:v>
                </c:pt>
                <c:pt idx="36">
                  <c:v>123.8</c:v>
                </c:pt>
                <c:pt idx="37">
                  <c:v>123.94</c:v>
                </c:pt>
                <c:pt idx="38">
                  <c:v>123.89</c:v>
                </c:pt>
                <c:pt idx="39">
                  <c:v>123.66</c:v>
                </c:pt>
                <c:pt idx="40">
                  <c:v>123.05</c:v>
                </c:pt>
                <c:pt idx="41">
                  <c:v>122.02</c:v>
                </c:pt>
                <c:pt idx="42">
                  <c:v>120.42</c:v>
                </c:pt>
                <c:pt idx="43">
                  <c:v>119.57</c:v>
                </c:pt>
                <c:pt idx="44">
                  <c:v>119.2957</c:v>
                </c:pt>
                <c:pt idx="45">
                  <c:v>119.2818</c:v>
                </c:pt>
                <c:pt idx="46">
                  <c:v>118.89884545454547</c:v>
                </c:pt>
                <c:pt idx="47">
                  <c:v>119.13943333333332</c:v>
                </c:pt>
                <c:pt idx="48">
                  <c:v>118.61770952380952</c:v>
                </c:pt>
                <c:pt idx="49">
                  <c:v>118.39149999999999</c:v>
                </c:pt>
                <c:pt idx="50">
                  <c:v>118.2688</c:v>
                </c:pt>
                <c:pt idx="51">
                  <c:v>118.19159999999999</c:v>
                </c:pt>
                <c:pt idx="52">
                  <c:v>118.18894761904762</c:v>
                </c:pt>
                <c:pt idx="53">
                  <c:v>118.13484285714287</c:v>
                </c:pt>
                <c:pt idx="54">
                  <c:v>118.04732272727273</c:v>
                </c:pt>
                <c:pt idx="55">
                  <c:v>118.10411304347828</c:v>
                </c:pt>
                <c:pt idx="56">
                  <c:v>118.278565</c:v>
                </c:pt>
                <c:pt idx="57">
                  <c:v>118.43672608695648</c:v>
                </c:pt>
                <c:pt idx="58">
                  <c:v>118.34287619047618</c:v>
                </c:pt>
                <c:pt idx="59">
                  <c:v>118.27724285714282</c:v>
                </c:pt>
                <c:pt idx="60">
                  <c:v>118.41</c:v>
                </c:pt>
                <c:pt idx="61">
                  <c:v>118.24</c:v>
                </c:pt>
                <c:pt idx="62">
                  <c:v>118.04</c:v>
                </c:pt>
                <c:pt idx="63">
                  <c:v>117.99</c:v>
                </c:pt>
                <c:pt idx="64">
                  <c:v>117.96469999999999</c:v>
                </c:pt>
                <c:pt idx="65">
                  <c:v>117.93766999999998</c:v>
                </c:pt>
                <c:pt idx="66">
                  <c:v>117.78449999999999</c:v>
                </c:pt>
                <c:pt idx="67">
                  <c:v>117.777</c:v>
                </c:pt>
                <c:pt idx="68">
                  <c:v>117.5958</c:v>
                </c:pt>
                <c:pt idx="69">
                  <c:v>117.5453</c:v>
                </c:pt>
                <c:pt idx="70">
                  <c:v>117.51315499999998</c:v>
                </c:pt>
                <c:pt idx="71">
                  <c:v>117.54</c:v>
                </c:pt>
                <c:pt idx="72">
                  <c:v>117.5643</c:v>
                </c:pt>
                <c:pt idx="73">
                  <c:v>117.57170000000001</c:v>
                </c:pt>
                <c:pt idx="74">
                  <c:v>117.5625</c:v>
                </c:pt>
                <c:pt idx="75">
                  <c:v>117.5694</c:v>
                </c:pt>
                <c:pt idx="76">
                  <c:v>117.5913</c:v>
                </c:pt>
                <c:pt idx="77">
                  <c:v>117.5852</c:v>
                </c:pt>
                <c:pt idx="78">
                  <c:v>117.58579130434782</c:v>
                </c:pt>
                <c:pt idx="79">
                  <c:v>117.58645238095237</c:v>
                </c:pt>
                <c:pt idx="80">
                  <c:v>117.58302727272726</c:v>
                </c:pt>
                <c:pt idx="81" formatCode="General">
                  <c:v>117.58</c:v>
                </c:pt>
                <c:pt idx="82">
                  <c:v>117.57380000000001</c:v>
                </c:pt>
                <c:pt idx="83">
                  <c:v>117.57769999999999</c:v>
                </c:pt>
                <c:pt idx="84">
                  <c:v>117.58203684210527</c:v>
                </c:pt>
                <c:pt idx="85">
                  <c:v>117.57634999999998</c:v>
                </c:pt>
                <c:pt idx="86">
                  <c:v>117.57657826086957</c:v>
                </c:pt>
                <c:pt idx="87">
                  <c:v>117.57283333333332</c:v>
                </c:pt>
                <c:pt idx="88">
                  <c:v>117.57888421052631</c:v>
                </c:pt>
                <c:pt idx="89">
                  <c:v>117.57026363636363</c:v>
                </c:pt>
                <c:pt idx="90">
                  <c:v>117.56288181818182</c:v>
                </c:pt>
                <c:pt idx="91">
                  <c:v>117.56745909090908</c:v>
                </c:pt>
                <c:pt idx="92">
                  <c:v>117.5668</c:v>
                </c:pt>
                <c:pt idx="93">
                  <c:v>117.56744285714285</c:v>
                </c:pt>
                <c:pt idx="94">
                  <c:v>117.58056666666668</c:v>
                </c:pt>
                <c:pt idx="95">
                  <c:v>117.58005217391303</c:v>
                </c:pt>
                <c:pt idx="96">
                  <c:v>117.58427894736842</c:v>
                </c:pt>
                <c:pt idx="97">
                  <c:v>117.59068333333335</c:v>
                </c:pt>
                <c:pt idx="98">
                  <c:v>117.67664782608693</c:v>
                </c:pt>
                <c:pt idx="99">
                  <c:v>117.72751578947369</c:v>
                </c:pt>
                <c:pt idx="100">
                  <c:v>117.55720999999998</c:v>
                </c:pt>
                <c:pt idx="101">
                  <c:v>117.42971363636362</c:v>
                </c:pt>
                <c:pt idx="102">
                  <c:v>117.39375714285714</c:v>
                </c:pt>
                <c:pt idx="103">
                  <c:v>117.35496086956519</c:v>
                </c:pt>
                <c:pt idx="104">
                  <c:v>117.32463636363637</c:v>
                </c:pt>
                <c:pt idx="105">
                  <c:v>117.31286666666665</c:v>
                </c:pt>
                <c:pt idx="106">
                  <c:v>117.30856666666664</c:v>
                </c:pt>
                <c:pt idx="107">
                  <c:v>117.30965454545456</c:v>
                </c:pt>
                <c:pt idx="108">
                  <c:v>117.36350499999999</c:v>
                </c:pt>
                <c:pt idx="109">
                  <c:v>117.32664444444445</c:v>
                </c:pt>
                <c:pt idx="110">
                  <c:v>117.31440869565216</c:v>
                </c:pt>
                <c:pt idx="111">
                  <c:v>117.2824</c:v>
                </c:pt>
                <c:pt idx="112">
                  <c:v>117.2831</c:v>
                </c:pt>
                <c:pt idx="113">
                  <c:v>117.2731</c:v>
                </c:pt>
                <c:pt idx="114">
                  <c:v>117.2269</c:v>
                </c:pt>
                <c:pt idx="115">
                  <c:v>117.2139</c:v>
                </c:pt>
                <c:pt idx="116">
                  <c:v>117.20146666666668</c:v>
                </c:pt>
                <c:pt idx="117">
                  <c:v>117.1851590909091</c:v>
                </c:pt>
                <c:pt idx="118">
                  <c:v>117.19343181818181</c:v>
                </c:pt>
                <c:pt idx="119">
                  <c:v>117.17399523809523</c:v>
                </c:pt>
                <c:pt idx="120">
                  <c:v>117.21023333333335</c:v>
                </c:pt>
                <c:pt idx="121">
                  <c:v>117.17954210526314</c:v>
                </c:pt>
                <c:pt idx="122">
                  <c:v>117.19119047619047</c:v>
                </c:pt>
                <c:pt idx="123">
                  <c:v>117.13836363636364</c:v>
                </c:pt>
                <c:pt idx="124">
                  <c:v>117.11607368421052</c:v>
                </c:pt>
                <c:pt idx="125">
                  <c:v>117.07152000000001</c:v>
                </c:pt>
                <c:pt idx="126">
                  <c:v>117.05069130434786</c:v>
                </c:pt>
                <c:pt idx="127">
                  <c:v>117.03658181818183</c:v>
                </c:pt>
                <c:pt idx="128">
                  <c:v>117.04607619047617</c:v>
                </c:pt>
              </c:numCache>
            </c:numRef>
          </c:val>
          <c:smooth val="0"/>
          <c:extLst>
            <c:ext xmlns:c16="http://schemas.microsoft.com/office/drawing/2014/chart" uri="{C3380CC4-5D6E-409C-BE32-E72D297353CC}">
              <c16:uniqueId val="{00000001-CECA-4D2D-A03B-3EEF0E1C7D3D}"/>
            </c:ext>
          </c:extLst>
        </c:ser>
        <c:ser>
          <c:idx val="2"/>
          <c:order val="2"/>
          <c:tx>
            <c:strRef>
              <c:f>'Devizni kurs'!$W$2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8575676036203562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ECA-4D2D-A03B-3EEF0E1C7D3D}"/>
                </c:ext>
              </c:extLst>
            </c:dLbl>
            <c:dLbl>
              <c:idx val="12"/>
              <c:layout>
                <c:manualLayout>
                  <c:x val="-2.3980625329626394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ECA-4D2D-A03B-3EEF0E1C7D3D}"/>
                </c:ext>
              </c:extLst>
            </c:dLbl>
            <c:dLbl>
              <c:idx val="24"/>
              <c:layout>
                <c:manualLayout>
                  <c:x val="-2.39766271048381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ECA-4D2D-A03B-3EEF0E1C7D3D}"/>
                </c:ext>
              </c:extLst>
            </c:dLbl>
            <c:dLbl>
              <c:idx val="36"/>
              <c:layout>
                <c:manualLayout>
                  <c:x val="-2.3982547555871456E-2"/>
                  <c:y val="3.838557045024561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ECA-4D2D-A03B-3EEF0E1C7D3D}"/>
                </c:ext>
              </c:extLst>
            </c:dLbl>
            <c:dLbl>
              <c:idx val="48"/>
              <c:layout>
                <c:manualLayout>
                  <c:x val="-2.475846178842048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ECA-4D2D-A03B-3EEF0E1C7D3D}"/>
                </c:ext>
              </c:extLst>
            </c:dLbl>
            <c:dLbl>
              <c:idx val="60"/>
              <c:layout>
                <c:manualLayout>
                  <c:x val="-2.5432706328375621E-2"/>
                  <c:y val="3.838550497195249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ECA-4D2D-A03B-3EEF0E1C7D3D}"/>
                </c:ext>
              </c:extLst>
            </c:dLbl>
            <c:dLbl>
              <c:idx val="72"/>
              <c:layout>
                <c:manualLayout>
                  <c:x val="-2.5972951297754447E-2"/>
                  <c:y val="3.790442361315454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ECA-4D2D-A03B-3EEF0E1C7D3D}"/>
                </c:ext>
              </c:extLst>
            </c:dLbl>
            <c:dLbl>
              <c:idx val="84"/>
              <c:layout>
                <c:manualLayout>
                  <c:x val="-2.6866433362496354E-2"/>
                  <c:y val="3.75296005156444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ECA-4D2D-A03B-3EEF0E1C7D3D}"/>
                </c:ext>
              </c:extLst>
            </c:dLbl>
            <c:dLbl>
              <c:idx val="96"/>
              <c:layout>
                <c:manualLayout>
                  <c:x val="-3.1481481481481652E-2"/>
                  <c:y val="3.7949962867992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ECA-4D2D-A03B-3EEF0E1C7D3D}"/>
                </c:ext>
              </c:extLst>
            </c:dLbl>
            <c:dLbl>
              <c:idx val="108"/>
              <c:layout>
                <c:manualLayout>
                  <c:x val="-3.6005831592591069E-2"/>
                  <c:y val="3.828911742352270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CECA-4D2D-A03B-3EEF0E1C7D3D}"/>
                </c:ext>
              </c:extLst>
            </c:dLbl>
            <c:dLbl>
              <c:idx val="120"/>
              <c:layout>
                <c:manualLayout>
                  <c:x val="-3.1481481481481478E-2"/>
                  <c:y val="3.796305835602325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CECA-4D2D-A03B-3EEF0E1C7D3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'Devizni kurs'!$Q$39:$Q$167</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'Devizni kurs'!$W$39:$W$167</c:f>
              <c:numCache>
                <c:formatCode>General</c:formatCode>
                <c:ptCount val="129"/>
                <c:pt idx="0">
                  <c:v>85</c:v>
                </c:pt>
                <c:pt idx="12">
                  <c:v>85</c:v>
                </c:pt>
                <c:pt idx="24">
                  <c:v>85</c:v>
                </c:pt>
                <c:pt idx="36">
                  <c:v>85</c:v>
                </c:pt>
                <c:pt idx="48">
                  <c:v>85</c:v>
                </c:pt>
                <c:pt idx="60">
                  <c:v>85</c:v>
                </c:pt>
                <c:pt idx="72">
                  <c:v>85</c:v>
                </c:pt>
                <c:pt idx="84">
                  <c:v>85</c:v>
                </c:pt>
                <c:pt idx="96">
                  <c:v>85</c:v>
                </c:pt>
                <c:pt idx="108">
                  <c:v>85</c:v>
                </c:pt>
                <c:pt idx="120">
                  <c:v>85</c:v>
                </c:pt>
              </c:numCache>
            </c:numRef>
          </c:val>
          <c:smooth val="0"/>
          <c:extLst>
            <c:ext xmlns:c16="http://schemas.microsoft.com/office/drawing/2014/chart" uri="{C3380CC4-5D6E-409C-BE32-E72D297353CC}">
              <c16:uniqueId val="{0000000C-CECA-4D2D-A03B-3EEF0E1C7D3D}"/>
            </c:ext>
          </c:extLst>
        </c:ser>
        <c:dLbls>
          <c:showLegendKey val="0"/>
          <c:showVal val="0"/>
          <c:showCatName val="0"/>
          <c:showSerName val="0"/>
          <c:showPercent val="0"/>
          <c:showBubbleSize val="0"/>
        </c:dLbls>
        <c:marker val="1"/>
        <c:smooth val="0"/>
        <c:axId val="1839186288"/>
        <c:axId val="1839187920"/>
      </c:lineChart>
      <c:catAx>
        <c:axId val="1839186288"/>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7920"/>
        <c:crosses val="autoZero"/>
        <c:auto val="0"/>
        <c:lblAlgn val="ctr"/>
        <c:lblOffset val="100"/>
        <c:tickLblSkip val="12"/>
        <c:noMultiLvlLbl val="1"/>
      </c:catAx>
      <c:valAx>
        <c:axId val="1839187920"/>
        <c:scaling>
          <c:orientation val="minMax"/>
          <c:max val="140"/>
          <c:min val="85"/>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288"/>
        <c:crosses val="autoZero"/>
        <c:crossBetween val="midCat"/>
        <c:majorUnit val="10"/>
      </c:valAx>
      <c:valAx>
        <c:axId val="1839203696"/>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832"/>
        <c:crosses val="max"/>
        <c:crossBetween val="between"/>
        <c:majorUnit val="200"/>
      </c:valAx>
      <c:dateAx>
        <c:axId val="1839186832"/>
        <c:scaling>
          <c:orientation val="minMax"/>
        </c:scaling>
        <c:delete val="1"/>
        <c:axPos val="b"/>
        <c:numFmt formatCode="yyyy" sourceLinked="1"/>
        <c:majorTickMark val="out"/>
        <c:minorTickMark val="none"/>
        <c:tickLblPos val="nextTo"/>
        <c:crossAx val="1839203696"/>
        <c:crosses val="autoZero"/>
        <c:auto val="1"/>
        <c:lblOffset val="100"/>
        <c:baseTimeUnit val="months"/>
      </c:dateAx>
      <c:spPr>
        <a:noFill/>
        <a:ln>
          <a:noFill/>
        </a:ln>
        <a:effectLst/>
      </c:spPr>
    </c:plotArea>
    <c:legend>
      <c:legendPos val="b"/>
      <c:legendEntry>
        <c:idx val="2"/>
        <c:delete val="1"/>
      </c:legendEntry>
      <c:layout>
        <c:manualLayout>
          <c:xMode val="edge"/>
          <c:yMode val="edge"/>
          <c:x val="0"/>
          <c:y val="0.83348870056497193"/>
          <c:w val="0.99854002624671911"/>
          <c:h val="0.154159604519774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4.9388888888888892E-2"/>
          <c:w val="0.85158573928258963"/>
          <c:h val="0.68513222222222225"/>
        </c:manualLayout>
      </c:layout>
      <c:barChart>
        <c:barDir val="col"/>
        <c:grouping val="clustered"/>
        <c:varyColors val="0"/>
        <c:ser>
          <c:idx val="1"/>
          <c:order val="1"/>
          <c:tx>
            <c:strRef>
              <c:f>'Stednja i rezerve'!$V$2</c:f>
              <c:strCache>
                <c:ptCount val="1"/>
                <c:pt idx="0">
                  <c:v>Девизне резерве НБС </c:v>
                </c:pt>
              </c:strCache>
            </c:strRef>
          </c:tx>
          <c:spPr>
            <a:solidFill>
              <a:srgbClr val="9ED1E6"/>
            </a:solidFill>
            <a:ln>
              <a:noFill/>
            </a:ln>
            <a:effectLst/>
          </c:spPr>
          <c:invertIfNegative val="0"/>
          <c:cat>
            <c:numRef>
              <c:f>'Stednja i rezerve'!$Q$27:$Q$155</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'Stednja i rezerve'!$V$27:$V$155</c:f>
              <c:numCache>
                <c:formatCode>0,000</c:formatCode>
                <c:ptCount val="129"/>
                <c:pt idx="0">
                  <c:v>11.125999999999999</c:v>
                </c:pt>
                <c:pt idx="1">
                  <c:v>10.832000000000001</c:v>
                </c:pt>
                <c:pt idx="2">
                  <c:v>10.428000000000001</c:v>
                </c:pt>
                <c:pt idx="3">
                  <c:v>10.448</c:v>
                </c:pt>
                <c:pt idx="4">
                  <c:v>10.37</c:v>
                </c:pt>
                <c:pt idx="5">
                  <c:v>10.125</c:v>
                </c:pt>
                <c:pt idx="6">
                  <c:v>10.122999999999999</c:v>
                </c:pt>
                <c:pt idx="7">
                  <c:v>10.949</c:v>
                </c:pt>
                <c:pt idx="8">
                  <c:v>10.878</c:v>
                </c:pt>
                <c:pt idx="9">
                  <c:v>10.714</c:v>
                </c:pt>
                <c:pt idx="10">
                  <c:v>10.271000000000001</c:v>
                </c:pt>
                <c:pt idx="11">
                  <c:v>9.907</c:v>
                </c:pt>
                <c:pt idx="12">
                  <c:v>10.048999999999999</c:v>
                </c:pt>
                <c:pt idx="13">
                  <c:v>10.313000000000001</c:v>
                </c:pt>
                <c:pt idx="14">
                  <c:v>10.515000000000001</c:v>
                </c:pt>
                <c:pt idx="15">
                  <c:v>10.534000000000001</c:v>
                </c:pt>
                <c:pt idx="16">
                  <c:v>10.545</c:v>
                </c:pt>
                <c:pt idx="17">
                  <c:v>10.292999999999999</c:v>
                </c:pt>
                <c:pt idx="18">
                  <c:v>10.631</c:v>
                </c:pt>
                <c:pt idx="19">
                  <c:v>10.61</c:v>
                </c:pt>
                <c:pt idx="20">
                  <c:v>10.510999999999999</c:v>
                </c:pt>
                <c:pt idx="21">
                  <c:v>10.673999999999999</c:v>
                </c:pt>
                <c:pt idx="22">
                  <c:v>10.746</c:v>
                </c:pt>
                <c:pt idx="23">
                  <c:v>10.378</c:v>
                </c:pt>
                <c:pt idx="24">
                  <c:v>10.1045</c:v>
                </c:pt>
                <c:pt idx="25">
                  <c:v>9.8507999999999996</c:v>
                </c:pt>
                <c:pt idx="26">
                  <c:v>9.5008999999999997</c:v>
                </c:pt>
                <c:pt idx="27">
                  <c:v>9.3379999999999992</c:v>
                </c:pt>
                <c:pt idx="28">
                  <c:v>9.2639999999999993</c:v>
                </c:pt>
                <c:pt idx="29">
                  <c:v>9.2910000000000004</c:v>
                </c:pt>
                <c:pt idx="30">
                  <c:v>9.6059999999999999</c:v>
                </c:pt>
                <c:pt idx="31">
                  <c:v>9.5839999999999996</c:v>
                </c:pt>
                <c:pt idx="32">
                  <c:v>9.5519999999999996</c:v>
                </c:pt>
                <c:pt idx="33">
                  <c:v>9.7070000000000007</c:v>
                </c:pt>
                <c:pt idx="34">
                  <c:v>9.8179999999999996</c:v>
                </c:pt>
                <c:pt idx="35">
                  <c:v>10.205</c:v>
                </c:pt>
                <c:pt idx="36">
                  <c:v>9.8539999999999992</c:v>
                </c:pt>
                <c:pt idx="37">
                  <c:v>9.7590000000000003</c:v>
                </c:pt>
                <c:pt idx="38">
                  <c:v>9.73</c:v>
                </c:pt>
                <c:pt idx="39">
                  <c:v>9.4090000000000007</c:v>
                </c:pt>
                <c:pt idx="40">
                  <c:v>9.4920000000000009</c:v>
                </c:pt>
                <c:pt idx="41">
                  <c:v>9.67</c:v>
                </c:pt>
                <c:pt idx="42">
                  <c:v>9.9480000000000004</c:v>
                </c:pt>
                <c:pt idx="43">
                  <c:v>10.278</c:v>
                </c:pt>
                <c:pt idx="44">
                  <c:v>10.635999999999999</c:v>
                </c:pt>
                <c:pt idx="45">
                  <c:v>10.76</c:v>
                </c:pt>
                <c:pt idx="46">
                  <c:v>10.105</c:v>
                </c:pt>
                <c:pt idx="47">
                  <c:v>9.9617000000000004</c:v>
                </c:pt>
                <c:pt idx="48">
                  <c:v>9.6477000000000004</c:v>
                </c:pt>
                <c:pt idx="49">
                  <c:v>9.7910000000000004</c:v>
                </c:pt>
                <c:pt idx="50">
                  <c:v>10.234999999999999</c:v>
                </c:pt>
                <c:pt idx="51">
                  <c:v>10.43</c:v>
                </c:pt>
                <c:pt idx="52">
                  <c:v>10.882999999999999</c:v>
                </c:pt>
                <c:pt idx="53">
                  <c:v>11.103999999999999</c:v>
                </c:pt>
                <c:pt idx="54">
                  <c:v>11.403</c:v>
                </c:pt>
                <c:pt idx="55">
                  <c:v>11.326000000000001</c:v>
                </c:pt>
                <c:pt idx="56">
                  <c:v>11.17249</c:v>
                </c:pt>
                <c:pt idx="57">
                  <c:v>11.5504</c:v>
                </c:pt>
                <c:pt idx="58">
                  <c:v>11.627000000000001</c:v>
                </c:pt>
                <c:pt idx="59">
                  <c:v>11.262</c:v>
                </c:pt>
                <c:pt idx="60">
                  <c:v>11.346</c:v>
                </c:pt>
                <c:pt idx="61">
                  <c:v>11.398</c:v>
                </c:pt>
                <c:pt idx="62">
                  <c:v>11.44</c:v>
                </c:pt>
                <c:pt idx="63">
                  <c:v>11.336</c:v>
                </c:pt>
                <c:pt idx="64">
                  <c:v>11.656000000000001</c:v>
                </c:pt>
                <c:pt idx="65">
                  <c:v>12.146000000000001</c:v>
                </c:pt>
                <c:pt idx="66">
                  <c:v>12.757999999999999</c:v>
                </c:pt>
                <c:pt idx="67">
                  <c:v>13.1</c:v>
                </c:pt>
                <c:pt idx="68">
                  <c:v>13.295</c:v>
                </c:pt>
                <c:pt idx="69">
                  <c:v>13.499000000000001</c:v>
                </c:pt>
                <c:pt idx="70">
                  <c:v>13.464700000000001</c:v>
                </c:pt>
                <c:pt idx="71">
                  <c:v>13.378500000000001</c:v>
                </c:pt>
                <c:pt idx="72">
                  <c:v>13.694000000000001</c:v>
                </c:pt>
                <c:pt idx="73">
                  <c:v>13.459</c:v>
                </c:pt>
                <c:pt idx="74">
                  <c:v>13.115</c:v>
                </c:pt>
                <c:pt idx="75">
                  <c:v>12.792999999999999</c:v>
                </c:pt>
                <c:pt idx="76">
                  <c:v>14.345000000000001</c:v>
                </c:pt>
                <c:pt idx="77">
                  <c:v>13.956</c:v>
                </c:pt>
                <c:pt idx="78">
                  <c:v>13.521000000000001</c:v>
                </c:pt>
                <c:pt idx="79">
                  <c:v>13.369</c:v>
                </c:pt>
                <c:pt idx="80">
                  <c:v>13.03</c:v>
                </c:pt>
                <c:pt idx="81">
                  <c:v>13.05</c:v>
                </c:pt>
                <c:pt idx="82" formatCode="General">
                  <c:v>12.843999999999999</c:v>
                </c:pt>
                <c:pt idx="83" formatCode="General">
                  <c:v>13.492000000000001</c:v>
                </c:pt>
                <c:pt idx="84">
                  <c:v>13.602928</c:v>
                </c:pt>
                <c:pt idx="85">
                  <c:v>13.4227504</c:v>
                </c:pt>
                <c:pt idx="86">
                  <c:v>14.275499999999999</c:v>
                </c:pt>
                <c:pt idx="87">
                  <c:v>13.997441199999999</c:v>
                </c:pt>
                <c:pt idx="88">
                  <c:v>14.181562900000001</c:v>
                </c:pt>
                <c:pt idx="89">
                  <c:v>14.091799999999999</c:v>
                </c:pt>
                <c:pt idx="90">
                  <c:v>14.5802736</c:v>
                </c:pt>
                <c:pt idx="91">
                  <c:v>15.585386699999999</c:v>
                </c:pt>
                <c:pt idx="92">
                  <c:v>16.802540499999999</c:v>
                </c:pt>
                <c:pt idx="93">
                  <c:v>16.277799999999999</c:v>
                </c:pt>
                <c:pt idx="94">
                  <c:v>16.453099999999999</c:v>
                </c:pt>
                <c:pt idx="95">
                  <c:v>16.454510200000001</c:v>
                </c:pt>
                <c:pt idx="96">
                  <c:v>16.110843299999999</c:v>
                </c:pt>
                <c:pt idx="97">
                  <c:v>15.561500000000001</c:v>
                </c:pt>
                <c:pt idx="98">
                  <c:v>14.296276199999999</c:v>
                </c:pt>
                <c:pt idx="99">
                  <c:v>14.1136</c:v>
                </c:pt>
                <c:pt idx="100">
                  <c:v>13.903600000000001</c:v>
                </c:pt>
                <c:pt idx="101">
                  <c:v>14.775700000000001</c:v>
                </c:pt>
                <c:pt idx="102">
                  <c:v>15.0228</c:v>
                </c:pt>
                <c:pt idx="103">
                  <c:v>15.8756</c:v>
                </c:pt>
                <c:pt idx="104">
                  <c:v>16.502299999999998</c:v>
                </c:pt>
                <c:pt idx="105" formatCode="General">
                  <c:v>16.870999999999999</c:v>
                </c:pt>
                <c:pt idx="106" formatCode="General">
                  <c:v>17.266999999999999</c:v>
                </c:pt>
                <c:pt idx="107" formatCode="General">
                  <c:v>19.416</c:v>
                </c:pt>
                <c:pt idx="108">
                  <c:v>20.913319099999999</c:v>
                </c:pt>
                <c:pt idx="109">
                  <c:v>21.196145100000003</c:v>
                </c:pt>
                <c:pt idx="110">
                  <c:v>21.380610300000001</c:v>
                </c:pt>
                <c:pt idx="111">
                  <c:v>21.556726999999999</c:v>
                </c:pt>
                <c:pt idx="112">
                  <c:v>22.088187399999999</c:v>
                </c:pt>
                <c:pt idx="113">
                  <c:v>22.58493</c:v>
                </c:pt>
                <c:pt idx="114">
                  <c:v>23.134196199999998</c:v>
                </c:pt>
                <c:pt idx="115">
                  <c:v>23.623699999999999</c:v>
                </c:pt>
                <c:pt idx="116">
                  <c:v>24.182471699999997</c:v>
                </c:pt>
                <c:pt idx="117">
                  <c:v>24.388775200000001</c:v>
                </c:pt>
                <c:pt idx="118">
                  <c:v>24.1630912</c:v>
                </c:pt>
                <c:pt idx="119">
                  <c:v>24.909095799999999</c:v>
                </c:pt>
                <c:pt idx="120">
                  <c:v>25.036858199999998</c:v>
                </c:pt>
                <c:pt idx="121">
                  <c:v>25.031424999999999</c:v>
                </c:pt>
                <c:pt idx="122">
                  <c:v>24.942164200000001</c:v>
                </c:pt>
                <c:pt idx="123">
                  <c:v>25.129200000000001</c:v>
                </c:pt>
                <c:pt idx="124">
                  <c:v>25.157084399999999</c:v>
                </c:pt>
                <c:pt idx="125">
                  <c:v>27.506563999999997</c:v>
                </c:pt>
                <c:pt idx="126">
                  <c:v>28.113286899999999</c:v>
                </c:pt>
                <c:pt idx="127">
                  <c:v>28.225012599999999</c:v>
                </c:pt>
                <c:pt idx="128">
                  <c:v>28.279699999999998</c:v>
                </c:pt>
              </c:numCache>
            </c:numRef>
          </c:val>
          <c:extLst>
            <c:ext xmlns:c16="http://schemas.microsoft.com/office/drawing/2014/chart" uri="{C3380CC4-5D6E-409C-BE32-E72D297353CC}">
              <c16:uniqueId val="{00000000-0BD0-41D4-8B5D-02EE2B997777}"/>
            </c:ext>
          </c:extLst>
        </c:ser>
        <c:dLbls>
          <c:showLegendKey val="0"/>
          <c:showVal val="0"/>
          <c:showCatName val="0"/>
          <c:showSerName val="0"/>
          <c:showPercent val="0"/>
          <c:showBubbleSize val="0"/>
        </c:dLbls>
        <c:gapWidth val="100"/>
        <c:axId val="2067915440"/>
        <c:axId val="2067938832"/>
      </c:barChart>
      <c:lineChart>
        <c:grouping val="standard"/>
        <c:varyColors val="0"/>
        <c:ser>
          <c:idx val="0"/>
          <c:order val="0"/>
          <c:tx>
            <c:strRef>
              <c:f>'Stednja i rezerve'!$U$2</c:f>
              <c:strCache>
                <c:ptCount val="1"/>
                <c:pt idx="0">
                  <c:v>Девизна штедња становништва</c:v>
                </c:pt>
              </c:strCache>
            </c:strRef>
          </c:tx>
          <c:spPr>
            <a:ln w="22225" cap="rnd">
              <a:solidFill>
                <a:srgbClr val="FF0000"/>
              </a:solidFill>
              <a:round/>
            </a:ln>
            <a:effectLst/>
          </c:spPr>
          <c:marker>
            <c:symbol val="none"/>
          </c:marker>
          <c:cat>
            <c:numRef>
              <c:f>'Stednja i rezerve'!$Q$27:$Q$155</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'Stednja i rezerve'!$U$27:$U$155</c:f>
              <c:numCache>
                <c:formatCode>0,000</c:formatCode>
                <c:ptCount val="129"/>
                <c:pt idx="0">
                  <c:v>8.3740000000000006</c:v>
                </c:pt>
                <c:pt idx="1">
                  <c:v>8.4179999999999993</c:v>
                </c:pt>
                <c:pt idx="2">
                  <c:v>8.4039999999999999</c:v>
                </c:pt>
                <c:pt idx="3">
                  <c:v>8.4369999999999994</c:v>
                </c:pt>
                <c:pt idx="4">
                  <c:v>8.4329999999999998</c:v>
                </c:pt>
                <c:pt idx="5">
                  <c:v>8.4860000000000007</c:v>
                </c:pt>
                <c:pt idx="6">
                  <c:v>8.4960000000000004</c:v>
                </c:pt>
                <c:pt idx="7">
                  <c:v>8.4890000000000008</c:v>
                </c:pt>
                <c:pt idx="8">
                  <c:v>8.4890000000000008</c:v>
                </c:pt>
                <c:pt idx="9">
                  <c:v>8.5120000000000005</c:v>
                </c:pt>
                <c:pt idx="10">
                  <c:v>8.4830000000000005</c:v>
                </c:pt>
                <c:pt idx="11">
                  <c:v>8.5250000000000004</c:v>
                </c:pt>
                <c:pt idx="12">
                  <c:v>8.6050000000000004</c:v>
                </c:pt>
                <c:pt idx="13">
                  <c:v>8.61</c:v>
                </c:pt>
                <c:pt idx="14">
                  <c:v>8.6419999999999995</c:v>
                </c:pt>
                <c:pt idx="15">
                  <c:v>8.6389999999999993</c:v>
                </c:pt>
                <c:pt idx="16">
                  <c:v>8.6349999999999998</c:v>
                </c:pt>
                <c:pt idx="17">
                  <c:v>8.67</c:v>
                </c:pt>
                <c:pt idx="18">
                  <c:v>8.6210000000000004</c:v>
                </c:pt>
                <c:pt idx="19">
                  <c:v>8.6050000000000004</c:v>
                </c:pt>
                <c:pt idx="20">
                  <c:v>8.59</c:v>
                </c:pt>
                <c:pt idx="21">
                  <c:v>8.6039999999999992</c:v>
                </c:pt>
                <c:pt idx="22">
                  <c:v>8.5969999999999995</c:v>
                </c:pt>
                <c:pt idx="23">
                  <c:v>8.6289999999999996</c:v>
                </c:pt>
                <c:pt idx="24">
                  <c:v>8.6264760000000003</c:v>
                </c:pt>
                <c:pt idx="25">
                  <c:v>8.636355</c:v>
                </c:pt>
                <c:pt idx="26">
                  <c:v>8.6437650000000001</c:v>
                </c:pt>
                <c:pt idx="27">
                  <c:v>8.6690000000000005</c:v>
                </c:pt>
                <c:pt idx="28">
                  <c:v>8.7550000000000008</c:v>
                </c:pt>
                <c:pt idx="29">
                  <c:v>8.7959999999999994</c:v>
                </c:pt>
                <c:pt idx="30">
                  <c:v>8.8219999999999992</c:v>
                </c:pt>
                <c:pt idx="31">
                  <c:v>8.8309999999999995</c:v>
                </c:pt>
                <c:pt idx="32">
                  <c:v>8.843</c:v>
                </c:pt>
                <c:pt idx="33">
                  <c:v>8.8960000000000008</c:v>
                </c:pt>
                <c:pt idx="34">
                  <c:v>8.9149999999999991</c:v>
                </c:pt>
                <c:pt idx="35">
                  <c:v>8.9870000000000001</c:v>
                </c:pt>
                <c:pt idx="36">
                  <c:v>9.0310000000000006</c:v>
                </c:pt>
                <c:pt idx="37">
                  <c:v>9.0555649999999996</c:v>
                </c:pt>
                <c:pt idx="38">
                  <c:v>9.0842139999999993</c:v>
                </c:pt>
                <c:pt idx="39">
                  <c:v>9.1143780000000003</c:v>
                </c:pt>
                <c:pt idx="40">
                  <c:v>9.1059999999999999</c:v>
                </c:pt>
                <c:pt idx="41">
                  <c:v>9.1370000000000005</c:v>
                </c:pt>
                <c:pt idx="42">
                  <c:v>9.1780000000000008</c:v>
                </c:pt>
                <c:pt idx="43">
                  <c:v>9.2170000000000005</c:v>
                </c:pt>
                <c:pt idx="44">
                  <c:v>9.2629999999999999</c:v>
                </c:pt>
                <c:pt idx="45">
                  <c:v>9.2880000000000003</c:v>
                </c:pt>
                <c:pt idx="46">
                  <c:v>9.298</c:v>
                </c:pt>
                <c:pt idx="47">
                  <c:v>9.373151</c:v>
                </c:pt>
                <c:pt idx="48">
                  <c:v>9.4209999999999994</c:v>
                </c:pt>
                <c:pt idx="49">
                  <c:v>9.5150000000000006</c:v>
                </c:pt>
                <c:pt idx="50">
                  <c:v>9.5660000000000007</c:v>
                </c:pt>
                <c:pt idx="51">
                  <c:v>9.5939999999999994</c:v>
                </c:pt>
                <c:pt idx="52">
                  <c:v>9.6340000000000003</c:v>
                </c:pt>
                <c:pt idx="53">
                  <c:v>9.6869999999999994</c:v>
                </c:pt>
                <c:pt idx="54">
                  <c:v>9.718</c:v>
                </c:pt>
                <c:pt idx="55">
                  <c:v>9.7629999999999999</c:v>
                </c:pt>
                <c:pt idx="56">
                  <c:v>9.7824939999999998</c:v>
                </c:pt>
                <c:pt idx="57">
                  <c:v>9.8469999999999995</c:v>
                </c:pt>
                <c:pt idx="58">
                  <c:v>9.875</c:v>
                </c:pt>
                <c:pt idx="59">
                  <c:v>9.9550000000000001</c:v>
                </c:pt>
                <c:pt idx="60">
                  <c:v>10.105</c:v>
                </c:pt>
                <c:pt idx="61">
                  <c:v>10.167</c:v>
                </c:pt>
                <c:pt idx="62">
                  <c:v>10.217000000000001</c:v>
                </c:pt>
                <c:pt idx="63">
                  <c:v>10.295999999999999</c:v>
                </c:pt>
                <c:pt idx="64">
                  <c:v>10.340999999999999</c:v>
                </c:pt>
                <c:pt idx="65">
                  <c:v>10.391</c:v>
                </c:pt>
                <c:pt idx="66">
                  <c:v>10.474</c:v>
                </c:pt>
                <c:pt idx="67">
                  <c:v>10.547000000000001</c:v>
                </c:pt>
                <c:pt idx="68">
                  <c:v>10.612</c:v>
                </c:pt>
                <c:pt idx="69">
                  <c:v>10.661</c:v>
                </c:pt>
                <c:pt idx="70">
                  <c:v>10.72</c:v>
                </c:pt>
                <c:pt idx="71">
                  <c:v>10.804</c:v>
                </c:pt>
                <c:pt idx="72">
                  <c:v>10.941129999999999</c:v>
                </c:pt>
                <c:pt idx="73">
                  <c:v>11.007695</c:v>
                </c:pt>
                <c:pt idx="74">
                  <c:v>10.819725</c:v>
                </c:pt>
                <c:pt idx="75">
                  <c:v>10.889227</c:v>
                </c:pt>
                <c:pt idx="76">
                  <c:v>10.915190000000001</c:v>
                </c:pt>
                <c:pt idx="77">
                  <c:v>10.987965000000001</c:v>
                </c:pt>
                <c:pt idx="78">
                  <c:v>10.998704</c:v>
                </c:pt>
                <c:pt idx="79">
                  <c:v>11.069706</c:v>
                </c:pt>
                <c:pt idx="80">
                  <c:v>11.155711999999999</c:v>
                </c:pt>
                <c:pt idx="81" formatCode="General">
                  <c:v>11.256</c:v>
                </c:pt>
                <c:pt idx="82" formatCode="General">
                  <c:v>11.291</c:v>
                </c:pt>
                <c:pt idx="83" formatCode="General">
                  <c:v>11.436</c:v>
                </c:pt>
                <c:pt idx="84" formatCode="General">
                  <c:v>11.586</c:v>
                </c:pt>
                <c:pt idx="85" formatCode="General">
                  <c:v>11.683999999999999</c:v>
                </c:pt>
                <c:pt idx="86">
                  <c:v>11.778</c:v>
                </c:pt>
                <c:pt idx="87">
                  <c:v>11.84</c:v>
                </c:pt>
                <c:pt idx="88">
                  <c:v>12.006</c:v>
                </c:pt>
                <c:pt idx="89">
                  <c:v>12.118</c:v>
                </c:pt>
                <c:pt idx="90">
                  <c:v>12.221</c:v>
                </c:pt>
                <c:pt idx="91">
                  <c:v>12.275</c:v>
                </c:pt>
                <c:pt idx="92">
                  <c:v>12.321999999999999</c:v>
                </c:pt>
                <c:pt idx="93">
                  <c:v>12.417999999999999</c:v>
                </c:pt>
                <c:pt idx="94">
                  <c:v>12.554</c:v>
                </c:pt>
                <c:pt idx="95">
                  <c:v>12.736000000000001</c:v>
                </c:pt>
                <c:pt idx="96">
                  <c:v>12.88</c:v>
                </c:pt>
                <c:pt idx="97">
                  <c:v>12.94</c:v>
                </c:pt>
                <c:pt idx="98">
                  <c:v>12.803000000000001</c:v>
                </c:pt>
                <c:pt idx="99">
                  <c:v>12.930524</c:v>
                </c:pt>
                <c:pt idx="100">
                  <c:v>12.987158000000001</c:v>
                </c:pt>
                <c:pt idx="101">
                  <c:v>13.180187999999999</c:v>
                </c:pt>
                <c:pt idx="102">
                  <c:v>13.3729</c:v>
                </c:pt>
                <c:pt idx="103">
                  <c:v>13.474511</c:v>
                </c:pt>
                <c:pt idx="104">
                  <c:v>13.526999999999999</c:v>
                </c:pt>
                <c:pt idx="105" formatCode="General">
                  <c:v>13.566000000000001</c:v>
                </c:pt>
                <c:pt idx="106">
                  <c:v>13.62</c:v>
                </c:pt>
                <c:pt idx="107" formatCode="General">
                  <c:v>13.715</c:v>
                </c:pt>
                <c:pt idx="108" formatCode="General">
                  <c:v>13.788</c:v>
                </c:pt>
                <c:pt idx="109" formatCode="General">
                  <c:v>13.925000000000001</c:v>
                </c:pt>
                <c:pt idx="110" formatCode="General">
                  <c:v>13.834</c:v>
                </c:pt>
                <c:pt idx="111" formatCode="General">
                  <c:v>13.847</c:v>
                </c:pt>
                <c:pt idx="112">
                  <c:v>13.9</c:v>
                </c:pt>
                <c:pt idx="113">
                  <c:v>13.92</c:v>
                </c:pt>
                <c:pt idx="114">
                  <c:v>13.978</c:v>
                </c:pt>
                <c:pt idx="115">
                  <c:v>14.022053</c:v>
                </c:pt>
                <c:pt idx="116">
                  <c:v>14.126598</c:v>
                </c:pt>
                <c:pt idx="117">
                  <c:v>14.152494000000001</c:v>
                </c:pt>
                <c:pt idx="118">
                  <c:v>14.246537</c:v>
                </c:pt>
                <c:pt idx="119">
                  <c:v>14.416103999999999</c:v>
                </c:pt>
                <c:pt idx="120">
                  <c:v>14.650832000000001</c:v>
                </c:pt>
                <c:pt idx="121">
                  <c:v>14.690485000000001</c:v>
                </c:pt>
                <c:pt idx="122">
                  <c:v>14.813583000000001</c:v>
                </c:pt>
                <c:pt idx="123">
                  <c:v>14.858000000000001</c:v>
                </c:pt>
                <c:pt idx="124">
                  <c:v>14.903</c:v>
                </c:pt>
                <c:pt idx="125">
                  <c:v>14.974</c:v>
                </c:pt>
                <c:pt idx="126">
                  <c:v>15.051</c:v>
                </c:pt>
                <c:pt idx="127">
                  <c:v>15.108000000000001</c:v>
                </c:pt>
              </c:numCache>
            </c:numRef>
          </c:val>
          <c:smooth val="0"/>
          <c:extLst>
            <c:ext xmlns:c16="http://schemas.microsoft.com/office/drawing/2014/chart" uri="{C3380CC4-5D6E-409C-BE32-E72D297353CC}">
              <c16:uniqueId val="{00000001-0BD0-41D4-8B5D-02EE2B997777}"/>
            </c:ext>
          </c:extLst>
        </c:ser>
        <c:ser>
          <c:idx val="2"/>
          <c:order val="2"/>
          <c:tx>
            <c:strRef>
              <c:f>'Stednja i rezerve'!$W$2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0235126859142607E-2"/>
                  <c:y val="2.7915643691789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BD0-41D4-8B5D-02EE2B997777}"/>
                </c:ext>
              </c:extLst>
            </c:dLbl>
            <c:dLbl>
              <c:idx val="12"/>
              <c:layout>
                <c:manualLayout>
                  <c:x val="-2.2924743555378331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BD0-41D4-8B5D-02EE2B997777}"/>
                </c:ext>
              </c:extLst>
            </c:dLbl>
            <c:dLbl>
              <c:idx val="24"/>
              <c:layout>
                <c:manualLayout>
                  <c:x val="-2.2924743555378352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BD0-41D4-8B5D-02EE2B997777}"/>
                </c:ext>
              </c:extLst>
            </c:dLbl>
            <c:dLbl>
              <c:idx val="36"/>
              <c:layout>
                <c:manualLayout>
                  <c:x val="-2.2931977252843436E-2"/>
                  <c:y val="2.802308360257591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BD0-41D4-8B5D-02EE2B997777}"/>
                </c:ext>
              </c:extLst>
            </c:dLbl>
            <c:dLbl>
              <c:idx val="48"/>
              <c:layout>
                <c:manualLayout>
                  <c:x val="-2.4774210326358969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BD0-41D4-8B5D-02EE2B997777}"/>
                </c:ext>
              </c:extLst>
            </c:dLbl>
            <c:dLbl>
              <c:idx val="60"/>
              <c:layout>
                <c:manualLayout>
                  <c:x val="-2.2561533270425312E-2"/>
                  <c:y val="2.80225584483159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BD0-41D4-8B5D-02EE2B997777}"/>
                </c:ext>
              </c:extLst>
            </c:dLbl>
            <c:dLbl>
              <c:idx val="72"/>
              <c:layout>
                <c:manualLayout>
                  <c:x val="-2.1332429666144369E-2"/>
                  <c:y val="2.8734098290061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BD0-41D4-8B5D-02EE2B997777}"/>
                </c:ext>
              </c:extLst>
            </c:dLbl>
            <c:dLbl>
              <c:idx val="84"/>
              <c:layout>
                <c:manualLayout>
                  <c:x val="-2.0649957540717773E-2"/>
                  <c:y val="2.85344858521881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BD0-41D4-8B5D-02EE2B997777}"/>
                </c:ext>
              </c:extLst>
            </c:dLbl>
            <c:dLbl>
              <c:idx val="96"/>
              <c:layout>
                <c:manualLayout>
                  <c:x val="-2.7507730930915394E-2"/>
                  <c:y val="2.87688622539608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BD0-41D4-8B5D-02EE2B997777}"/>
                </c:ext>
              </c:extLst>
            </c:dLbl>
            <c:dLbl>
              <c:idx val="108"/>
              <c:layout>
                <c:manualLayout>
                  <c:x val="-2.1046176019916239E-2"/>
                  <c:y val="2.869423622224093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BD0-41D4-8B5D-02EE2B997777}"/>
                </c:ext>
              </c:extLst>
            </c:dLbl>
            <c:dLbl>
              <c:idx val="120"/>
              <c:layout>
                <c:manualLayout>
                  <c:x val="-2.3766768737241178E-2"/>
                  <c:y val="2.876944444444431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BD0-41D4-8B5D-02EE2B99777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'Stednja i rezerve'!$Q$27:$Q$155</c:f>
              <c:numCache>
                <c:formatCode>yyyy</c:formatCode>
                <c:ptCount val="12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pt idx="125" formatCode="yy">
                  <c:v>45444</c:v>
                </c:pt>
                <c:pt idx="126" formatCode="yy">
                  <c:v>45474</c:v>
                </c:pt>
                <c:pt idx="127" formatCode="yy">
                  <c:v>45505</c:v>
                </c:pt>
                <c:pt idx="128" formatCode="yy">
                  <c:v>45536</c:v>
                </c:pt>
              </c:numCache>
            </c:numRef>
          </c:cat>
          <c:val>
            <c:numRef>
              <c:f>'Stednja i rezerve'!$W$27:$W$155</c:f>
              <c:numCache>
                <c:formatCode>General</c:formatCode>
                <c:ptCount val="129"/>
                <c:pt idx="0">
                  <c:v>7</c:v>
                </c:pt>
                <c:pt idx="12">
                  <c:v>7</c:v>
                </c:pt>
                <c:pt idx="24">
                  <c:v>7</c:v>
                </c:pt>
                <c:pt idx="36">
                  <c:v>7</c:v>
                </c:pt>
                <c:pt idx="48">
                  <c:v>7</c:v>
                </c:pt>
                <c:pt idx="60">
                  <c:v>7</c:v>
                </c:pt>
                <c:pt idx="72">
                  <c:v>7</c:v>
                </c:pt>
                <c:pt idx="84">
                  <c:v>7</c:v>
                </c:pt>
                <c:pt idx="96">
                  <c:v>7</c:v>
                </c:pt>
                <c:pt idx="108">
                  <c:v>7</c:v>
                </c:pt>
                <c:pt idx="120">
                  <c:v>7</c:v>
                </c:pt>
              </c:numCache>
            </c:numRef>
          </c:val>
          <c:smooth val="0"/>
          <c:extLst>
            <c:ext xmlns:c16="http://schemas.microsoft.com/office/drawing/2014/chart" uri="{C3380CC4-5D6E-409C-BE32-E72D297353CC}">
              <c16:uniqueId val="{0000000D-0BD0-41D4-8B5D-02EE2B997777}"/>
            </c:ext>
          </c:extLst>
        </c:ser>
        <c:dLbls>
          <c:showLegendKey val="0"/>
          <c:showVal val="0"/>
          <c:showCatName val="0"/>
          <c:showSerName val="0"/>
          <c:showPercent val="0"/>
          <c:showBubbleSize val="0"/>
        </c:dLbls>
        <c:marker val="1"/>
        <c:smooth val="0"/>
        <c:axId val="2067915440"/>
        <c:axId val="2067938832"/>
      </c:lineChart>
      <c:catAx>
        <c:axId val="206791544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8832"/>
        <c:crosses val="autoZero"/>
        <c:auto val="0"/>
        <c:lblAlgn val="ctr"/>
        <c:lblOffset val="100"/>
        <c:tickLblSkip val="12"/>
        <c:noMultiLvlLbl val="1"/>
      </c:catAx>
      <c:valAx>
        <c:axId val="2067938832"/>
        <c:scaling>
          <c:orientation val="minMax"/>
          <c:max val="29"/>
          <c:min val="7"/>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5440"/>
        <c:crosses val="autoZero"/>
        <c:crossBetween val="midCat"/>
        <c:majorUnit val="2"/>
      </c:valAx>
      <c:spPr>
        <a:noFill/>
        <a:ln>
          <a:noFill/>
        </a:ln>
        <a:effectLst/>
      </c:spPr>
    </c:plotArea>
    <c:legend>
      <c:legendPos val="b"/>
      <c:legendEntry>
        <c:idx val="2"/>
        <c:delete val="1"/>
      </c:legendEntry>
      <c:layout>
        <c:manualLayout>
          <c:xMode val="edge"/>
          <c:yMode val="edge"/>
          <c:x val="5.2835374744823561E-2"/>
          <c:y val="0.81213222222222226"/>
          <c:w val="0.91284740449110524"/>
          <c:h val="0.1455344444444444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336188914802072E-2"/>
          <c:y val="5.633805593782408E-2"/>
          <c:w val="0.88247322532959238"/>
          <c:h val="0.6554491666108051"/>
        </c:manualLayout>
      </c:layout>
      <c:lineChart>
        <c:grouping val="standard"/>
        <c:varyColors val="0"/>
        <c:ser>
          <c:idx val="0"/>
          <c:order val="0"/>
          <c:tx>
            <c:strRef>
              <c:f>'Projekcija inflacije'!$C$7</c:f>
              <c:strCache>
                <c:ptCount val="1"/>
                <c:pt idx="0">
                  <c:v>Инфлација, просек периода</c:v>
                </c:pt>
              </c:strCache>
            </c:strRef>
          </c:tx>
          <c:spPr>
            <a:ln w="22225" cap="rnd">
              <a:solidFill>
                <a:srgbClr val="EC008C"/>
              </a:solidFill>
              <a:round/>
            </a:ln>
            <a:effectLst/>
          </c:spPr>
          <c:marker>
            <c:symbol val="none"/>
          </c:marker>
          <c:cat>
            <c:numRef>
              <c:f>'Projekcija inflacije'!$L$5:$W$5</c:f>
              <c:numCache>
                <c:formatCode>General</c:formatCode>
                <c:ptCount val="12"/>
                <c:pt idx="0">
                  <c:v>2016</c:v>
                </c:pt>
                <c:pt idx="1">
                  <c:v>2017</c:v>
                </c:pt>
                <c:pt idx="2">
                  <c:v>2018</c:v>
                </c:pt>
                <c:pt idx="3">
                  <c:v>2019</c:v>
                </c:pt>
                <c:pt idx="4">
                  <c:v>2020</c:v>
                </c:pt>
                <c:pt idx="5">
                  <c:v>2021</c:v>
                </c:pt>
                <c:pt idx="6">
                  <c:v>2022</c:v>
                </c:pt>
                <c:pt idx="7">
                  <c:v>2023</c:v>
                </c:pt>
                <c:pt idx="8">
                  <c:v>2024</c:v>
                </c:pt>
                <c:pt idx="9">
                  <c:v>2025</c:v>
                </c:pt>
                <c:pt idx="10">
                  <c:v>2026</c:v>
                </c:pt>
                <c:pt idx="11">
                  <c:v>2027</c:v>
                </c:pt>
              </c:numCache>
            </c:numRef>
          </c:cat>
          <c:val>
            <c:numRef>
              <c:f>'Projekcija inflacije'!$L$7:$W$7</c:f>
              <c:numCache>
                <c:formatCode>0.0</c:formatCode>
                <c:ptCount val="12"/>
                <c:pt idx="0">
                  <c:v>1.2</c:v>
                </c:pt>
                <c:pt idx="1">
                  <c:v>3</c:v>
                </c:pt>
                <c:pt idx="2">
                  <c:v>2</c:v>
                </c:pt>
                <c:pt idx="3">
                  <c:v>1.7</c:v>
                </c:pt>
                <c:pt idx="4">
                  <c:v>1.6</c:v>
                </c:pt>
                <c:pt idx="5">
                  <c:v>4</c:v>
                </c:pt>
                <c:pt idx="6">
                  <c:v>11.9</c:v>
                </c:pt>
                <c:pt idx="7">
                  <c:v>12.1</c:v>
                </c:pt>
                <c:pt idx="8">
                  <c:v>4.7</c:v>
                </c:pt>
                <c:pt idx="9">
                  <c:v>3.5</c:v>
                </c:pt>
                <c:pt idx="10">
                  <c:v>3.5</c:v>
                </c:pt>
                <c:pt idx="11">
                  <c:v>3.5</c:v>
                </c:pt>
              </c:numCache>
            </c:numRef>
          </c:val>
          <c:smooth val="0"/>
          <c:extLst>
            <c:ext xmlns:c16="http://schemas.microsoft.com/office/drawing/2014/chart" uri="{C3380CC4-5D6E-409C-BE32-E72D297353CC}">
              <c16:uniqueId val="{00000000-65C3-44DA-B664-0CE7D54F453A}"/>
            </c:ext>
          </c:extLst>
        </c:ser>
        <c:ser>
          <c:idx val="1"/>
          <c:order val="1"/>
          <c:tx>
            <c:strRef>
              <c:f>'Projekcija inflacije'!$C$8</c:f>
              <c:strCache>
                <c:ptCount val="1"/>
                <c:pt idx="0">
                  <c:v>Дефлатор БДП</c:v>
                </c:pt>
              </c:strCache>
            </c:strRef>
          </c:tx>
          <c:spPr>
            <a:ln w="22225" cap="rnd">
              <a:solidFill>
                <a:srgbClr val="7F3F98"/>
              </a:solidFill>
              <a:round/>
            </a:ln>
            <a:effectLst/>
          </c:spPr>
          <c:marker>
            <c:symbol val="none"/>
          </c:marker>
          <c:cat>
            <c:numRef>
              <c:f>'Projekcija inflacije'!$L$5:$W$5</c:f>
              <c:numCache>
                <c:formatCode>General</c:formatCode>
                <c:ptCount val="12"/>
                <c:pt idx="0">
                  <c:v>2016</c:v>
                </c:pt>
                <c:pt idx="1">
                  <c:v>2017</c:v>
                </c:pt>
                <c:pt idx="2">
                  <c:v>2018</c:v>
                </c:pt>
                <c:pt idx="3">
                  <c:v>2019</c:v>
                </c:pt>
                <c:pt idx="4">
                  <c:v>2020</c:v>
                </c:pt>
                <c:pt idx="5">
                  <c:v>2021</c:v>
                </c:pt>
                <c:pt idx="6">
                  <c:v>2022</c:v>
                </c:pt>
                <c:pt idx="7">
                  <c:v>2023</c:v>
                </c:pt>
                <c:pt idx="8">
                  <c:v>2024</c:v>
                </c:pt>
                <c:pt idx="9">
                  <c:v>2025</c:v>
                </c:pt>
                <c:pt idx="10">
                  <c:v>2026</c:v>
                </c:pt>
                <c:pt idx="11">
                  <c:v>2027</c:v>
                </c:pt>
              </c:numCache>
            </c:numRef>
          </c:cat>
          <c:val>
            <c:numRef>
              <c:f>'Projekcija inflacije'!$L$8:$W$8</c:f>
              <c:numCache>
                <c:formatCode>0.0</c:formatCode>
                <c:ptCount val="12"/>
                <c:pt idx="0">
                  <c:v>1.5438276198060095</c:v>
                </c:pt>
                <c:pt idx="1">
                  <c:v>2.9973541130636789</c:v>
                </c:pt>
                <c:pt idx="2">
                  <c:v>1.9999999999999858</c:v>
                </c:pt>
                <c:pt idx="3">
                  <c:v>2.3478309782552174</c:v>
                </c:pt>
                <c:pt idx="4">
                  <c:v>2.6493590865047878</c:v>
                </c:pt>
                <c:pt idx="5">
                  <c:v>5.6840498037999083</c:v>
                </c:pt>
                <c:pt idx="6">
                  <c:v>10.515922698594053</c:v>
                </c:pt>
                <c:pt idx="7">
                  <c:v>13.84023015272895</c:v>
                </c:pt>
                <c:pt idx="8">
                  <c:v>5</c:v>
                </c:pt>
                <c:pt idx="9">
                  <c:v>3.2</c:v>
                </c:pt>
                <c:pt idx="10">
                  <c:v>3.2</c:v>
                </c:pt>
                <c:pt idx="11">
                  <c:v>3</c:v>
                </c:pt>
              </c:numCache>
            </c:numRef>
          </c:val>
          <c:smooth val="0"/>
          <c:extLst>
            <c:ext xmlns:c16="http://schemas.microsoft.com/office/drawing/2014/chart" uri="{C3380CC4-5D6E-409C-BE32-E72D297353CC}">
              <c16:uniqueId val="{00000001-65C3-44DA-B664-0CE7D54F453A}"/>
            </c:ext>
          </c:extLst>
        </c:ser>
        <c:dLbls>
          <c:showLegendKey val="0"/>
          <c:showVal val="0"/>
          <c:showCatName val="0"/>
          <c:showSerName val="0"/>
          <c:showPercent val="0"/>
          <c:showBubbleSize val="0"/>
        </c:dLbls>
        <c:smooth val="0"/>
        <c:axId val="2067910000"/>
        <c:axId val="2067923600"/>
      </c:lineChart>
      <c:catAx>
        <c:axId val="2067910000"/>
        <c:scaling>
          <c:orientation val="minMax"/>
        </c:scaling>
        <c:delete val="0"/>
        <c:axPos val="b"/>
        <c:numFmt formatCode="General" sourceLinked="1"/>
        <c:majorTickMark val="out"/>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23600"/>
        <c:crosses val="autoZero"/>
        <c:auto val="1"/>
        <c:lblAlgn val="ctr"/>
        <c:lblOffset val="100"/>
        <c:noMultiLvlLbl val="0"/>
      </c:catAx>
      <c:valAx>
        <c:axId val="2067923600"/>
        <c:scaling>
          <c:orientation val="minMax"/>
          <c:max val="15"/>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0000"/>
        <c:crosses val="autoZero"/>
        <c:crossBetween val="midCat"/>
        <c:majorUnit val="2"/>
      </c:valAx>
      <c:spPr>
        <a:noFill/>
        <a:ln>
          <a:noFill/>
        </a:ln>
        <a:effectLst/>
      </c:spPr>
    </c:plotArea>
    <c:legend>
      <c:legendPos val="b"/>
      <c:layout>
        <c:manualLayout>
          <c:xMode val="edge"/>
          <c:yMode val="edge"/>
          <c:x val="2.5218401951955399E-3"/>
          <c:y val="0.82080160723650741"/>
          <c:w val="0.9871358748778104"/>
          <c:h val="0.1416396888049431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7.2092777777777783E-2"/>
          <c:w val="0.85158573928258963"/>
          <c:h val="0.61694696969696972"/>
        </c:manualLayout>
      </c:layout>
      <c:barChart>
        <c:barDir val="col"/>
        <c:grouping val="stacked"/>
        <c:varyColors val="0"/>
        <c:ser>
          <c:idx val="5"/>
          <c:order val="1"/>
          <c:tx>
            <c:strRef>
              <c:f>'Uvoz_ek. namena'!$B$7</c:f>
              <c:strCache>
                <c:ptCount val="1"/>
                <c:pt idx="0">
                  <c:v>Средства за рад</c:v>
                </c:pt>
              </c:strCache>
            </c:strRef>
          </c:tx>
          <c:spPr>
            <a:solidFill>
              <a:srgbClr val="10103C"/>
            </a:solidFill>
            <a:ln>
              <a:noFill/>
            </a:ln>
            <a:effectLst/>
          </c:spPr>
          <c:invertIfNegative val="0"/>
          <c:cat>
            <c:strRef>
              <c:f>'Uvoz_ek. namena'!$F$5:$J$5</c:f>
              <c:strCache>
                <c:ptCount val="5"/>
                <c:pt idx="0">
                  <c:v>2020</c:v>
                </c:pt>
                <c:pt idx="1">
                  <c:v>2021</c:v>
                </c:pt>
                <c:pt idx="2">
                  <c:v>2022</c:v>
                </c:pt>
                <c:pt idx="3">
                  <c:v>2023</c:v>
                </c:pt>
                <c:pt idx="4">
                  <c:v>I-VIII 2024</c:v>
                </c:pt>
              </c:strCache>
            </c:strRef>
          </c:cat>
          <c:val>
            <c:numRef>
              <c:f>'Uvoz_ek. namena'!$F$7:$J$7</c:f>
              <c:numCache>
                <c:formatCode>0.0</c:formatCode>
                <c:ptCount val="5"/>
                <c:pt idx="0">
                  <c:v>0.22111135776304344</c:v>
                </c:pt>
                <c:pt idx="1">
                  <c:v>2.4615367594016599</c:v>
                </c:pt>
                <c:pt idx="2">
                  <c:v>2.6977428953561877</c:v>
                </c:pt>
                <c:pt idx="3">
                  <c:v>-0.6559116633858243</c:v>
                </c:pt>
                <c:pt idx="4">
                  <c:v>2.0057460351531864</c:v>
                </c:pt>
              </c:numCache>
            </c:numRef>
          </c:val>
          <c:extLst>
            <c:ext xmlns:c16="http://schemas.microsoft.com/office/drawing/2014/chart" uri="{C3380CC4-5D6E-409C-BE32-E72D297353CC}">
              <c16:uniqueId val="{00000000-80AF-445D-ABF6-B4814B1F1A79}"/>
            </c:ext>
          </c:extLst>
        </c:ser>
        <c:ser>
          <c:idx val="0"/>
          <c:order val="2"/>
          <c:tx>
            <c:strRef>
              <c:f>'Uvoz_ek. namena'!$B$8</c:f>
              <c:strCache>
                <c:ptCount val="1"/>
                <c:pt idx="0">
                  <c:v>Репродукција</c:v>
                </c:pt>
              </c:strCache>
            </c:strRef>
          </c:tx>
          <c:spPr>
            <a:solidFill>
              <a:srgbClr val="2183C4"/>
            </a:solidFill>
            <a:ln>
              <a:noFill/>
            </a:ln>
            <a:effectLst/>
          </c:spPr>
          <c:invertIfNegative val="0"/>
          <c:cat>
            <c:strRef>
              <c:f>'Uvoz_ek. namena'!$F$5:$J$5</c:f>
              <c:strCache>
                <c:ptCount val="5"/>
                <c:pt idx="0">
                  <c:v>2020</c:v>
                </c:pt>
                <c:pt idx="1">
                  <c:v>2021</c:v>
                </c:pt>
                <c:pt idx="2">
                  <c:v>2022</c:v>
                </c:pt>
                <c:pt idx="3">
                  <c:v>2023</c:v>
                </c:pt>
                <c:pt idx="4">
                  <c:v>I-VIII 2024</c:v>
                </c:pt>
              </c:strCache>
            </c:strRef>
          </c:cat>
          <c:val>
            <c:numRef>
              <c:f>'Uvoz_ek. namena'!$F$8:$J$8</c:f>
              <c:numCache>
                <c:formatCode>0.0</c:formatCode>
                <c:ptCount val="5"/>
                <c:pt idx="0">
                  <c:v>-5.8440229023300203</c:v>
                </c:pt>
                <c:pt idx="1">
                  <c:v>18.49881405126126</c:v>
                </c:pt>
                <c:pt idx="2">
                  <c:v>24.176006469606328</c:v>
                </c:pt>
                <c:pt idx="3">
                  <c:v>-6.3758509678477662</c:v>
                </c:pt>
                <c:pt idx="4">
                  <c:v>0.26005762546747707</c:v>
                </c:pt>
              </c:numCache>
            </c:numRef>
          </c:val>
          <c:extLst>
            <c:ext xmlns:c16="http://schemas.microsoft.com/office/drawing/2014/chart" uri="{C3380CC4-5D6E-409C-BE32-E72D297353CC}">
              <c16:uniqueId val="{00000001-80AF-445D-ABF6-B4814B1F1A79}"/>
            </c:ext>
          </c:extLst>
        </c:ser>
        <c:ser>
          <c:idx val="1"/>
          <c:order val="3"/>
          <c:tx>
            <c:strRef>
              <c:f>'Uvoz_ek. namena'!$B$9</c:f>
              <c:strCache>
                <c:ptCount val="1"/>
                <c:pt idx="0">
                  <c:v>Потрошна роба</c:v>
                </c:pt>
              </c:strCache>
            </c:strRef>
          </c:tx>
          <c:spPr>
            <a:solidFill>
              <a:srgbClr val="51BBE7"/>
            </a:solidFill>
            <a:ln>
              <a:noFill/>
            </a:ln>
            <a:effectLst/>
          </c:spPr>
          <c:invertIfNegative val="0"/>
          <c:cat>
            <c:strRef>
              <c:f>'Uvoz_ek. namena'!$F$5:$J$5</c:f>
              <c:strCache>
                <c:ptCount val="5"/>
                <c:pt idx="0">
                  <c:v>2020</c:v>
                </c:pt>
                <c:pt idx="1">
                  <c:v>2021</c:v>
                </c:pt>
                <c:pt idx="2">
                  <c:v>2022</c:v>
                </c:pt>
                <c:pt idx="3">
                  <c:v>2023</c:v>
                </c:pt>
                <c:pt idx="4">
                  <c:v>I-VIII 2024</c:v>
                </c:pt>
              </c:strCache>
            </c:strRef>
          </c:cat>
          <c:val>
            <c:numRef>
              <c:f>'Uvoz_ek. namena'!$F$9:$J$9</c:f>
              <c:numCache>
                <c:formatCode>0.0</c:formatCode>
                <c:ptCount val="5"/>
                <c:pt idx="0">
                  <c:v>1.5972699819478706</c:v>
                </c:pt>
                <c:pt idx="1">
                  <c:v>2.7892630966283947</c:v>
                </c:pt>
                <c:pt idx="2">
                  <c:v>4.4717006562917954</c:v>
                </c:pt>
                <c:pt idx="3">
                  <c:v>1.0270566765091866</c:v>
                </c:pt>
                <c:pt idx="4">
                  <c:v>1.7312407638263996</c:v>
                </c:pt>
              </c:numCache>
            </c:numRef>
          </c:val>
          <c:extLst>
            <c:ext xmlns:c16="http://schemas.microsoft.com/office/drawing/2014/chart" uri="{C3380CC4-5D6E-409C-BE32-E72D297353CC}">
              <c16:uniqueId val="{00000002-80AF-445D-ABF6-B4814B1F1A79}"/>
            </c:ext>
          </c:extLst>
        </c:ser>
        <c:ser>
          <c:idx val="2"/>
          <c:order val="4"/>
          <c:tx>
            <c:strRef>
              <c:f>'Uvoz_ek. namena'!$B$10</c:f>
              <c:strCache>
                <c:ptCount val="1"/>
                <c:pt idx="0">
                  <c:v>Некласификовано</c:v>
                </c:pt>
              </c:strCache>
            </c:strRef>
          </c:tx>
          <c:spPr>
            <a:solidFill>
              <a:srgbClr val="C9E4EB"/>
            </a:solidFill>
            <a:ln>
              <a:noFill/>
            </a:ln>
            <a:effectLst/>
          </c:spPr>
          <c:invertIfNegative val="0"/>
          <c:cat>
            <c:strRef>
              <c:f>'Uvoz_ek. namena'!$F$5:$J$5</c:f>
              <c:strCache>
                <c:ptCount val="5"/>
                <c:pt idx="0">
                  <c:v>2020</c:v>
                </c:pt>
                <c:pt idx="1">
                  <c:v>2021</c:v>
                </c:pt>
                <c:pt idx="2">
                  <c:v>2022</c:v>
                </c:pt>
                <c:pt idx="3">
                  <c:v>2023</c:v>
                </c:pt>
                <c:pt idx="4">
                  <c:v>I-VIII 2024</c:v>
                </c:pt>
              </c:strCache>
            </c:strRef>
          </c:cat>
          <c:val>
            <c:numRef>
              <c:f>'Uvoz_ek. namena'!$F$10:$J$10</c:f>
              <c:numCache>
                <c:formatCode>0.0</c:formatCode>
                <c:ptCount val="5"/>
                <c:pt idx="0">
                  <c:v>0.18220504035551299</c:v>
                </c:pt>
                <c:pt idx="1">
                  <c:v>2.2889967138942282</c:v>
                </c:pt>
                <c:pt idx="2">
                  <c:v>3.4877813604835626</c:v>
                </c:pt>
                <c:pt idx="3">
                  <c:v>0.48443651574803054</c:v>
                </c:pt>
                <c:pt idx="4">
                  <c:v>1.0872885483831005</c:v>
                </c:pt>
              </c:numCache>
            </c:numRef>
          </c:val>
          <c:extLst>
            <c:ext xmlns:c16="http://schemas.microsoft.com/office/drawing/2014/chart" uri="{C3380CC4-5D6E-409C-BE32-E72D297353CC}">
              <c16:uniqueId val="{00000003-80AF-445D-ABF6-B4814B1F1A79}"/>
            </c:ext>
          </c:extLst>
        </c:ser>
        <c:dLbls>
          <c:showLegendKey val="0"/>
          <c:showVal val="0"/>
          <c:showCatName val="0"/>
          <c:showSerName val="0"/>
          <c:showPercent val="0"/>
          <c:showBubbleSize val="0"/>
        </c:dLbls>
        <c:gapWidth val="70"/>
        <c:overlap val="100"/>
        <c:axId val="1839193360"/>
        <c:axId val="1839196080"/>
      </c:barChart>
      <c:lineChart>
        <c:grouping val="standard"/>
        <c:varyColors val="0"/>
        <c:ser>
          <c:idx val="3"/>
          <c:order val="0"/>
          <c:tx>
            <c:strRef>
              <c:f>'Uvoz_ek. namena'!$B$6</c:f>
              <c:strCache>
                <c:ptCount val="1"/>
                <c:pt idx="0">
                  <c:v>Укупно</c:v>
                </c:pt>
              </c:strCache>
            </c:strRef>
          </c:tx>
          <c:spPr>
            <a:ln w="28575" cap="rnd">
              <a:solidFill>
                <a:srgbClr val="FF0000"/>
              </a:solidFill>
              <a:round/>
            </a:ln>
            <a:effectLst/>
          </c:spPr>
          <c:marker>
            <c:symbol val="none"/>
          </c:marker>
          <c:dLbls>
            <c:dLbl>
              <c:idx val="3"/>
              <c:layout>
                <c:manualLayout>
                  <c:x val="-6.6933894048841341E-2"/>
                  <c:y val="-0.1063303030303030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0AF-445D-ABF6-B4814B1F1A79}"/>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namena'!$F$5:$J$5</c:f>
              <c:strCache>
                <c:ptCount val="5"/>
                <c:pt idx="0">
                  <c:v>2020</c:v>
                </c:pt>
                <c:pt idx="1">
                  <c:v>2021</c:v>
                </c:pt>
                <c:pt idx="2">
                  <c:v>2022</c:v>
                </c:pt>
                <c:pt idx="3">
                  <c:v>2023</c:v>
                </c:pt>
                <c:pt idx="4">
                  <c:v>I-VIII 2024</c:v>
                </c:pt>
              </c:strCache>
            </c:strRef>
          </c:cat>
          <c:val>
            <c:numRef>
              <c:f>'Uvoz_ek. namena'!$F$6:$J$6</c:f>
              <c:numCache>
                <c:formatCode>0.0</c:formatCode>
                <c:ptCount val="5"/>
                <c:pt idx="0">
                  <c:v>-3.8438511767391508</c:v>
                </c:pt>
                <c:pt idx="1">
                  <c:v>26.038170679134183</c:v>
                </c:pt>
                <c:pt idx="2">
                  <c:v>34.833231381737875</c:v>
                </c:pt>
                <c:pt idx="3">
                  <c:v>-5.5200131233595755</c:v>
                </c:pt>
                <c:pt idx="4">
                  <c:v>5.0843329728301541</c:v>
                </c:pt>
              </c:numCache>
            </c:numRef>
          </c:val>
          <c:smooth val="0"/>
          <c:extLst>
            <c:ext xmlns:c16="http://schemas.microsoft.com/office/drawing/2014/chart" uri="{C3380CC4-5D6E-409C-BE32-E72D297353CC}">
              <c16:uniqueId val="{00000005-80AF-445D-ABF6-B4814B1F1A79}"/>
            </c:ext>
          </c:extLst>
        </c:ser>
        <c:dLbls>
          <c:showLegendKey val="0"/>
          <c:showVal val="0"/>
          <c:showCatName val="0"/>
          <c:showSerName val="0"/>
          <c:showPercent val="0"/>
          <c:showBubbleSize val="0"/>
        </c:dLbls>
        <c:marker val="1"/>
        <c:smooth val="0"/>
        <c:axId val="1839193360"/>
        <c:axId val="1839196080"/>
      </c:lineChart>
      <c:catAx>
        <c:axId val="183919336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6080"/>
        <c:crosses val="autoZero"/>
        <c:auto val="1"/>
        <c:lblAlgn val="ctr"/>
        <c:lblOffset val="100"/>
        <c:noMultiLvlLbl val="0"/>
      </c:catAx>
      <c:valAx>
        <c:axId val="1839196080"/>
        <c:scaling>
          <c:orientation val="minMax"/>
          <c:max val="50"/>
          <c:min val="-6"/>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3360"/>
        <c:crosses val="autoZero"/>
        <c:crossBetween val="between"/>
        <c:majorUnit val="6"/>
      </c:valAx>
      <c:spPr>
        <a:noFill/>
        <a:ln>
          <a:noFill/>
        </a:ln>
        <a:effectLst/>
      </c:spPr>
    </c:plotArea>
    <c:legend>
      <c:legendPos val="b"/>
      <c:layout>
        <c:manualLayout>
          <c:xMode val="edge"/>
          <c:yMode val="edge"/>
          <c:x val="1.2789078448527259E-2"/>
          <c:y val="0.80912929292929292"/>
          <c:w val="0.91940033537474486"/>
          <c:h val="0.1908707070707071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80796150481189"/>
          <c:y val="4.6989720998531569E-2"/>
          <c:w val="0.86246828521434815"/>
          <c:h val="0.81779689433093983"/>
        </c:manualLayout>
      </c:layout>
      <c:areaChart>
        <c:grouping val="standard"/>
        <c:varyColors val="0"/>
        <c:ser>
          <c:idx val="1"/>
          <c:order val="0"/>
          <c:tx>
            <c:strRef>
              <c:f>'Izvoz, uvoz (Q)'!$A$7</c:f>
              <c:strCache>
                <c:ptCount val="1"/>
                <c:pt idx="0">
                  <c:v>Увоз</c:v>
                </c:pt>
              </c:strCache>
            </c:strRef>
          </c:tx>
          <c:spPr>
            <a:solidFill>
              <a:srgbClr val="51BBE7"/>
            </a:solidFill>
            <a:ln>
              <a:noFill/>
            </a:ln>
            <a:effectLst/>
          </c:spPr>
          <c:dLbls>
            <c:dLbl>
              <c:idx val="0"/>
              <c:layout>
                <c:manualLayout>
                  <c:x val="3.4796579742801217E-2"/>
                  <c:y val="-0.11529571687003301"/>
                </c:manualLayout>
              </c:layout>
              <c:showLegendKey val="0"/>
              <c:showVal val="0"/>
              <c:showCatName val="0"/>
              <c:showSerName val="1"/>
              <c:showPercent val="0"/>
              <c:showBubbleSize val="0"/>
              <c:extLst>
                <c:ext xmlns:c15="http://schemas.microsoft.com/office/drawing/2012/chart" uri="{CE6537A1-D6FC-4f65-9D91-7224C49458BB}">
                  <c15:layout>
                    <c:manualLayout>
                      <c:w val="0.11629035215965292"/>
                      <c:h val="0.14761725211269569"/>
                    </c:manualLayout>
                  </c15:layout>
                </c:ext>
                <c:ext xmlns:c16="http://schemas.microsoft.com/office/drawing/2014/chart" uri="{C3380CC4-5D6E-409C-BE32-E72D297353CC}">
                  <c16:uniqueId val="{00000000-B529-4FFC-9196-6A733C8C3D55}"/>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(Q)'!$W$3:$AZ$4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2017</c:v>
                  </c:pt>
                  <c:pt idx="4">
                    <c:v>2018</c:v>
                  </c:pt>
                  <c:pt idx="8">
                    <c:v>2019</c:v>
                  </c:pt>
                  <c:pt idx="12">
                    <c:v>2020</c:v>
                  </c:pt>
                  <c:pt idx="16">
                    <c:v>2021</c:v>
                  </c:pt>
                  <c:pt idx="20">
                    <c:v>2022</c:v>
                  </c:pt>
                  <c:pt idx="24">
                    <c:v>2023</c:v>
                  </c:pt>
                  <c:pt idx="28">
                    <c:v>2024</c:v>
                  </c:pt>
                </c:lvl>
              </c:multiLvlStrCache>
            </c:multiLvlStrRef>
          </c:cat>
          <c:val>
            <c:numRef>
              <c:f>'Izvoz, uvoz (Q)'!$W$7:$AZ$7</c:f>
              <c:numCache>
                <c:formatCode>#,##0.0</c:formatCode>
                <c:ptCount val="30"/>
                <c:pt idx="0">
                  <c:v>4508.1000000000004</c:v>
                </c:pt>
                <c:pt idx="1">
                  <c:v>4918.5</c:v>
                </c:pt>
                <c:pt idx="2">
                  <c:v>4707.2999999999993</c:v>
                </c:pt>
                <c:pt idx="3">
                  <c:v>5262.1</c:v>
                </c:pt>
                <c:pt idx="4">
                  <c:v>5075.8999999999996</c:v>
                </c:pt>
                <c:pt idx="5">
                  <c:v>5458.7000000000007</c:v>
                </c:pt>
                <c:pt idx="6">
                  <c:v>5419</c:v>
                </c:pt>
                <c:pt idx="7">
                  <c:v>5965.1</c:v>
                </c:pt>
                <c:pt idx="8">
                  <c:v>5560.6</c:v>
                </c:pt>
                <c:pt idx="9">
                  <c:v>5942</c:v>
                </c:pt>
                <c:pt idx="10">
                  <c:v>5842.9999999999982</c:v>
                </c:pt>
                <c:pt idx="11">
                  <c:v>6529.7000000000007</c:v>
                </c:pt>
                <c:pt idx="12">
                  <c:v>5986.9</c:v>
                </c:pt>
                <c:pt idx="13">
                  <c:v>4743.2000000000007</c:v>
                </c:pt>
                <c:pt idx="14">
                  <c:v>5793.9999999999982</c:v>
                </c:pt>
                <c:pt idx="15">
                  <c:v>6553.9771035482336</c:v>
                </c:pt>
                <c:pt idx="16">
                  <c:v>6016.4</c:v>
                </c:pt>
                <c:pt idx="17">
                  <c:v>7087.5</c:v>
                </c:pt>
                <c:pt idx="18">
                  <c:v>7296.6999999999989</c:v>
                </c:pt>
                <c:pt idx="19">
                  <c:v>8534.7428153402725</c:v>
                </c:pt>
                <c:pt idx="20">
                  <c:v>9350</c:v>
                </c:pt>
                <c:pt idx="21">
                  <c:v>10242.900000000001</c:v>
                </c:pt>
                <c:pt idx="22">
                  <c:v>9380.5</c:v>
                </c:pt>
                <c:pt idx="23">
                  <c:v>10041.043315098963</c:v>
                </c:pt>
                <c:pt idx="24">
                  <c:v>9440</c:v>
                </c:pt>
                <c:pt idx="25">
                  <c:v>9206.7000000000007</c:v>
                </c:pt>
                <c:pt idx="26">
                  <c:v>8554.7999999999993</c:v>
                </c:pt>
                <c:pt idx="27">
                  <c:v>9659.3000000000029</c:v>
                </c:pt>
                <c:pt idx="28">
                  <c:v>9140.327797516089</c:v>
                </c:pt>
                <c:pt idx="29">
                  <c:v>9744.8722024839117</c:v>
                </c:pt>
              </c:numCache>
            </c:numRef>
          </c:val>
          <c:extLst>
            <c:ext xmlns:c16="http://schemas.microsoft.com/office/drawing/2014/chart" uri="{C3380CC4-5D6E-409C-BE32-E72D297353CC}">
              <c16:uniqueId val="{00000001-B529-4FFC-9196-6A733C8C3D55}"/>
            </c:ext>
          </c:extLst>
        </c:ser>
        <c:ser>
          <c:idx val="0"/>
          <c:order val="1"/>
          <c:tx>
            <c:strRef>
              <c:f>'Izvoz, uvoz (Q)'!$A$8</c:f>
              <c:strCache>
                <c:ptCount val="1"/>
                <c:pt idx="0">
                  <c:v>Извоз</c:v>
                </c:pt>
              </c:strCache>
            </c:strRef>
          </c:tx>
          <c:spPr>
            <a:solidFill>
              <a:srgbClr val="29489A"/>
            </a:solidFill>
            <a:ln>
              <a:noFill/>
            </a:ln>
            <a:effectLst/>
          </c:spPr>
          <c:dLbls>
            <c:dLbl>
              <c:idx val="0"/>
              <c:layout>
                <c:manualLayout>
                  <c:x val="2.3197719828534146E-2"/>
                  <c:y val="-1.5372762249337731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2-B529-4FFC-9196-6A733C8C3D55}"/>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(Q)'!$W$3:$AZ$4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2017</c:v>
                  </c:pt>
                  <c:pt idx="4">
                    <c:v>2018</c:v>
                  </c:pt>
                  <c:pt idx="8">
                    <c:v>2019</c:v>
                  </c:pt>
                  <c:pt idx="12">
                    <c:v>2020</c:v>
                  </c:pt>
                  <c:pt idx="16">
                    <c:v>2021</c:v>
                  </c:pt>
                  <c:pt idx="20">
                    <c:v>2022</c:v>
                  </c:pt>
                  <c:pt idx="24">
                    <c:v>2023</c:v>
                  </c:pt>
                  <c:pt idx="28">
                    <c:v>2024</c:v>
                  </c:pt>
                </c:lvl>
              </c:multiLvlStrCache>
            </c:multiLvlStrRef>
          </c:cat>
          <c:val>
            <c:numRef>
              <c:f>'Izvoz, uvoz (Q)'!$W$8:$AZ$8</c:f>
              <c:numCache>
                <c:formatCode>#,##0.0</c:formatCode>
                <c:ptCount val="30"/>
                <c:pt idx="0">
                  <c:v>3516.4</c:v>
                </c:pt>
                <c:pt idx="1">
                  <c:v>3948.9999999999995</c:v>
                </c:pt>
                <c:pt idx="2">
                  <c:v>3785.7000000000007</c:v>
                </c:pt>
                <c:pt idx="3">
                  <c:v>3799.6999999999989</c:v>
                </c:pt>
                <c:pt idx="4">
                  <c:v>3829.1</c:v>
                </c:pt>
                <c:pt idx="5">
                  <c:v>4218.6000000000004</c:v>
                </c:pt>
                <c:pt idx="6">
                  <c:v>4091.0999999999995</c:v>
                </c:pt>
                <c:pt idx="7">
                  <c:v>4143.2000000000007</c:v>
                </c:pt>
                <c:pt idx="8">
                  <c:v>4102.1000000000004</c:v>
                </c:pt>
                <c:pt idx="9">
                  <c:v>4488.7999999999993</c:v>
                </c:pt>
                <c:pt idx="10">
                  <c:v>4404.1000000000004</c:v>
                </c:pt>
                <c:pt idx="11">
                  <c:v>4541.4000000000015</c:v>
                </c:pt>
                <c:pt idx="12">
                  <c:v>4237.5</c:v>
                </c:pt>
                <c:pt idx="13">
                  <c:v>3597.2</c:v>
                </c:pt>
                <c:pt idx="14">
                  <c:v>4371.2</c:v>
                </c:pt>
                <c:pt idx="15">
                  <c:v>4931.2299050380007</c:v>
                </c:pt>
                <c:pt idx="16">
                  <c:v>4837.7</c:v>
                </c:pt>
                <c:pt idx="17">
                  <c:v>5236.7</c:v>
                </c:pt>
                <c:pt idx="18">
                  <c:v>5560.6</c:v>
                </c:pt>
                <c:pt idx="19">
                  <c:v>6223.0277312713006</c:v>
                </c:pt>
                <c:pt idx="20">
                  <c:v>6315</c:v>
                </c:pt>
                <c:pt idx="21">
                  <c:v>7022</c:v>
                </c:pt>
                <c:pt idx="22">
                  <c:v>7019.5</c:v>
                </c:pt>
                <c:pt idx="23">
                  <c:v>7249.3725079049982</c:v>
                </c:pt>
                <c:pt idx="24">
                  <c:v>7298.9</c:v>
                </c:pt>
                <c:pt idx="25">
                  <c:v>7294.6</c:v>
                </c:pt>
                <c:pt idx="26">
                  <c:v>6909.7999999999993</c:v>
                </c:pt>
                <c:pt idx="27">
                  <c:v>7131.7999999999993</c:v>
                </c:pt>
                <c:pt idx="28">
                  <c:v>7171.1286912571504</c:v>
                </c:pt>
                <c:pt idx="29">
                  <c:v>7432.7713087428492</c:v>
                </c:pt>
              </c:numCache>
            </c:numRef>
          </c:val>
          <c:extLst>
            <c:ext xmlns:c16="http://schemas.microsoft.com/office/drawing/2014/chart" uri="{C3380CC4-5D6E-409C-BE32-E72D297353CC}">
              <c16:uniqueId val="{00000003-B529-4FFC-9196-6A733C8C3D55}"/>
            </c:ext>
          </c:extLst>
        </c:ser>
        <c:ser>
          <c:idx val="2"/>
          <c:order val="2"/>
          <c:tx>
            <c:strRef>
              <c:f>'Izvoz, uvoz (Q)'!$A$9</c:f>
              <c:strCache>
                <c:ptCount val="1"/>
                <c:pt idx="0">
                  <c:v>Дефицит</c:v>
                </c:pt>
              </c:strCache>
            </c:strRef>
          </c:tx>
          <c:spPr>
            <a:solidFill>
              <a:srgbClr val="ED1C24"/>
            </a:solidFill>
            <a:ln>
              <a:noFill/>
            </a:ln>
            <a:effectLst/>
          </c:spPr>
          <c:dLbls>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(Q)'!$W$3:$AZ$4</c:f>
              <c:multiLvlStrCache>
                <c:ptCount val="30"/>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pt idx="29">
                    <c:v>Q2</c:v>
                  </c:pt>
                </c:lvl>
                <c:lvl>
                  <c:pt idx="0">
                    <c:v>2017</c:v>
                  </c:pt>
                  <c:pt idx="4">
                    <c:v>2018</c:v>
                  </c:pt>
                  <c:pt idx="8">
                    <c:v>2019</c:v>
                  </c:pt>
                  <c:pt idx="12">
                    <c:v>2020</c:v>
                  </c:pt>
                  <c:pt idx="16">
                    <c:v>2021</c:v>
                  </c:pt>
                  <c:pt idx="20">
                    <c:v>2022</c:v>
                  </c:pt>
                  <c:pt idx="24">
                    <c:v>2023</c:v>
                  </c:pt>
                  <c:pt idx="28">
                    <c:v>2024</c:v>
                  </c:pt>
                </c:lvl>
              </c:multiLvlStrCache>
            </c:multiLvlStrRef>
          </c:cat>
          <c:val>
            <c:numRef>
              <c:f>'Izvoz, uvoz (Q)'!$W$9:$AZ$9</c:f>
              <c:numCache>
                <c:formatCode>#,##0.0</c:formatCode>
                <c:ptCount val="30"/>
                <c:pt idx="0">
                  <c:v>-991.70000000000027</c:v>
                </c:pt>
                <c:pt idx="1">
                  <c:v>-969.50000000000045</c:v>
                </c:pt>
                <c:pt idx="2">
                  <c:v>-921.59999999999854</c:v>
                </c:pt>
                <c:pt idx="3">
                  <c:v>-1462.4000000000015</c:v>
                </c:pt>
                <c:pt idx="4">
                  <c:v>-1246.7999999999997</c:v>
                </c:pt>
                <c:pt idx="5">
                  <c:v>-1240.1000000000004</c:v>
                </c:pt>
                <c:pt idx="6">
                  <c:v>-1327.9000000000005</c:v>
                </c:pt>
                <c:pt idx="7">
                  <c:v>-1821.8999999999996</c:v>
                </c:pt>
                <c:pt idx="8">
                  <c:v>-1458.5</c:v>
                </c:pt>
                <c:pt idx="9">
                  <c:v>-1453.2000000000007</c:v>
                </c:pt>
                <c:pt idx="10">
                  <c:v>-1438.8999999999978</c:v>
                </c:pt>
                <c:pt idx="11">
                  <c:v>-1988.2999999999993</c:v>
                </c:pt>
                <c:pt idx="12">
                  <c:v>-1749.3999999999996</c:v>
                </c:pt>
                <c:pt idx="13">
                  <c:v>-1146.0000000000009</c:v>
                </c:pt>
                <c:pt idx="14">
                  <c:v>-1422.7999999999984</c:v>
                </c:pt>
                <c:pt idx="15">
                  <c:v>-1622.7471985102329</c:v>
                </c:pt>
                <c:pt idx="16">
                  <c:v>-1178.6999999999998</c:v>
                </c:pt>
                <c:pt idx="17">
                  <c:v>-1850.8000000000002</c:v>
                </c:pt>
                <c:pt idx="18">
                  <c:v>-1736.0999999999985</c:v>
                </c:pt>
                <c:pt idx="19">
                  <c:v>-2311.7150840689719</c:v>
                </c:pt>
                <c:pt idx="20">
                  <c:v>-3035</c:v>
                </c:pt>
                <c:pt idx="21">
                  <c:v>-3220.9000000000015</c:v>
                </c:pt>
                <c:pt idx="22">
                  <c:v>-2361</c:v>
                </c:pt>
                <c:pt idx="23">
                  <c:v>-2791.6708071939647</c:v>
                </c:pt>
                <c:pt idx="24">
                  <c:v>-2141.1000000000004</c:v>
                </c:pt>
                <c:pt idx="25">
                  <c:v>-1912.1000000000004</c:v>
                </c:pt>
                <c:pt idx="26">
                  <c:v>-1645</c:v>
                </c:pt>
                <c:pt idx="27">
                  <c:v>-2527.5000000000036</c:v>
                </c:pt>
                <c:pt idx="28">
                  <c:v>-1969.1991062589386</c:v>
                </c:pt>
                <c:pt idx="29">
                  <c:v>-2312.1008937410625</c:v>
                </c:pt>
              </c:numCache>
            </c:numRef>
          </c:val>
          <c:extLst>
            <c:ext xmlns:c16="http://schemas.microsoft.com/office/drawing/2014/chart" uri="{C3380CC4-5D6E-409C-BE32-E72D297353CC}">
              <c16:uniqueId val="{00000004-B529-4FFC-9196-6A733C8C3D55}"/>
            </c:ext>
          </c:extLst>
        </c:ser>
        <c:dLbls>
          <c:showLegendKey val="0"/>
          <c:showVal val="0"/>
          <c:showCatName val="0"/>
          <c:showSerName val="0"/>
          <c:showPercent val="0"/>
          <c:showBubbleSize val="0"/>
        </c:dLbls>
        <c:axId val="1839202064"/>
        <c:axId val="1839196624"/>
      </c:areaChart>
      <c:catAx>
        <c:axId val="18392020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600" b="0" i="0" u="none" strike="noStrike" kern="1200" baseline="0">
                <a:solidFill>
                  <a:schemeClr val="tx2"/>
                </a:solidFill>
                <a:latin typeface="+mn-lt"/>
                <a:ea typeface="+mn-ea"/>
                <a:cs typeface="+mn-cs"/>
              </a:defRPr>
            </a:pPr>
            <a:endParaRPr lang="sr-Latn-RS"/>
          </a:p>
        </c:txPr>
        <c:crossAx val="1839196624"/>
        <c:crosses val="autoZero"/>
        <c:auto val="1"/>
        <c:lblAlgn val="ctr"/>
        <c:lblOffset val="0"/>
        <c:tickLblSkip val="1"/>
        <c:noMultiLvlLbl val="0"/>
      </c:catAx>
      <c:valAx>
        <c:axId val="183919662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202064"/>
        <c:crosses val="autoZero"/>
        <c:crossBetween val="between"/>
        <c:majorUnit val="1500"/>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539150826485673E-2"/>
          <c:y val="3.2258064516129031E-2"/>
          <c:w val="0.90409995360749396"/>
          <c:h val="0.77587777942851488"/>
        </c:manualLayout>
      </c:layout>
      <c:barChart>
        <c:barDir val="col"/>
        <c:grouping val="stacked"/>
        <c:varyColors val="0"/>
        <c:ser>
          <c:idx val="0"/>
          <c:order val="1"/>
          <c:tx>
            <c:strRef>
              <c:f>'Struktura CA i FA'!$B$10</c:f>
              <c:strCache>
                <c:ptCount val="1"/>
                <c:pt idx="0">
                  <c:v>Салдо робне размене </c:v>
                </c:pt>
              </c:strCache>
            </c:strRef>
          </c:tx>
          <c:spPr>
            <a:solidFill>
              <a:srgbClr val="10103C"/>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FA'!$I$10:$O$10</c:f>
              <c:numCache>
                <c:formatCode>0.0</c:formatCode>
                <c:ptCount val="7"/>
                <c:pt idx="0">
                  <c:v>-10.76280633976403</c:v>
                </c:pt>
                <c:pt idx="1">
                  <c:v>-14.746468422288594</c:v>
                </c:pt>
                <c:pt idx="2">
                  <c:v>-8.813969905152792</c:v>
                </c:pt>
                <c:pt idx="3">
                  <c:v>-9.850743216255772</c:v>
                </c:pt>
                <c:pt idx="4">
                  <c:v>-10.530905647034396</c:v>
                </c:pt>
                <c:pt idx="5">
                  <c:v>-10.954138057565917</c:v>
                </c:pt>
                <c:pt idx="6">
                  <c:v>-10.891032846344714</c:v>
                </c:pt>
              </c:numCache>
            </c:numRef>
          </c:val>
          <c:extLst>
            <c:ext xmlns:c16="http://schemas.microsoft.com/office/drawing/2014/chart" uri="{C3380CC4-5D6E-409C-BE32-E72D297353CC}">
              <c16:uniqueId val="{00000000-414B-4F13-A0FE-74E2C78C76FE}"/>
            </c:ext>
          </c:extLst>
        </c:ser>
        <c:ser>
          <c:idx val="1"/>
          <c:order val="2"/>
          <c:tx>
            <c:strRef>
              <c:f>'Struktura CA i FA'!$B$11</c:f>
              <c:strCache>
                <c:ptCount val="1"/>
                <c:pt idx="0">
                  <c:v>Салдо услугa</c:v>
                </c:pt>
              </c:strCache>
            </c:strRef>
          </c:tx>
          <c:spPr>
            <a:solidFill>
              <a:srgbClr val="29489A"/>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FA'!$I$11:$O$11</c:f>
              <c:numCache>
                <c:formatCode>0.0</c:formatCode>
                <c:ptCount val="7"/>
                <c:pt idx="0">
                  <c:v>2.5003466737396129</c:v>
                </c:pt>
                <c:pt idx="1">
                  <c:v>3.6444599199506169</c:v>
                </c:pt>
                <c:pt idx="2">
                  <c:v>4.1270028648133463</c:v>
                </c:pt>
                <c:pt idx="3">
                  <c:v>3.9003631902953431</c:v>
                </c:pt>
                <c:pt idx="4">
                  <c:v>4.3104390523804677</c:v>
                </c:pt>
                <c:pt idx="5">
                  <c:v>4.8095587938082369</c:v>
                </c:pt>
                <c:pt idx="6">
                  <c:v>6.1227464411490109</c:v>
                </c:pt>
              </c:numCache>
            </c:numRef>
          </c:val>
          <c:extLst>
            <c:ext xmlns:c16="http://schemas.microsoft.com/office/drawing/2014/chart" uri="{C3380CC4-5D6E-409C-BE32-E72D297353CC}">
              <c16:uniqueId val="{00000001-414B-4F13-A0FE-74E2C78C76FE}"/>
            </c:ext>
          </c:extLst>
        </c:ser>
        <c:ser>
          <c:idx val="2"/>
          <c:order val="3"/>
          <c:tx>
            <c:strRef>
              <c:f>'Struktura CA i FA'!$B$12</c:f>
              <c:strCache>
                <c:ptCount val="1"/>
                <c:pt idx="0">
                  <c:v>Салдо дохотка           </c:v>
                </c:pt>
              </c:strCache>
            </c:strRef>
          </c:tx>
          <c:spPr>
            <a:solidFill>
              <a:srgbClr val="2183C4"/>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FA'!$I$12:$O$12</c:f>
              <c:numCache>
                <c:formatCode>0.0</c:formatCode>
                <c:ptCount val="7"/>
                <c:pt idx="0">
                  <c:v>-3.6792012422107065</c:v>
                </c:pt>
                <c:pt idx="1">
                  <c:v>-4.7260234723992163</c:v>
                </c:pt>
                <c:pt idx="2">
                  <c:v>-5.2091786318051012</c:v>
                </c:pt>
                <c:pt idx="3">
                  <c:v>-5.2003588132154803</c:v>
                </c:pt>
                <c:pt idx="4">
                  <c:v>-5.2898598326485367</c:v>
                </c:pt>
                <c:pt idx="5">
                  <c:v>-5.2451236062411457</c:v>
                </c:pt>
                <c:pt idx="6">
                  <c:v>-5.0446322630877214</c:v>
                </c:pt>
              </c:numCache>
            </c:numRef>
          </c:val>
          <c:extLst>
            <c:ext xmlns:c16="http://schemas.microsoft.com/office/drawing/2014/chart" uri="{C3380CC4-5D6E-409C-BE32-E72D297353CC}">
              <c16:uniqueId val="{00000002-414B-4F13-A0FE-74E2C78C76FE}"/>
            </c:ext>
          </c:extLst>
        </c:ser>
        <c:ser>
          <c:idx val="3"/>
          <c:order val="4"/>
          <c:tx>
            <c:strRef>
              <c:f>'Struktura CA i FA'!$B$13</c:f>
              <c:strCache>
                <c:ptCount val="1"/>
                <c:pt idx="0">
                  <c:v>Салдо текућих трансфера</c:v>
                </c:pt>
              </c:strCache>
            </c:strRef>
          </c:tx>
          <c:spPr>
            <a:solidFill>
              <a:srgbClr val="51BBE7"/>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FA'!$I$13:$O$13</c:f>
              <c:numCache>
                <c:formatCode>0.0</c:formatCode>
                <c:ptCount val="7"/>
                <c:pt idx="0">
                  <c:v>7.8909433369144146</c:v>
                </c:pt>
                <c:pt idx="1">
                  <c:v>9.2734544229393272</c:v>
                </c:pt>
                <c:pt idx="2">
                  <c:v>7.4976945424666708</c:v>
                </c:pt>
                <c:pt idx="3">
                  <c:v>6.7629079401910248</c:v>
                </c:pt>
                <c:pt idx="4">
                  <c:v>6.2888033203589888</c:v>
                </c:pt>
                <c:pt idx="5">
                  <c:v>5.9430634409425895</c:v>
                </c:pt>
                <c:pt idx="6">
                  <c:v>5.5725588952713201</c:v>
                </c:pt>
              </c:numCache>
            </c:numRef>
          </c:val>
          <c:extLst>
            <c:ext xmlns:c16="http://schemas.microsoft.com/office/drawing/2014/chart" uri="{C3380CC4-5D6E-409C-BE32-E72D297353CC}">
              <c16:uniqueId val="{00000003-414B-4F13-A0FE-74E2C78C76FE}"/>
            </c:ext>
          </c:extLst>
        </c:ser>
        <c:dLbls>
          <c:showLegendKey val="0"/>
          <c:showVal val="0"/>
          <c:showCatName val="0"/>
          <c:showSerName val="0"/>
          <c:showPercent val="0"/>
          <c:showBubbleSize val="0"/>
        </c:dLbls>
        <c:gapWidth val="50"/>
        <c:overlap val="100"/>
        <c:axId val="1763590384"/>
        <c:axId val="1763611056"/>
      </c:barChart>
      <c:lineChart>
        <c:grouping val="standard"/>
        <c:varyColors val="0"/>
        <c:ser>
          <c:idx val="4"/>
          <c:order val="0"/>
          <c:tx>
            <c:strRef>
              <c:f>'Struktura CA i FA'!$B$9</c:f>
              <c:strCache>
                <c:ptCount val="1"/>
                <c:pt idx="0">
                  <c:v>Дефицит текућег рачуна</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'Struktura CA i FA'!$I$8:$O$8</c:f>
              <c:strCache>
                <c:ptCount val="7"/>
                <c:pt idx="0">
                  <c:v>2021</c:v>
                </c:pt>
                <c:pt idx="1">
                  <c:v>2022</c:v>
                </c:pt>
                <c:pt idx="2">
                  <c:v>2023</c:v>
                </c:pt>
                <c:pt idx="3">
                  <c:v>2024*</c:v>
                </c:pt>
                <c:pt idx="4">
                  <c:v>2025</c:v>
                </c:pt>
                <c:pt idx="5">
                  <c:v>2026</c:v>
                </c:pt>
                <c:pt idx="6">
                  <c:v>2027</c:v>
                </c:pt>
              </c:strCache>
            </c:strRef>
          </c:cat>
          <c:val>
            <c:numRef>
              <c:f>'Struktura CA i FA'!$I$9:$O$9</c:f>
              <c:numCache>
                <c:formatCode>0.0</c:formatCode>
                <c:ptCount val="7"/>
                <c:pt idx="0">
                  <c:v>-4.0507175713207104</c:v>
                </c:pt>
                <c:pt idx="1">
                  <c:v>-6.5545775517978644</c:v>
                </c:pt>
                <c:pt idx="2">
                  <c:v>-2.3984511296778761</c:v>
                </c:pt>
                <c:pt idx="3">
                  <c:v>-4.3878308989848858</c:v>
                </c:pt>
                <c:pt idx="4">
                  <c:v>-5.2215231069434767</c:v>
                </c:pt>
                <c:pt idx="5">
                  <c:v>-5.4466394290562352</c:v>
                </c:pt>
                <c:pt idx="6">
                  <c:v>-4.2403597730121039</c:v>
                </c:pt>
              </c:numCache>
            </c:numRef>
          </c:val>
          <c:smooth val="0"/>
          <c:extLst>
            <c:ext xmlns:c16="http://schemas.microsoft.com/office/drawing/2014/chart" uri="{C3380CC4-5D6E-409C-BE32-E72D297353CC}">
              <c16:uniqueId val="{00000004-414B-4F13-A0FE-74E2C78C76FE}"/>
            </c:ext>
          </c:extLst>
        </c:ser>
        <c:dLbls>
          <c:showLegendKey val="0"/>
          <c:showVal val="0"/>
          <c:showCatName val="0"/>
          <c:showSerName val="0"/>
          <c:showPercent val="0"/>
          <c:showBubbleSize val="0"/>
        </c:dLbls>
        <c:marker val="1"/>
        <c:smooth val="0"/>
        <c:axId val="1763590384"/>
        <c:axId val="1763611056"/>
      </c:lineChart>
      <c:catAx>
        <c:axId val="1763590384"/>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sr-Latn-RS"/>
          </a:p>
        </c:txPr>
        <c:crossAx val="1763611056"/>
        <c:crosses val="autoZero"/>
        <c:auto val="1"/>
        <c:lblAlgn val="ctr"/>
        <c:lblOffset val="100"/>
        <c:noMultiLvlLbl val="0"/>
      </c:catAx>
      <c:valAx>
        <c:axId val="1763611056"/>
        <c:scaling>
          <c:orientation val="minMax"/>
          <c:max val="15"/>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3590384"/>
        <c:crosses val="autoZero"/>
        <c:crossBetween val="between"/>
        <c:majorUnit val="5"/>
      </c:valAx>
      <c:spPr>
        <a:noFill/>
        <a:ln>
          <a:noFill/>
        </a:ln>
        <a:effectLst/>
      </c:spPr>
    </c:plotArea>
    <c:legend>
      <c:legendPos val="b"/>
      <c:layout>
        <c:manualLayout>
          <c:xMode val="edge"/>
          <c:yMode val="edge"/>
          <c:x val="1.14209682123068E-3"/>
          <c:y val="0.82596989055613323"/>
          <c:w val="0.99885790317876932"/>
          <c:h val="0.1740301094438666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7937445319335081E-2"/>
          <c:y val="5.0925925925925923E-2"/>
          <c:w val="0.92150699912510936"/>
          <c:h val="0.70304067460317465"/>
        </c:manualLayout>
      </c:layout>
      <c:barChart>
        <c:barDir val="col"/>
        <c:grouping val="clustered"/>
        <c:varyColors val="0"/>
        <c:ser>
          <c:idx val="0"/>
          <c:order val="0"/>
          <c:tx>
            <c:strRef>
              <c:f>'Def. tek. racuna i SDI'!$B$8</c:f>
              <c:strCache>
                <c:ptCount val="1"/>
                <c:pt idx="0">
                  <c:v>Дефицит текућег рачуна, % БДП</c:v>
                </c:pt>
              </c:strCache>
            </c:strRef>
          </c:tx>
          <c:spPr>
            <a:solidFill>
              <a:srgbClr val="29489A"/>
            </a:solidFill>
            <a:ln>
              <a:noFill/>
            </a:ln>
            <a:effectLst/>
          </c:spPr>
          <c:invertIfNegative val="0"/>
          <c:cat>
            <c:strRef>
              <c:f>'Def. tek. racuna i SDI'!$H$7:$O$7</c:f>
              <c:strCache>
                <c:ptCount val="8"/>
                <c:pt idx="0">
                  <c:v>2020</c:v>
                </c:pt>
                <c:pt idx="1">
                  <c:v>2021</c:v>
                </c:pt>
                <c:pt idx="2">
                  <c:v>2022</c:v>
                </c:pt>
                <c:pt idx="3">
                  <c:v>2023</c:v>
                </c:pt>
                <c:pt idx="4">
                  <c:v>2024*</c:v>
                </c:pt>
                <c:pt idx="5">
                  <c:v>2025</c:v>
                </c:pt>
                <c:pt idx="6">
                  <c:v>2026</c:v>
                </c:pt>
                <c:pt idx="7">
                  <c:v>2027</c:v>
                </c:pt>
              </c:strCache>
            </c:strRef>
          </c:cat>
          <c:val>
            <c:numRef>
              <c:f>'Def. tek. racuna i SDI'!$H$8:$O$8</c:f>
              <c:numCache>
                <c:formatCode>0.0</c:formatCode>
                <c:ptCount val="8"/>
                <c:pt idx="0">
                  <c:v>3.9343253560859943</c:v>
                </c:pt>
                <c:pt idx="1">
                  <c:v>4.0507175713207104</c:v>
                </c:pt>
                <c:pt idx="2">
                  <c:v>6.5545775517978644</c:v>
                </c:pt>
                <c:pt idx="3">
                  <c:v>2.3984511296778761</c:v>
                </c:pt>
                <c:pt idx="4">
                  <c:v>4.3878308989848858</c:v>
                </c:pt>
                <c:pt idx="5">
                  <c:v>5.2215231069434767</c:v>
                </c:pt>
                <c:pt idx="6">
                  <c:v>5.4</c:v>
                </c:pt>
                <c:pt idx="7">
                  <c:v>4.2403597730121039</c:v>
                </c:pt>
              </c:numCache>
            </c:numRef>
          </c:val>
          <c:extLst>
            <c:ext xmlns:c16="http://schemas.microsoft.com/office/drawing/2014/chart" uri="{C3380CC4-5D6E-409C-BE32-E72D297353CC}">
              <c16:uniqueId val="{00000000-A0C2-4796-A612-A93C7AAD0FF9}"/>
            </c:ext>
          </c:extLst>
        </c:ser>
        <c:ser>
          <c:idx val="1"/>
          <c:order val="1"/>
          <c:tx>
            <c:strRef>
              <c:f>'Def. tek. racuna i SDI'!$B$9</c:f>
              <c:strCache>
                <c:ptCount val="1"/>
                <c:pt idx="0">
                  <c:v>Стране директне инвестиције, нето, % БДП</c:v>
                </c:pt>
              </c:strCache>
            </c:strRef>
          </c:tx>
          <c:spPr>
            <a:solidFill>
              <a:srgbClr val="51BBE7"/>
            </a:solidFill>
            <a:ln>
              <a:noFill/>
            </a:ln>
            <a:effectLst/>
          </c:spPr>
          <c:invertIfNegative val="0"/>
          <c:cat>
            <c:strRef>
              <c:f>'Def. tek. racuna i SDI'!$H$7:$O$7</c:f>
              <c:strCache>
                <c:ptCount val="8"/>
                <c:pt idx="0">
                  <c:v>2020</c:v>
                </c:pt>
                <c:pt idx="1">
                  <c:v>2021</c:v>
                </c:pt>
                <c:pt idx="2">
                  <c:v>2022</c:v>
                </c:pt>
                <c:pt idx="3">
                  <c:v>2023</c:v>
                </c:pt>
                <c:pt idx="4">
                  <c:v>2024*</c:v>
                </c:pt>
                <c:pt idx="5">
                  <c:v>2025</c:v>
                </c:pt>
                <c:pt idx="6">
                  <c:v>2026</c:v>
                </c:pt>
                <c:pt idx="7">
                  <c:v>2027</c:v>
                </c:pt>
              </c:strCache>
            </c:strRef>
          </c:cat>
          <c:val>
            <c:numRef>
              <c:f>'Def. tek. racuna i SDI'!$H$9:$O$9</c:f>
              <c:numCache>
                <c:formatCode>0.0</c:formatCode>
                <c:ptCount val="8"/>
                <c:pt idx="0">
                  <c:v>5.9939475739609378</c:v>
                </c:pt>
                <c:pt idx="1">
                  <c:v>6.5382162780165736</c:v>
                </c:pt>
                <c:pt idx="2">
                  <c:v>6.8159641382655467</c:v>
                </c:pt>
                <c:pt idx="3">
                  <c:v>5.6667293755680861</c:v>
                </c:pt>
                <c:pt idx="4">
                  <c:v>5.4445071143054093</c:v>
                </c:pt>
                <c:pt idx="5">
                  <c:v>5.3806728769858498</c:v>
                </c:pt>
                <c:pt idx="6">
                  <c:v>5.3931714499656946</c:v>
                </c:pt>
                <c:pt idx="7">
                  <c:v>4.9370916528280988</c:v>
                </c:pt>
              </c:numCache>
            </c:numRef>
          </c:val>
          <c:extLst>
            <c:ext xmlns:c16="http://schemas.microsoft.com/office/drawing/2014/chart" uri="{C3380CC4-5D6E-409C-BE32-E72D297353CC}">
              <c16:uniqueId val="{00000001-A0C2-4796-A612-A93C7AAD0FF9}"/>
            </c:ext>
          </c:extLst>
        </c:ser>
        <c:dLbls>
          <c:showLegendKey val="0"/>
          <c:showVal val="0"/>
          <c:showCatName val="0"/>
          <c:showSerName val="0"/>
          <c:showPercent val="0"/>
          <c:showBubbleSize val="0"/>
        </c:dLbls>
        <c:gapWidth val="80"/>
        <c:overlap val="-11"/>
        <c:axId val="1839176496"/>
        <c:axId val="1839185744"/>
      </c:barChart>
      <c:catAx>
        <c:axId val="183917649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5744"/>
        <c:crosses val="autoZero"/>
        <c:auto val="1"/>
        <c:lblAlgn val="ctr"/>
        <c:lblOffset val="100"/>
        <c:noMultiLvlLbl val="0"/>
      </c:catAx>
      <c:valAx>
        <c:axId val="183918574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6496"/>
        <c:crosses val="autoZero"/>
        <c:crossBetween val="between"/>
      </c:valAx>
      <c:spPr>
        <a:noFill/>
        <a:ln>
          <a:noFill/>
        </a:ln>
        <a:effectLst/>
      </c:spPr>
    </c:plotArea>
    <c:legend>
      <c:legendPos val="b"/>
      <c:layout>
        <c:manualLayout>
          <c:xMode val="edge"/>
          <c:yMode val="edge"/>
          <c:x val="1.0742927967337418E-2"/>
          <c:y val="0.86493849206349194"/>
          <c:w val="0.97274511918886852"/>
          <c:h val="0.1224620951507275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38435239489954"/>
          <c:y val="6.842061127661922E-2"/>
          <c:w val="0.858350771542297"/>
          <c:h val="0.89994549266247381"/>
        </c:manualLayout>
      </c:layout>
      <c:barChart>
        <c:barDir val="col"/>
        <c:grouping val="clustered"/>
        <c:varyColors val="0"/>
        <c:ser>
          <c:idx val="0"/>
          <c:order val="0"/>
          <c:tx>
            <c:v>Фискални резултат</c:v>
          </c:tx>
          <c:spPr>
            <a:solidFill>
              <a:schemeClr val="accent1">
                <a:shade val="76000"/>
              </a:schemeClr>
            </a:solidFill>
            <a:ln>
              <a:noFill/>
            </a:ln>
            <a:effectLst/>
          </c:spPr>
          <c:invertIfNegative val="0"/>
          <c:dLbls>
            <c:dLbl>
              <c:idx val="0"/>
              <c:layout>
                <c:manualLayout>
                  <c:x val="9.2592592592592379E-3"/>
                  <c:y val="1.673640167364016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4BB-4372-AF15-565FE94BA9C9}"/>
                </c:ext>
              </c:extLst>
            </c:dLbl>
            <c:dLbl>
              <c:idx val="2"/>
              <c:layout>
                <c:manualLayout>
                  <c:x val="-4.2437781360066642E-17"/>
                  <c:y val="1.115760111576011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4BB-4372-AF15-565FE94BA9C9}"/>
                </c:ext>
              </c:extLst>
            </c:dLbl>
            <c:dLbl>
              <c:idx val="3"/>
              <c:layout>
                <c:manualLayout>
                  <c:x val="-1.8518518518518563E-2"/>
                  <c:y val="1.115760111576011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4BB-4372-AF15-565FE94BA9C9}"/>
                </c:ext>
              </c:extLst>
            </c:dLbl>
            <c:dLbl>
              <c:idx val="4"/>
              <c:layout>
                <c:manualLayout>
                  <c:x val="-8.4875562720133283E-17"/>
                  <c:y val="2.231520223152022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4BB-4372-AF15-565FE94BA9C9}"/>
                </c:ext>
              </c:extLst>
            </c:dLbl>
            <c:dLbl>
              <c:idx val="5"/>
              <c:layout>
                <c:manualLayout>
                  <c:x val="0"/>
                  <c:y val="2.231520223152032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4BB-4372-AF15-565FE94BA9C9}"/>
                </c:ext>
              </c:extLst>
            </c:dLbl>
            <c:dLbl>
              <c:idx val="6"/>
              <c:layout>
                <c:manualLayout>
                  <c:x val="0"/>
                  <c:y val="3.347280334728043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4BB-4372-AF15-565FE94BA9C9}"/>
                </c:ext>
              </c:extLst>
            </c:dLbl>
            <c:dLbl>
              <c:idx val="7"/>
              <c:layout>
                <c:manualLayout>
                  <c:x val="8.4875562720133283E-17"/>
                  <c:y val="2.789400278940038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4BB-4372-AF15-565FE94BA9C9}"/>
                </c:ext>
              </c:extLst>
            </c:dLbl>
            <c:dLbl>
              <c:idx val="8"/>
              <c:layout>
                <c:manualLayout>
                  <c:x val="9.2592592592592587E-3"/>
                  <c:y val="2.231564150715470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4BB-4372-AF15-565FE94BA9C9}"/>
                </c:ext>
              </c:extLst>
            </c:dLbl>
            <c:dLbl>
              <c:idx val="9"/>
              <c:layout>
                <c:manualLayout>
                  <c:x val="4.6296296296296294E-3"/>
                  <c:y val="2.789400278940027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4BB-4372-AF15-565FE94BA9C9}"/>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Yearly'!$CQ$7:$CX$8,'Quaterly, Yearly'!$CY$7:$CY$8,'Quaterly, Yearly'!$CZ$7:$CZ$8)</c:f>
              <c:strCache>
                <c:ptCount val="10"/>
                <c:pt idx="0">
                  <c:v>2015</c:v>
                </c:pt>
                <c:pt idx="1">
                  <c:v>2016</c:v>
                </c:pt>
                <c:pt idx="2">
                  <c:v>2017</c:v>
                </c:pt>
                <c:pt idx="3">
                  <c:v>2018</c:v>
                </c:pt>
                <c:pt idx="4">
                  <c:v>2019</c:v>
                </c:pt>
                <c:pt idx="5">
                  <c:v>2020</c:v>
                </c:pt>
                <c:pt idx="6">
                  <c:v>2021</c:v>
                </c:pt>
                <c:pt idx="7">
                  <c:v>2022</c:v>
                </c:pt>
                <c:pt idx="8">
                  <c:v>2023</c:v>
                </c:pt>
                <c:pt idx="9">
                  <c:v>2024</c:v>
                </c:pt>
              </c:strCache>
            </c:strRef>
          </c:cat>
          <c:val>
            <c:numRef>
              <c:f>('Quaterly, Yearly'!$CQ$78:$CW$78,'Quaterly, Yearly'!$CX$78,'Quaterly, Yearly'!$CY$78,'Quaterly, Yearly'!$CZ$78)</c:f>
              <c:numCache>
                <c:formatCode>#,##0.00</c:formatCode>
                <c:ptCount val="10"/>
                <c:pt idx="0">
                  <c:v>-3.3187939284991961</c:v>
                </c:pt>
                <c:pt idx="1">
                  <c:v>-1.149397976075984</c:v>
                </c:pt>
                <c:pt idx="2">
                  <c:v>1.0557686096933128</c:v>
                </c:pt>
                <c:pt idx="3">
                  <c:v>0.60940162463875103</c:v>
                </c:pt>
                <c:pt idx="4">
                  <c:v>-0.196032233371843</c:v>
                </c:pt>
                <c:pt idx="5">
                  <c:v>-7.6817157912618725</c:v>
                </c:pt>
                <c:pt idx="6">
                  <c:v>-3.944488655583605</c:v>
                </c:pt>
                <c:pt idx="7">
                  <c:v>-3.0145095743510497</c:v>
                </c:pt>
                <c:pt idx="8">
                  <c:v>-2.0537459179069364</c:v>
                </c:pt>
                <c:pt idx="9">
                  <c:v>-2.7</c:v>
                </c:pt>
              </c:numCache>
            </c:numRef>
          </c:val>
          <c:extLst>
            <c:ext xmlns:c16="http://schemas.microsoft.com/office/drawing/2014/chart" uri="{C3380CC4-5D6E-409C-BE32-E72D297353CC}">
              <c16:uniqueId val="{00000009-14BB-4372-AF15-565FE94BA9C9}"/>
            </c:ext>
          </c:extLst>
        </c:ser>
        <c:ser>
          <c:idx val="1"/>
          <c:order val="1"/>
          <c:tx>
            <c:v>Примарни фискални резултат</c:v>
          </c:tx>
          <c:spPr>
            <a:solidFill>
              <a:schemeClr val="accent1">
                <a:tint val="77000"/>
              </a:schemeClr>
            </a:solidFill>
            <a:ln>
              <a:noFill/>
            </a:ln>
            <a:effectLst/>
          </c:spPr>
          <c:invertIfNegative val="0"/>
          <c:dLbls>
            <c:dLbl>
              <c:idx val="0"/>
              <c:layout>
                <c:manualLayout>
                  <c:x val="6.6914552347623005E-3"/>
                  <c:y val="6.239471112136087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4BB-4372-AF15-565FE94BA9C9}"/>
                </c:ext>
              </c:extLst>
            </c:dLbl>
            <c:dLbl>
              <c:idx val="1"/>
              <c:layout>
                <c:manualLayout>
                  <c:x val="-3.2072032662584268E-3"/>
                  <c:y val="8.172723179477042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4BB-4372-AF15-565FE94BA9C9}"/>
                </c:ext>
              </c:extLst>
            </c:dLbl>
            <c:dLbl>
              <c:idx val="2"/>
              <c:layout>
                <c:manualLayout>
                  <c:x val="-2.4176144648586019E-3"/>
                  <c:y val="1.00848900163630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4BB-4372-AF15-565FE94BA9C9}"/>
                </c:ext>
              </c:extLst>
            </c:dLbl>
            <c:dLbl>
              <c:idx val="3"/>
              <c:layout>
                <c:manualLayout>
                  <c:x val="2.6858041798127055E-3"/>
                  <c:y val="3.62947391256674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4BB-4372-AF15-565FE94BA9C9}"/>
                </c:ext>
              </c:extLst>
            </c:dLbl>
            <c:dLbl>
              <c:idx val="4"/>
              <c:layout>
                <c:manualLayout>
                  <c:x val="7.0793234179052458E-4"/>
                  <c:y val="5.838412457857019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4BB-4372-AF15-565FE94BA9C9}"/>
                </c:ext>
              </c:extLst>
            </c:dLbl>
            <c:dLbl>
              <c:idx val="5"/>
              <c:layout>
                <c:manualLayout>
                  <c:x val="2.9596092155147274E-2"/>
                  <c:y val="2.00388758936513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4BB-4372-AF15-565FE94BA9C9}"/>
                </c:ext>
              </c:extLst>
            </c:dLbl>
            <c:dLbl>
              <c:idx val="6"/>
              <c:layout>
                <c:manualLayout>
                  <c:x val="9.1054243219597548E-3"/>
                  <c:y val="3.151231619060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14BB-4372-AF15-565FE94BA9C9}"/>
                </c:ext>
              </c:extLst>
            </c:dLbl>
            <c:dLbl>
              <c:idx val="7"/>
              <c:layout>
                <c:manualLayout>
                  <c:x val="5.9456109652960051E-3"/>
                  <c:y val="3.05819303967757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14BB-4372-AF15-565FE94BA9C9}"/>
                </c:ext>
              </c:extLst>
            </c:dLbl>
            <c:dLbl>
              <c:idx val="8"/>
              <c:layout>
                <c:manualLayout>
                  <c:x val="5.4635722476333764E-3"/>
                  <c:y val="8.776520461182104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14BB-4372-AF15-565FE94BA9C9}"/>
                </c:ext>
              </c:extLst>
            </c:dLbl>
            <c:dLbl>
              <c:idx val="9"/>
              <c:layout>
                <c:manualLayout>
                  <c:x val="4.366405527357735E-3"/>
                  <c:y val="6.30301398829895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4BB-4372-AF15-565FE94BA9C9}"/>
                </c:ext>
              </c:extLst>
            </c:dLbl>
            <c:dLbl>
              <c:idx val="10"/>
              <c:layout>
                <c:manualLayout>
                  <c:x val="-3.1357910371513177E-2"/>
                  <c:y val="-1.5058062466060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4BB-4372-AF15-565FE94BA9C9}"/>
                </c:ext>
              </c:extLst>
            </c:dLbl>
            <c:dLbl>
              <c:idx val="11"/>
              <c:layout>
                <c:manualLayout>
                  <c:x val="-4.746385337205393E-2"/>
                  <c:y val="-2.50967707767667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14BB-4372-AF15-565FE94BA9C9}"/>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Yearly'!$CQ$7:$CX$8,'Quaterly, Yearly'!$CY$7:$CY$8,'Quaterly, Yearly'!$CZ$7:$CZ$8)</c:f>
              <c:strCache>
                <c:ptCount val="10"/>
                <c:pt idx="0">
                  <c:v>2015</c:v>
                </c:pt>
                <c:pt idx="1">
                  <c:v>2016</c:v>
                </c:pt>
                <c:pt idx="2">
                  <c:v>2017</c:v>
                </c:pt>
                <c:pt idx="3">
                  <c:v>2018</c:v>
                </c:pt>
                <c:pt idx="4">
                  <c:v>2019</c:v>
                </c:pt>
                <c:pt idx="5">
                  <c:v>2020</c:v>
                </c:pt>
                <c:pt idx="6">
                  <c:v>2021</c:v>
                </c:pt>
                <c:pt idx="7">
                  <c:v>2022</c:v>
                </c:pt>
                <c:pt idx="8">
                  <c:v>2023</c:v>
                </c:pt>
                <c:pt idx="9">
                  <c:v>2024</c:v>
                </c:pt>
              </c:strCache>
            </c:strRef>
          </c:cat>
          <c:val>
            <c:numRef>
              <c:f>('Quaterly, Yearly'!$CQ$79:$CW$79,'Quaterly, Yearly'!$CX$79,'Quaterly, Yearly'!$CY$79,'Quaterly, Yearly'!$CZ$79)</c:f>
              <c:numCache>
                <c:formatCode>#,##0.00</c:formatCode>
                <c:ptCount val="10"/>
                <c:pt idx="0">
                  <c:v>-0.4519075558326654</c:v>
                </c:pt>
                <c:pt idx="1">
                  <c:v>1.6426873720543391</c:v>
                </c:pt>
                <c:pt idx="2">
                  <c:v>3.4929502757705762</c:v>
                </c:pt>
                <c:pt idx="3">
                  <c:v>2.6358109426223959</c:v>
                </c:pt>
                <c:pt idx="4">
                  <c:v>1.7134410602148162</c:v>
                </c:pt>
                <c:pt idx="5">
                  <c:v>-5.7708509545761064</c:v>
                </c:pt>
                <c:pt idx="6">
                  <c:v>-2.2923653385556717</c:v>
                </c:pt>
                <c:pt idx="7">
                  <c:v>-1.5817930823645041</c:v>
                </c:pt>
                <c:pt idx="8">
                  <c:v>-0.46896121122711304</c:v>
                </c:pt>
                <c:pt idx="9">
                  <c:v>-0.9</c:v>
                </c:pt>
              </c:numCache>
            </c:numRef>
          </c:val>
          <c:extLst>
            <c:ext xmlns:c16="http://schemas.microsoft.com/office/drawing/2014/chart" uri="{C3380CC4-5D6E-409C-BE32-E72D297353CC}">
              <c16:uniqueId val="{00000016-14BB-4372-AF15-565FE94BA9C9}"/>
            </c:ext>
          </c:extLst>
        </c:ser>
        <c:dLbls>
          <c:showLegendKey val="0"/>
          <c:showVal val="0"/>
          <c:showCatName val="0"/>
          <c:showSerName val="0"/>
          <c:showPercent val="0"/>
          <c:showBubbleSize val="0"/>
        </c:dLbls>
        <c:gapWidth val="150"/>
        <c:axId val="522006368"/>
        <c:axId val="522006928"/>
      </c:barChart>
      <c:catAx>
        <c:axId val="522006368"/>
        <c:scaling>
          <c:orientation val="minMax"/>
        </c:scaling>
        <c:delete val="0"/>
        <c:axPos val="b"/>
        <c:numFmt formatCode="General" sourceLinked="1"/>
        <c:majorTickMark val="out"/>
        <c:minorTickMark val="none"/>
        <c:tickLblPos val="high"/>
        <c:spPr>
          <a:noFill/>
          <a:ln w="12700" cap="flat" cmpd="sng" algn="ctr">
            <a:solidFill>
              <a:schemeClr val="tx1">
                <a:lumMod val="50000"/>
                <a:lumOff val="50000"/>
              </a:schemeClr>
            </a:solidFill>
            <a:prstDash val="sysDash"/>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928"/>
        <c:crosses val="autoZero"/>
        <c:auto val="1"/>
        <c:lblAlgn val="ctr"/>
        <c:lblOffset val="100"/>
        <c:noMultiLvlLbl val="0"/>
      </c:catAx>
      <c:valAx>
        <c:axId val="522006928"/>
        <c:scaling>
          <c:orientation val="minMax"/>
          <c:max val="5"/>
          <c:min val="-10"/>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b="0">
                    <a:latin typeface="+mn-lt"/>
                  </a:rPr>
                  <a:t>% </a:t>
                </a:r>
                <a:r>
                  <a:rPr lang="sr-Cyrl-RS" sz="800" b="0">
                    <a:latin typeface="+mn-lt"/>
                  </a:rPr>
                  <a:t>БДП</a:t>
                </a:r>
                <a:endParaRPr lang="en-US" sz="800" b="0">
                  <a:latin typeface="+mn-lt"/>
                </a:endParaRPr>
              </a:p>
            </c:rich>
          </c:tx>
          <c:layout>
            <c:manualLayout>
              <c:xMode val="edge"/>
              <c:yMode val="edge"/>
              <c:x val="5.1503718285214349E-2"/>
              <c:y val="0.44465895737928157"/>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368"/>
        <c:crosses val="autoZero"/>
        <c:crossBetween val="between"/>
      </c:valAx>
      <c:spPr>
        <a:noFill/>
        <a:ln>
          <a:noFill/>
        </a:ln>
        <a:effectLst/>
      </c:spPr>
    </c:plotArea>
    <c:legend>
      <c:legendPos val="b"/>
      <c:layout>
        <c:manualLayout>
          <c:xMode val="edge"/>
          <c:yMode val="edge"/>
          <c:x val="8.797462817147858E-2"/>
          <c:y val="0.86012936667435402"/>
          <c:w val="0.74961382846771729"/>
          <c:h val="0.1152205361251488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latin typeface="Georgia" panose="02040502050405020303" pitchFamily="18" charset="0"/>
        </a:defRPr>
      </a:pPr>
      <a:endParaRPr lang="sr-Latn-RS"/>
    </a:p>
  </c:txPr>
  <c:externalData r:id="rId4">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1" i="0" u="none" strike="noStrike" kern="1200" spc="0" baseline="0">
                <a:solidFill>
                  <a:schemeClr val="tx1">
                    <a:lumMod val="65000"/>
                    <a:lumOff val="35000"/>
                  </a:schemeClr>
                </a:solidFill>
                <a:latin typeface="+mj-lt"/>
                <a:ea typeface="+mn-ea"/>
                <a:cs typeface="+mn-cs"/>
              </a:defRPr>
            </a:pPr>
            <a:r>
              <a:rPr lang="sr-Cyrl-RS" sz="800" b="1" i="0" u="none" strike="noStrike" baseline="0">
                <a:solidFill>
                  <a:schemeClr val="tx1">
                    <a:lumMod val="65000"/>
                    <a:lumOff val="35000"/>
                  </a:schemeClr>
                </a:solidFill>
                <a:effectLst/>
                <a:latin typeface="+mj-lt"/>
              </a:rPr>
              <a:t>Фискални подиндекс и подиндекс макро-финансијске конкурентности за земље ЕУ и Србију за  20</a:t>
            </a:r>
            <a:r>
              <a:rPr lang="sr-Latn-RS" sz="800" b="1" i="0" u="none" strike="noStrike" baseline="0">
                <a:solidFill>
                  <a:schemeClr val="tx1">
                    <a:lumMod val="65000"/>
                    <a:lumOff val="35000"/>
                  </a:schemeClr>
                </a:solidFill>
                <a:effectLst/>
                <a:latin typeface="+mj-lt"/>
              </a:rPr>
              <a:t>23.</a:t>
            </a:r>
            <a:r>
              <a:rPr lang="sr-Cyrl-RS" sz="800" b="1" i="0" u="none" strike="noStrike" baseline="0">
                <a:solidFill>
                  <a:schemeClr val="tx1">
                    <a:lumMod val="65000"/>
                    <a:lumOff val="35000"/>
                  </a:schemeClr>
                </a:solidFill>
                <a:effectLst/>
                <a:latin typeface="+mj-lt"/>
              </a:rPr>
              <a:t> годину</a:t>
            </a:r>
            <a:endParaRPr lang="en-US" sz="800" b="1">
              <a:solidFill>
                <a:schemeClr val="tx1">
                  <a:lumMod val="65000"/>
                  <a:lumOff val="35000"/>
                </a:schemeClr>
              </a:solidFill>
              <a:latin typeface="+mj-lt"/>
            </a:endParaRPr>
          </a:p>
        </c:rich>
      </c:tx>
      <c:overlay val="0"/>
      <c:spPr>
        <a:noFill/>
        <a:ln>
          <a:noFill/>
        </a:ln>
        <a:effectLst/>
      </c:spPr>
      <c:txPr>
        <a:bodyPr rot="0" spcFirstLastPara="1" vertOverflow="ellipsis" vert="horz" wrap="square" anchor="ctr" anchorCtr="1"/>
        <a:lstStyle/>
        <a:p>
          <a:pPr>
            <a:defRPr sz="800" b="1" i="0" u="none" strike="noStrike" kern="1200" spc="0" baseline="0">
              <a:solidFill>
                <a:schemeClr val="tx1">
                  <a:lumMod val="65000"/>
                  <a:lumOff val="35000"/>
                </a:schemeClr>
              </a:solidFill>
              <a:latin typeface="+mj-lt"/>
              <a:ea typeface="+mn-ea"/>
              <a:cs typeface="+mn-cs"/>
            </a:defRPr>
          </a:pPr>
          <a:endParaRPr lang="sr-Latn-RS"/>
        </a:p>
      </c:txPr>
    </c:title>
    <c:autoTitleDeleted val="0"/>
    <c:plotArea>
      <c:layout>
        <c:manualLayout>
          <c:layoutTarget val="inner"/>
          <c:xMode val="edge"/>
          <c:yMode val="edge"/>
          <c:x val="0.12592596251691876"/>
          <c:y val="8.2473495136371477E-2"/>
          <c:w val="0.8183443819836197"/>
          <c:h val="0.81333285058353966"/>
        </c:manualLayout>
      </c:layout>
      <c:scatterChart>
        <c:scatterStyle val="smoothMarker"/>
        <c:varyColors val="0"/>
        <c:ser>
          <c:idx val="1"/>
          <c:order val="1"/>
          <c:tx>
            <c:v>Prag fiskalnog podindeksa</c:v>
          </c:tx>
          <c:spPr>
            <a:ln w="12700" cap="rnd">
              <a:solidFill>
                <a:srgbClr val="7030A0"/>
              </a:solidFill>
              <a:round/>
            </a:ln>
            <a:effectLst/>
          </c:spPr>
          <c:marker>
            <c:symbol val="none"/>
          </c:marker>
          <c:xVal>
            <c:numRef>
              <c:f>'2023'!$F$4:$F$31</c:f>
              <c:numCache>
                <c:formatCode>0.00</c:formatCode>
                <c:ptCount val="28"/>
                <c:pt idx="0">
                  <c:v>0.36</c:v>
                </c:pt>
                <c:pt idx="1">
                  <c:v>0.36</c:v>
                </c:pt>
                <c:pt idx="2">
                  <c:v>0.36</c:v>
                </c:pt>
                <c:pt idx="3">
                  <c:v>0.36</c:v>
                </c:pt>
                <c:pt idx="4">
                  <c:v>0.36</c:v>
                </c:pt>
                <c:pt idx="5">
                  <c:v>0.36</c:v>
                </c:pt>
                <c:pt idx="6">
                  <c:v>0.36</c:v>
                </c:pt>
                <c:pt idx="7">
                  <c:v>0.36</c:v>
                </c:pt>
                <c:pt idx="8">
                  <c:v>0.36</c:v>
                </c:pt>
                <c:pt idx="9">
                  <c:v>0.36</c:v>
                </c:pt>
                <c:pt idx="10">
                  <c:v>0.36</c:v>
                </c:pt>
                <c:pt idx="11">
                  <c:v>0.36</c:v>
                </c:pt>
                <c:pt idx="12">
                  <c:v>0.36</c:v>
                </c:pt>
                <c:pt idx="13">
                  <c:v>0.36</c:v>
                </c:pt>
                <c:pt idx="14">
                  <c:v>0.36</c:v>
                </c:pt>
                <c:pt idx="15">
                  <c:v>0.36</c:v>
                </c:pt>
                <c:pt idx="16">
                  <c:v>0.36</c:v>
                </c:pt>
                <c:pt idx="17">
                  <c:v>0.36</c:v>
                </c:pt>
                <c:pt idx="18">
                  <c:v>0.36</c:v>
                </c:pt>
                <c:pt idx="19">
                  <c:v>0.36</c:v>
                </c:pt>
                <c:pt idx="20">
                  <c:v>0.36</c:v>
                </c:pt>
                <c:pt idx="21">
                  <c:v>0.36</c:v>
                </c:pt>
                <c:pt idx="22">
                  <c:v>0.36</c:v>
                </c:pt>
                <c:pt idx="23">
                  <c:v>0.36</c:v>
                </c:pt>
                <c:pt idx="24">
                  <c:v>0.36</c:v>
                </c:pt>
                <c:pt idx="25">
                  <c:v>0.36</c:v>
                </c:pt>
                <c:pt idx="26">
                  <c:v>0.36</c:v>
                </c:pt>
                <c:pt idx="27">
                  <c:v>0.36</c:v>
                </c:pt>
              </c:numCache>
            </c:numRef>
          </c:xVal>
          <c:yVal>
            <c:numRef>
              <c:f>'2023'!$G$4:$G$31</c:f>
              <c:numCache>
                <c:formatCode>0.00</c:formatCode>
                <c:ptCount val="28"/>
                <c:pt idx="0">
                  <c:v>0</c:v>
                </c:pt>
                <c:pt idx="1">
                  <c:v>2.2222222222222223E-2</c:v>
                </c:pt>
                <c:pt idx="2">
                  <c:v>4.4444444444444446E-2</c:v>
                </c:pt>
                <c:pt idx="3">
                  <c:v>6.6666666666666666E-2</c:v>
                </c:pt>
                <c:pt idx="4">
                  <c:v>8.8888888888888892E-2</c:v>
                </c:pt>
                <c:pt idx="5">
                  <c:v>0.11111111111111112</c:v>
                </c:pt>
                <c:pt idx="6">
                  <c:v>0.13333333333333333</c:v>
                </c:pt>
                <c:pt idx="7">
                  <c:v>0.15555555555555556</c:v>
                </c:pt>
                <c:pt idx="8">
                  <c:v>0.17777777777777778</c:v>
                </c:pt>
                <c:pt idx="9">
                  <c:v>0.2</c:v>
                </c:pt>
                <c:pt idx="10">
                  <c:v>0.22222222222222224</c:v>
                </c:pt>
                <c:pt idx="11">
                  <c:v>0.24444444444444446</c:v>
                </c:pt>
                <c:pt idx="12">
                  <c:v>0.26666666666666666</c:v>
                </c:pt>
                <c:pt idx="13">
                  <c:v>0.28888888888888886</c:v>
                </c:pt>
                <c:pt idx="14">
                  <c:v>0.31111111111111106</c:v>
                </c:pt>
                <c:pt idx="15">
                  <c:v>0.33333333333333326</c:v>
                </c:pt>
                <c:pt idx="16">
                  <c:v>0.35555555555555546</c:v>
                </c:pt>
                <c:pt idx="17">
                  <c:v>0.37777777777777766</c:v>
                </c:pt>
                <c:pt idx="18">
                  <c:v>0.39999999999999986</c:v>
                </c:pt>
                <c:pt idx="19">
                  <c:v>0.42222222222222205</c:v>
                </c:pt>
                <c:pt idx="20">
                  <c:v>0.44444444444444425</c:v>
                </c:pt>
                <c:pt idx="21">
                  <c:v>0.46666666666666645</c:v>
                </c:pt>
                <c:pt idx="22">
                  <c:v>0.48888888888888865</c:v>
                </c:pt>
                <c:pt idx="23">
                  <c:v>0.51111111111111085</c:v>
                </c:pt>
                <c:pt idx="24">
                  <c:v>0.5333333333333331</c:v>
                </c:pt>
                <c:pt idx="25">
                  <c:v>0.55555555555555536</c:v>
                </c:pt>
                <c:pt idx="26">
                  <c:v>0.57777777777777761</c:v>
                </c:pt>
                <c:pt idx="27">
                  <c:v>0.59999999999999987</c:v>
                </c:pt>
              </c:numCache>
            </c:numRef>
          </c:yVal>
          <c:smooth val="1"/>
          <c:extLst>
            <c:ext xmlns:c16="http://schemas.microsoft.com/office/drawing/2014/chart" uri="{C3380CC4-5D6E-409C-BE32-E72D297353CC}">
              <c16:uniqueId val="{00000000-CEDA-4803-AD2C-2C0FFEC1EE73}"/>
            </c:ext>
          </c:extLst>
        </c:ser>
        <c:ser>
          <c:idx val="2"/>
          <c:order val="2"/>
          <c:tx>
            <c:v>Prag finansijskog podindeksa</c:v>
          </c:tx>
          <c:spPr>
            <a:ln w="12700" cap="rnd">
              <a:solidFill>
                <a:srgbClr val="7030A0"/>
              </a:solidFill>
              <a:round/>
            </a:ln>
            <a:effectLst/>
          </c:spPr>
          <c:marker>
            <c:symbol val="none"/>
          </c:marker>
          <c:xVal>
            <c:numRef>
              <c:f>'2023'!$H$4:$H$31</c:f>
              <c:numCache>
                <c:formatCode>0.00</c:formatCode>
                <c:ptCount val="28"/>
                <c:pt idx="0">
                  <c:v>0</c:v>
                </c:pt>
                <c:pt idx="1">
                  <c:v>2.9629629629629631E-2</c:v>
                </c:pt>
                <c:pt idx="2">
                  <c:v>5.9259259259259262E-2</c:v>
                </c:pt>
                <c:pt idx="3">
                  <c:v>8.8888888888888892E-2</c:v>
                </c:pt>
                <c:pt idx="4">
                  <c:v>0.11851851851851852</c:v>
                </c:pt>
                <c:pt idx="5">
                  <c:v>0.14814814814814814</c:v>
                </c:pt>
                <c:pt idx="6">
                  <c:v>0.17777777777777776</c:v>
                </c:pt>
                <c:pt idx="7">
                  <c:v>0.20740740740740737</c:v>
                </c:pt>
                <c:pt idx="8">
                  <c:v>0.23703703703703699</c:v>
                </c:pt>
                <c:pt idx="9">
                  <c:v>0.26666666666666661</c:v>
                </c:pt>
                <c:pt idx="10">
                  <c:v>0.29629629629629622</c:v>
                </c:pt>
                <c:pt idx="11">
                  <c:v>0.32592592592592584</c:v>
                </c:pt>
                <c:pt idx="12">
                  <c:v>0.35555555555555546</c:v>
                </c:pt>
                <c:pt idx="13">
                  <c:v>0.38518518518518507</c:v>
                </c:pt>
                <c:pt idx="14">
                  <c:v>0.41481481481481469</c:v>
                </c:pt>
                <c:pt idx="15">
                  <c:v>0.44444444444444431</c:v>
                </c:pt>
                <c:pt idx="16">
                  <c:v>0.47407407407407393</c:v>
                </c:pt>
                <c:pt idx="17">
                  <c:v>0.50370370370370354</c:v>
                </c:pt>
                <c:pt idx="18">
                  <c:v>0.53333333333333321</c:v>
                </c:pt>
                <c:pt idx="19">
                  <c:v>0.56296296296296289</c:v>
                </c:pt>
                <c:pt idx="20">
                  <c:v>0.59259259259259256</c:v>
                </c:pt>
                <c:pt idx="21">
                  <c:v>0.62222222222222223</c:v>
                </c:pt>
                <c:pt idx="22">
                  <c:v>0.6518518518518519</c:v>
                </c:pt>
                <c:pt idx="23">
                  <c:v>0.68148148148148158</c:v>
                </c:pt>
                <c:pt idx="24">
                  <c:v>0.71111111111111125</c:v>
                </c:pt>
                <c:pt idx="25">
                  <c:v>0.74074074074074092</c:v>
                </c:pt>
                <c:pt idx="26">
                  <c:v>0.77037037037037059</c:v>
                </c:pt>
                <c:pt idx="27">
                  <c:v>0.80000000000000027</c:v>
                </c:pt>
              </c:numCache>
            </c:numRef>
          </c:xVal>
          <c:yVal>
            <c:numRef>
              <c:f>'2023'!$I$4:$I$31</c:f>
              <c:numCache>
                <c:formatCode>0.00</c:formatCode>
                <c:ptCount val="28"/>
                <c:pt idx="0">
                  <c:v>0.49</c:v>
                </c:pt>
                <c:pt idx="1">
                  <c:v>0.49</c:v>
                </c:pt>
                <c:pt idx="2">
                  <c:v>0.49</c:v>
                </c:pt>
                <c:pt idx="3">
                  <c:v>0.49</c:v>
                </c:pt>
                <c:pt idx="4">
                  <c:v>0.49</c:v>
                </c:pt>
                <c:pt idx="5">
                  <c:v>0.49</c:v>
                </c:pt>
                <c:pt idx="6">
                  <c:v>0.49</c:v>
                </c:pt>
                <c:pt idx="7">
                  <c:v>0.49</c:v>
                </c:pt>
                <c:pt idx="8">
                  <c:v>0.49</c:v>
                </c:pt>
                <c:pt idx="9">
                  <c:v>0.49</c:v>
                </c:pt>
                <c:pt idx="10">
                  <c:v>0.49</c:v>
                </c:pt>
                <c:pt idx="11">
                  <c:v>0.49</c:v>
                </c:pt>
                <c:pt idx="12">
                  <c:v>0.49</c:v>
                </c:pt>
                <c:pt idx="13">
                  <c:v>0.49</c:v>
                </c:pt>
                <c:pt idx="14">
                  <c:v>0.49</c:v>
                </c:pt>
                <c:pt idx="15">
                  <c:v>0.49</c:v>
                </c:pt>
                <c:pt idx="16">
                  <c:v>0.49</c:v>
                </c:pt>
                <c:pt idx="17">
                  <c:v>0.49</c:v>
                </c:pt>
                <c:pt idx="18">
                  <c:v>0.49</c:v>
                </c:pt>
                <c:pt idx="19">
                  <c:v>0.49</c:v>
                </c:pt>
                <c:pt idx="20">
                  <c:v>0.49</c:v>
                </c:pt>
                <c:pt idx="21">
                  <c:v>0.49</c:v>
                </c:pt>
                <c:pt idx="22">
                  <c:v>0.49</c:v>
                </c:pt>
                <c:pt idx="23">
                  <c:v>0.49</c:v>
                </c:pt>
                <c:pt idx="24">
                  <c:v>0.49</c:v>
                </c:pt>
                <c:pt idx="25">
                  <c:v>0.49</c:v>
                </c:pt>
                <c:pt idx="26">
                  <c:v>0.49</c:v>
                </c:pt>
                <c:pt idx="27">
                  <c:v>0.49</c:v>
                </c:pt>
              </c:numCache>
            </c:numRef>
          </c:yVal>
          <c:smooth val="1"/>
          <c:extLst>
            <c:ext xmlns:c16="http://schemas.microsoft.com/office/drawing/2014/chart" uri="{C3380CC4-5D6E-409C-BE32-E72D297353CC}">
              <c16:uniqueId val="{00000001-CEDA-4803-AD2C-2C0FFEC1EE73}"/>
            </c:ext>
          </c:extLst>
        </c:ser>
        <c:dLbls>
          <c:showLegendKey val="0"/>
          <c:showVal val="0"/>
          <c:showCatName val="0"/>
          <c:showSerName val="0"/>
          <c:showPercent val="0"/>
          <c:showBubbleSize val="0"/>
        </c:dLbls>
        <c:axId val="-262788736"/>
        <c:axId val="-262793088"/>
      </c:scatterChart>
      <c:scatterChart>
        <c:scatterStyle val="lineMarker"/>
        <c:varyColors val="0"/>
        <c:ser>
          <c:idx val="0"/>
          <c:order val="0"/>
          <c:spPr>
            <a:ln w="25400" cap="rnd">
              <a:noFill/>
              <a:round/>
            </a:ln>
            <a:effectLst/>
          </c:spPr>
          <c:marker>
            <c:symbol val="circle"/>
            <c:size val="5"/>
            <c:spPr>
              <a:solidFill>
                <a:srgbClr val="5297AC"/>
              </a:solidFill>
              <a:ln w="9525">
                <a:noFill/>
              </a:ln>
              <a:effectLst/>
            </c:spPr>
          </c:marker>
          <c:dLbls>
            <c:dLbl>
              <c:idx val="0"/>
              <c:layout>
                <c:manualLayout>
                  <c:x val="-3.5948417288263687E-2"/>
                  <c:y val="3.2900160952131545E-2"/>
                </c:manualLayout>
              </c:layout>
              <c:tx>
                <c:rich>
                  <a:bodyPr/>
                  <a:lstStyle/>
                  <a:p>
                    <a:fld id="{0829ADA8-0845-4F30-BE79-6D17A8A760C7}"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CEDA-4803-AD2C-2C0FFEC1EE73}"/>
                </c:ext>
              </c:extLst>
            </c:dLbl>
            <c:dLbl>
              <c:idx val="1"/>
              <c:layout>
                <c:manualLayout>
                  <c:x val="3.5938394891456365E-3"/>
                  <c:y val="3.0580750586474564E-2"/>
                </c:manualLayout>
              </c:layout>
              <c:tx>
                <c:rich>
                  <a:bodyPr/>
                  <a:lstStyle/>
                  <a:p>
                    <a:fld id="{1884F11C-5597-4BBC-B326-BD0282A38F91}"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CEDA-4803-AD2C-2C0FFEC1EE73}"/>
                </c:ext>
              </c:extLst>
            </c:dLbl>
            <c:dLbl>
              <c:idx val="2"/>
              <c:layout>
                <c:manualLayout>
                  <c:x val="1.0809429674157153E-2"/>
                  <c:y val="9.6898709679296511E-3"/>
                </c:manualLayout>
              </c:layout>
              <c:tx>
                <c:rich>
                  <a:bodyPr/>
                  <a:lstStyle/>
                  <a:p>
                    <a:fld id="{DB611478-E70E-4D8C-859E-ADAE351B2F06}"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CEDA-4803-AD2C-2C0FFEC1EE73}"/>
                </c:ext>
              </c:extLst>
            </c:dLbl>
            <c:dLbl>
              <c:idx val="3"/>
              <c:layout>
                <c:manualLayout>
                  <c:x val="6.3333549712019637E-3"/>
                  <c:y val="1.2874617493600062E-2"/>
                </c:manualLayout>
              </c:layout>
              <c:tx>
                <c:rich>
                  <a:bodyPr/>
                  <a:lstStyle/>
                  <a:p>
                    <a:fld id="{BD228FD7-06ED-43FE-93BC-243AC85449B3}"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CEDA-4803-AD2C-2C0FFEC1EE73}"/>
                </c:ext>
              </c:extLst>
            </c:dLbl>
            <c:dLbl>
              <c:idx val="4"/>
              <c:layout>
                <c:manualLayout>
                  <c:x val="-1.9355619600312755E-2"/>
                  <c:y val="1.3611227561390301E-2"/>
                </c:manualLayout>
              </c:layout>
              <c:tx>
                <c:rich>
                  <a:bodyPr/>
                  <a:lstStyle/>
                  <a:p>
                    <a:fld id="{D04F2B39-C3B3-4C3E-AD6E-43E42362C909}"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CEDA-4803-AD2C-2C0FFEC1EE73}"/>
                </c:ext>
              </c:extLst>
            </c:dLbl>
            <c:dLbl>
              <c:idx val="5"/>
              <c:layout>
                <c:manualLayout>
                  <c:x val="-0.12403553938807088"/>
                  <c:y val="-3.6321218921212026E-2"/>
                </c:manualLayout>
              </c:layout>
              <c:tx>
                <c:rich>
                  <a:bodyPr/>
                  <a:lstStyle/>
                  <a:p>
                    <a:fld id="{447F1A16-7BF7-431A-A901-8C9311AF4FDB}"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CEDA-4803-AD2C-2C0FFEC1EE73}"/>
                </c:ext>
              </c:extLst>
            </c:dLbl>
            <c:dLbl>
              <c:idx val="6"/>
              <c:layout>
                <c:manualLayout>
                  <c:x val="-7.9182764181897319E-2"/>
                  <c:y val="3.5897549947903118E-2"/>
                </c:manualLayout>
              </c:layout>
              <c:tx>
                <c:rich>
                  <a:bodyPr/>
                  <a:lstStyle/>
                  <a:p>
                    <a:fld id="{5EDAA3BD-F77B-46B1-874E-1245F4202C0F}"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CEDA-4803-AD2C-2C0FFEC1EE73}"/>
                </c:ext>
              </c:extLst>
            </c:dLbl>
            <c:dLbl>
              <c:idx val="7"/>
              <c:layout>
                <c:manualLayout>
                  <c:x val="-7.9589466800439032E-2"/>
                  <c:y val="2.3287019631624301E-2"/>
                </c:manualLayout>
              </c:layout>
              <c:tx>
                <c:rich>
                  <a:bodyPr/>
                  <a:lstStyle/>
                  <a:p>
                    <a:fld id="{46FA9162-0627-48EF-8BBF-DD3385C3A44B}"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EDA-4803-AD2C-2C0FFEC1EE73}"/>
                </c:ext>
              </c:extLst>
            </c:dLbl>
            <c:dLbl>
              <c:idx val="8"/>
              <c:layout>
                <c:manualLayout>
                  <c:x val="1.282501062222628E-2"/>
                  <c:y val="2.0553185351589367E-2"/>
                </c:manualLayout>
              </c:layout>
              <c:tx>
                <c:rich>
                  <a:bodyPr/>
                  <a:lstStyle/>
                  <a:p>
                    <a:fld id="{671E2E54-EE55-486B-9837-F1D41A6E7D04}"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EDA-4803-AD2C-2C0FFEC1EE73}"/>
                </c:ext>
              </c:extLst>
            </c:dLbl>
            <c:dLbl>
              <c:idx val="9"/>
              <c:layout>
                <c:manualLayout>
                  <c:x val="1.995639888890369E-2"/>
                  <c:y val="1.2672324895787668E-2"/>
                </c:manualLayout>
              </c:layout>
              <c:tx>
                <c:rich>
                  <a:bodyPr/>
                  <a:lstStyle/>
                  <a:p>
                    <a:fld id="{46D78CAD-6B7D-4E61-BAD1-F27EF59D0057}"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CEDA-4803-AD2C-2C0FFEC1EE73}"/>
                </c:ext>
              </c:extLst>
            </c:dLbl>
            <c:dLbl>
              <c:idx val="10"/>
              <c:layout>
                <c:manualLayout>
                  <c:x val="2.0123524793484466E-2"/>
                  <c:y val="-2.1463880783247454E-2"/>
                </c:manualLayout>
              </c:layout>
              <c:tx>
                <c:rich>
                  <a:bodyPr/>
                  <a:lstStyle/>
                  <a:p>
                    <a:fld id="{F08242D6-83A1-4814-9B5F-74F0D0EA14C8}"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EDA-4803-AD2C-2C0FFEC1EE73}"/>
                </c:ext>
              </c:extLst>
            </c:dLbl>
            <c:dLbl>
              <c:idx val="11"/>
              <c:layout>
                <c:manualLayout>
                  <c:x val="-2.2525507950891265E-2"/>
                  <c:y val="3.6893227634781776E-2"/>
                </c:manualLayout>
              </c:layout>
              <c:tx>
                <c:rich>
                  <a:bodyPr/>
                  <a:lstStyle/>
                  <a:p>
                    <a:fld id="{E75C2FF2-3B7F-4617-A327-8D35B053C2D0}"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EDA-4803-AD2C-2C0FFEC1EE73}"/>
                </c:ext>
              </c:extLst>
            </c:dLbl>
            <c:dLbl>
              <c:idx val="12"/>
              <c:layout>
                <c:manualLayout>
                  <c:x val="-3.1530089533269308E-2"/>
                  <c:y val="-3.3033382568557867E-2"/>
                </c:manualLayout>
              </c:layout>
              <c:tx>
                <c:rich>
                  <a:bodyPr/>
                  <a:lstStyle/>
                  <a:p>
                    <a:fld id="{9D3B9787-1EED-4F68-846A-EDDF4648C5C7}"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CEDA-4803-AD2C-2C0FFEC1EE73}"/>
                </c:ext>
              </c:extLst>
            </c:dLbl>
            <c:dLbl>
              <c:idx val="13"/>
              <c:layout>
                <c:manualLayout>
                  <c:x val="-1.8455823340572185E-2"/>
                  <c:y val="3.5582243510810352E-2"/>
                </c:manualLayout>
              </c:layout>
              <c:tx>
                <c:rich>
                  <a:bodyPr/>
                  <a:lstStyle/>
                  <a:p>
                    <a:fld id="{8AEDF687-CA40-4789-A370-5141DA87A9CF}"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EDA-4803-AD2C-2C0FFEC1EE73}"/>
                </c:ext>
              </c:extLst>
            </c:dLbl>
            <c:dLbl>
              <c:idx val="14"/>
              <c:layout>
                <c:manualLayout>
                  <c:x val="-2.3093405389137327E-2"/>
                  <c:y val="-7.6200590022984932E-2"/>
                </c:manualLayout>
              </c:layout>
              <c:tx>
                <c:rich>
                  <a:bodyPr/>
                  <a:lstStyle/>
                  <a:p>
                    <a:fld id="{4E082FE6-44DF-403E-B888-FCA4B4CD8C88}"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EDA-4803-AD2C-2C0FFEC1EE73}"/>
                </c:ext>
              </c:extLst>
            </c:dLbl>
            <c:dLbl>
              <c:idx val="15"/>
              <c:layout>
                <c:manualLayout>
                  <c:x val="-4.3539196066473641E-2"/>
                  <c:y val="2.5331503598749604E-2"/>
                </c:manualLayout>
              </c:layout>
              <c:tx>
                <c:rich>
                  <a:bodyPr/>
                  <a:lstStyle/>
                  <a:p>
                    <a:fld id="{C99ED8AC-87B5-452C-A6C9-E70C0F881FD8}"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CEDA-4803-AD2C-2C0FFEC1EE73}"/>
                </c:ext>
              </c:extLst>
            </c:dLbl>
            <c:dLbl>
              <c:idx val="16"/>
              <c:layout>
                <c:manualLayout>
                  <c:x val="-9.2881981360140572E-2"/>
                  <c:y val="-2.1640477400429452E-2"/>
                </c:manualLayout>
              </c:layout>
              <c:tx>
                <c:rich>
                  <a:bodyPr/>
                  <a:lstStyle/>
                  <a:p>
                    <a:fld id="{9C08B7FC-896C-447E-8FD2-38462EC50DD2}"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EDA-4803-AD2C-2C0FFEC1EE73}"/>
                </c:ext>
              </c:extLst>
            </c:dLbl>
            <c:dLbl>
              <c:idx val="17"/>
              <c:layout>
                <c:manualLayout>
                  <c:x val="5.809617657947041E-3"/>
                  <c:y val="6.1220645582816632E-2"/>
                </c:manualLayout>
              </c:layout>
              <c:tx>
                <c:rich>
                  <a:bodyPr/>
                  <a:lstStyle/>
                  <a:p>
                    <a:fld id="{881D3C24-6443-4AF3-AE5B-D76CED27D3BC}"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EDA-4803-AD2C-2C0FFEC1EE73}"/>
                </c:ext>
              </c:extLst>
            </c:dLbl>
            <c:dLbl>
              <c:idx val="18"/>
              <c:layout>
                <c:manualLayout>
                  <c:x val="-3.4070660879404011E-2"/>
                  <c:y val="-3.139376035675949E-2"/>
                </c:manualLayout>
              </c:layout>
              <c:tx>
                <c:rich>
                  <a:bodyPr/>
                  <a:lstStyle/>
                  <a:p>
                    <a:fld id="{668D2095-123F-48F0-9495-F5A352442D50}"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CEDA-4803-AD2C-2C0FFEC1EE73}"/>
                </c:ext>
              </c:extLst>
            </c:dLbl>
            <c:dLbl>
              <c:idx val="19"/>
              <c:layout>
                <c:manualLayout>
                  <c:x val="9.8022495515059961E-3"/>
                  <c:y val="3.8524846827577837E-3"/>
                </c:manualLayout>
              </c:layout>
              <c:tx>
                <c:rich>
                  <a:bodyPr/>
                  <a:lstStyle/>
                  <a:p>
                    <a:fld id="{D20850FD-F433-4C07-A495-1AA6C2EF06EA}"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EDA-4803-AD2C-2C0FFEC1EE73}"/>
                </c:ext>
              </c:extLst>
            </c:dLbl>
            <c:dLbl>
              <c:idx val="20"/>
              <c:layout>
                <c:manualLayout>
                  <c:x val="1.758140756302521E-2"/>
                  <c:y val="6.2059072984831237E-3"/>
                </c:manualLayout>
              </c:layout>
              <c:tx>
                <c:rich>
                  <a:bodyPr/>
                  <a:lstStyle/>
                  <a:p>
                    <a:fld id="{D759B8B7-EA64-47E8-A0E1-1F7AD856D1F8}"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EDA-4803-AD2C-2C0FFEC1EE73}"/>
                </c:ext>
              </c:extLst>
            </c:dLbl>
            <c:dLbl>
              <c:idx val="21"/>
              <c:layout>
                <c:manualLayout>
                  <c:x val="-4.5538664904163979E-2"/>
                  <c:y val="-3.5392385611100745E-2"/>
                </c:manualLayout>
              </c:layout>
              <c:tx>
                <c:rich>
                  <a:bodyPr/>
                  <a:lstStyle/>
                  <a:p>
                    <a:fld id="{AB11C73B-DD17-4AE3-9FCF-641EB7445275}" type="CELLRANGE">
                      <a:rPr lang="sr-Cyrl-C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CEDA-4803-AD2C-2C0FFEC1EE73}"/>
                </c:ext>
              </c:extLst>
            </c:dLbl>
            <c:dLbl>
              <c:idx val="22"/>
              <c:layout>
                <c:manualLayout>
                  <c:x val="-0.11300824402794826"/>
                  <c:y val="-2.3395618242742926E-2"/>
                </c:manualLayout>
              </c:layout>
              <c:tx>
                <c:rich>
                  <a:bodyPr/>
                  <a:lstStyle/>
                  <a:p>
                    <a:fld id="{01AA4F0E-F632-4A99-9AFE-F3573492C6BB}" type="CELLRANGE">
                      <a:rPr lang="sr-Cyrl-CS">
                        <a:solidFill>
                          <a:schemeClr val="tx1">
                            <a:lumMod val="50000"/>
                            <a:lumOff val="50000"/>
                          </a:schemeClr>
                        </a:solidFill>
                      </a:rPr>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EDA-4803-AD2C-2C0FFEC1EE73}"/>
                </c:ext>
              </c:extLst>
            </c:dLbl>
            <c:dLbl>
              <c:idx val="23"/>
              <c:layout>
                <c:manualLayout>
                  <c:x val="9.9795705097595975E-3"/>
                  <c:y val="1.4204692050936149E-2"/>
                </c:manualLayout>
              </c:layout>
              <c:tx>
                <c:rich>
                  <a:bodyPr/>
                  <a:lstStyle/>
                  <a:p>
                    <a:fld id="{9E754691-3CF2-4FE7-BA9A-1C76531E36EE}" type="CELLRANGE">
                      <a:rPr lang="sr-Cyrl-CS">
                        <a:solidFill>
                          <a:schemeClr val="tx1">
                            <a:lumMod val="50000"/>
                            <a:lumOff val="50000"/>
                          </a:schemeClr>
                        </a:solidFill>
                      </a:rPr>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EDA-4803-AD2C-2C0FFEC1EE73}"/>
                </c:ext>
              </c:extLst>
            </c:dLbl>
            <c:dLbl>
              <c:idx val="24"/>
              <c:layout>
                <c:manualLayout>
                  <c:x val="-8.3391411339816826E-2"/>
                  <c:y val="-3.411424204086759E-2"/>
                </c:manualLayout>
              </c:layout>
              <c:tx>
                <c:rich>
                  <a:bodyPr rot="0" spcFirstLastPara="1" vertOverflow="ellipsis" vert="horz" wrap="square" lIns="38100" tIns="19050" rIns="38100" bIns="19050" anchor="ctr" anchorCtr="1">
                    <a:noAutofit/>
                  </a:bodyPr>
                  <a:lstStyle/>
                  <a:p>
                    <a:pPr>
                      <a:defRPr sz="700" b="0" i="0" u="none" strike="noStrike" kern="1200" baseline="0">
                        <a:solidFill>
                          <a:schemeClr val="tx1">
                            <a:lumMod val="50000"/>
                            <a:lumOff val="50000"/>
                          </a:schemeClr>
                        </a:solidFill>
                        <a:latin typeface="+mn-lt"/>
                        <a:ea typeface="+mn-ea"/>
                        <a:cs typeface="+mn-cs"/>
                      </a:defRPr>
                    </a:pPr>
                    <a:r>
                      <a:rPr lang="sr-Cyrl-CS" sz="700">
                        <a:solidFill>
                          <a:schemeClr val="tx1">
                            <a:lumMod val="50000"/>
                            <a:lumOff val="50000"/>
                          </a:schemeClr>
                        </a:solidFill>
                      </a:rPr>
                      <a:t>Кипар</a:t>
                    </a:r>
                  </a:p>
                </c:rich>
              </c:tx>
              <c:spPr>
                <a:noFill/>
                <a:ln>
                  <a:noFill/>
                </a:ln>
                <a:effectLst/>
              </c:spPr>
              <c:txPr>
                <a:bodyPr rot="0" spcFirstLastPara="1" vertOverflow="ellipsis" vert="horz" wrap="square" lIns="38100" tIns="19050" rIns="38100" bIns="19050" anchor="ctr" anchorCtr="1">
                  <a:noAutofit/>
                </a:bodyPr>
                <a:lstStyle/>
                <a:p>
                  <a:pPr>
                    <a:defRPr sz="7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layout>
                    <c:manualLayout>
                      <c:w val="0.13100275293998009"/>
                      <c:h val="3.706857368218909E-2"/>
                    </c:manualLayout>
                  </c15:layout>
                  <c15:showDataLabelsRange val="0"/>
                </c:ext>
                <c:ext xmlns:c16="http://schemas.microsoft.com/office/drawing/2014/chart" uri="{C3380CC4-5D6E-409C-BE32-E72D297353CC}">
                  <c16:uniqueId val="{0000001A-CEDA-4803-AD2C-2C0FFEC1EE73}"/>
                </c:ext>
              </c:extLst>
            </c:dLbl>
            <c:dLbl>
              <c:idx val="25"/>
              <c:layout>
                <c:manualLayout>
                  <c:x val="-1.2791431814687476E-2"/>
                  <c:y val="5.0931460145649237E-3"/>
                </c:manualLayout>
              </c:layout>
              <c:tx>
                <c:rich>
                  <a:bodyPr/>
                  <a:lstStyle/>
                  <a:p>
                    <a:r>
                      <a:rPr lang="sr-Cyrl-CS"/>
                      <a:t>Грчка</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CEDA-4803-AD2C-2C0FFEC1EE73}"/>
                </c:ext>
              </c:extLst>
            </c:dLbl>
            <c:dLbl>
              <c:idx val="26"/>
              <c:layout>
                <c:manualLayout>
                  <c:x val="-3.444518166269947E-2"/>
                  <c:y val="2.8828407288985936E-2"/>
                </c:manualLayout>
              </c:layout>
              <c:tx>
                <c:rich>
                  <a:bodyPr/>
                  <a:lstStyle/>
                  <a:p>
                    <a:r>
                      <a:rPr lang="sr-Cyrl-CS" baseline="0"/>
                      <a:t>Португал </a:t>
                    </a:r>
                    <a:endParaRPr lang="sr-Cyrl-CS"/>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CEDA-4803-AD2C-2C0FFEC1EE73}"/>
                </c:ext>
              </c:extLst>
            </c:dLbl>
            <c:dLbl>
              <c:idx val="27"/>
              <c:layout>
                <c:manualLayout>
                  <c:x val="0"/>
                  <c:y val="-1.5089509800541984E-2"/>
                </c:manualLayout>
              </c:layout>
              <c:tx>
                <c:rich>
                  <a:bodyPr rot="0" spcFirstLastPara="1" vertOverflow="ellipsis" vert="horz" wrap="square" lIns="38100" tIns="19050" rIns="38100" bIns="19050" anchor="ctr" anchorCtr="1">
                    <a:spAutoFit/>
                  </a:bodyPr>
                  <a:lstStyle/>
                  <a:p>
                    <a:pPr>
                      <a:defRPr sz="700" b="0" i="0" u="none" strike="noStrike" kern="1200" baseline="0">
                        <a:solidFill>
                          <a:srgbClr val="FF0000"/>
                        </a:solidFill>
                        <a:latin typeface="+mn-lt"/>
                        <a:ea typeface="+mn-ea"/>
                        <a:cs typeface="+mn-cs"/>
                      </a:defRPr>
                    </a:pPr>
                    <a:r>
                      <a:rPr lang="sr-Cyrl-CS">
                        <a:solidFill>
                          <a:srgbClr val="FF0000"/>
                        </a:solidFill>
                      </a:rPr>
                      <a:t>Србија</a:t>
                    </a:r>
                  </a:p>
                </c:rich>
              </c:tx>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CEDA-4803-AD2C-2C0FFEC1EE73}"/>
                </c:ext>
              </c:extLst>
            </c:dLbl>
            <c:dLbl>
              <c:idx val="2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CEDA-4803-AD2C-2C0FFEC1EE73}"/>
                </c:ext>
              </c:extLst>
            </c:dLbl>
            <c:dLbl>
              <c:idx val="29"/>
              <c:layout>
                <c:manualLayout>
                  <c:x val="0.27121180204981443"/>
                  <c:y val="-0.10981647825182873"/>
                </c:manualLayout>
              </c:layout>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layout>
                    <c:manualLayout>
                      <c:w val="6.4583536111454121E-2"/>
                      <c:h val="3.6566409796610792E-2"/>
                    </c:manualLayout>
                  </c15:layout>
                  <c15:showDataLabelsRange val="0"/>
                </c:ext>
                <c:ext xmlns:c16="http://schemas.microsoft.com/office/drawing/2014/chart" uri="{C3380CC4-5D6E-409C-BE32-E72D297353CC}">
                  <c16:uniqueId val="{0000001F-CEDA-4803-AD2C-2C0FFEC1EE73}"/>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'2023'!$D$4:$D$31</c:f>
              <c:numCache>
                <c:formatCode>0.00</c:formatCode>
                <c:ptCount val="28"/>
                <c:pt idx="0">
                  <c:v>0.15</c:v>
                </c:pt>
                <c:pt idx="1">
                  <c:v>0.56999999999999995</c:v>
                </c:pt>
                <c:pt idx="2">
                  <c:v>0.22</c:v>
                </c:pt>
                <c:pt idx="3">
                  <c:v>0.22</c:v>
                </c:pt>
                <c:pt idx="4">
                  <c:v>0</c:v>
                </c:pt>
                <c:pt idx="5">
                  <c:v>0.11</c:v>
                </c:pt>
                <c:pt idx="6">
                  <c:v>0.18</c:v>
                </c:pt>
                <c:pt idx="7">
                  <c:v>0.15</c:v>
                </c:pt>
                <c:pt idx="8">
                  <c:v>0.56999999999999995</c:v>
                </c:pt>
                <c:pt idx="9">
                  <c:v>0.41</c:v>
                </c:pt>
                <c:pt idx="10">
                  <c:v>0</c:v>
                </c:pt>
                <c:pt idx="11">
                  <c:v>0.69</c:v>
                </c:pt>
                <c:pt idx="12">
                  <c:v>0.22</c:v>
                </c:pt>
                <c:pt idx="13">
                  <c:v>0.23</c:v>
                </c:pt>
                <c:pt idx="14">
                  <c:v>0.12</c:v>
                </c:pt>
                <c:pt idx="15">
                  <c:v>0.18</c:v>
                </c:pt>
                <c:pt idx="16">
                  <c:v>0.22</c:v>
                </c:pt>
                <c:pt idx="17">
                  <c:v>0</c:v>
                </c:pt>
                <c:pt idx="18">
                  <c:v>0.28000000000000003</c:v>
                </c:pt>
                <c:pt idx="19">
                  <c:v>0.22</c:v>
                </c:pt>
                <c:pt idx="20">
                  <c:v>0.28000000000000003</c:v>
                </c:pt>
                <c:pt idx="21">
                  <c:v>0.28999999999999998</c:v>
                </c:pt>
                <c:pt idx="22">
                  <c:v>0.56999999999999995</c:v>
                </c:pt>
                <c:pt idx="23">
                  <c:v>0</c:v>
                </c:pt>
                <c:pt idx="24">
                  <c:v>0.11</c:v>
                </c:pt>
                <c:pt idx="25">
                  <c:v>0.24</c:v>
                </c:pt>
                <c:pt idx="26">
                  <c:v>0.31</c:v>
                </c:pt>
                <c:pt idx="27">
                  <c:v>7.7844311377245498E-2</c:v>
                </c:pt>
              </c:numCache>
            </c:numRef>
          </c:xVal>
          <c:yVal>
            <c:numRef>
              <c:f>'2023'!$E$4:$E$31</c:f>
              <c:numCache>
                <c:formatCode>0.00</c:formatCode>
                <c:ptCount val="28"/>
                <c:pt idx="0">
                  <c:v>0.06</c:v>
                </c:pt>
                <c:pt idx="1">
                  <c:v>0.12</c:v>
                </c:pt>
                <c:pt idx="2">
                  <c:v>0.21</c:v>
                </c:pt>
                <c:pt idx="3">
                  <c:v>0.25</c:v>
                </c:pt>
                <c:pt idx="4">
                  <c:v>0.33</c:v>
                </c:pt>
                <c:pt idx="5">
                  <c:v>0.36</c:v>
                </c:pt>
                <c:pt idx="6">
                  <c:v>0.36</c:v>
                </c:pt>
                <c:pt idx="7">
                  <c:v>0.23</c:v>
                </c:pt>
                <c:pt idx="8">
                  <c:v>0.28000000000000003</c:v>
                </c:pt>
                <c:pt idx="9">
                  <c:v>0.48</c:v>
                </c:pt>
                <c:pt idx="10">
                  <c:v>0.21</c:v>
                </c:pt>
                <c:pt idx="11">
                  <c:v>0.18</c:v>
                </c:pt>
                <c:pt idx="12">
                  <c:v>0.37</c:v>
                </c:pt>
                <c:pt idx="13">
                  <c:v>0.12</c:v>
                </c:pt>
                <c:pt idx="14">
                  <c:v>0.35</c:v>
                </c:pt>
                <c:pt idx="15">
                  <c:v>0.2</c:v>
                </c:pt>
                <c:pt idx="16">
                  <c:v>0.14000000000000001</c:v>
                </c:pt>
                <c:pt idx="17">
                  <c:v>0.18</c:v>
                </c:pt>
                <c:pt idx="18">
                  <c:v>0.45</c:v>
                </c:pt>
                <c:pt idx="19">
                  <c:v>0.37</c:v>
                </c:pt>
                <c:pt idx="20">
                  <c:v>0.44</c:v>
                </c:pt>
                <c:pt idx="21">
                  <c:v>0.14000000000000001</c:v>
                </c:pt>
                <c:pt idx="22">
                  <c:v>0.33</c:v>
                </c:pt>
                <c:pt idx="23">
                  <c:v>0.19</c:v>
                </c:pt>
                <c:pt idx="24">
                  <c:v>0.44</c:v>
                </c:pt>
                <c:pt idx="25">
                  <c:v>0.35</c:v>
                </c:pt>
                <c:pt idx="26">
                  <c:v>0.33</c:v>
                </c:pt>
                <c:pt idx="27">
                  <c:v>0.27243589743589747</c:v>
                </c:pt>
              </c:numCache>
            </c:numRef>
          </c:yVal>
          <c:smooth val="0"/>
          <c:extLst>
            <c:ext xmlns:c15="http://schemas.microsoft.com/office/drawing/2012/chart" uri="{02D57815-91ED-43cb-92C2-25804820EDAC}">
              <c15:datalabelsRange>
                <c15:f>'2023'!$B$4:$B$34</c15:f>
                <c15:dlblRangeCache>
                  <c:ptCount val="31"/>
                  <c:pt idx="0">
                    <c:v>Аустрија</c:v>
                  </c:pt>
                  <c:pt idx="1">
                    <c:v>Белгија</c:v>
                  </c:pt>
                  <c:pt idx="2">
                    <c:v>Бугарска</c:v>
                  </c:pt>
                  <c:pt idx="3">
                    <c:v>Чешка</c:v>
                  </c:pt>
                  <c:pt idx="4">
                    <c:v>Хрватска</c:v>
                  </c:pt>
                  <c:pt idx="5">
                    <c:v>Данска</c:v>
                  </c:pt>
                  <c:pt idx="6">
                    <c:v>Естонија</c:v>
                  </c:pt>
                  <c:pt idx="7">
                    <c:v>Финска</c:v>
                  </c:pt>
                  <c:pt idx="8">
                    <c:v>Француска</c:v>
                  </c:pt>
                  <c:pt idx="9">
                    <c:v>Мађарска</c:v>
                  </c:pt>
                  <c:pt idx="10">
                    <c:v>Ирска</c:v>
                  </c:pt>
                  <c:pt idx="11">
                    <c:v>Италија</c:v>
                  </c:pt>
                  <c:pt idx="12">
                    <c:v>Летонија</c:v>
                  </c:pt>
                  <c:pt idx="13">
                    <c:v>Немачка</c:v>
                  </c:pt>
                  <c:pt idx="14">
                    <c:v>Литванија</c:v>
                  </c:pt>
                  <c:pt idx="15">
                    <c:v>Луксембург</c:v>
                  </c:pt>
                  <c:pt idx="16">
                    <c:v>Малта</c:v>
                  </c:pt>
                  <c:pt idx="17">
                    <c:v>Холандија</c:v>
                  </c:pt>
                  <c:pt idx="18">
                    <c:v>Пољска</c:v>
                  </c:pt>
                  <c:pt idx="19">
                    <c:v>Румунија</c:v>
                  </c:pt>
                  <c:pt idx="20">
                    <c:v>Словачка</c:v>
                  </c:pt>
                  <c:pt idx="21">
                    <c:v>Словенија</c:v>
                  </c:pt>
                  <c:pt idx="22">
                    <c:v>Шпанија</c:v>
                  </c:pt>
                  <c:pt idx="23">
                    <c:v>Шведска</c:v>
                  </c:pt>
                  <c:pt idx="24">
                    <c:v>Кипар</c:v>
                  </c:pt>
                  <c:pt idx="25">
                    <c:v>Грчка</c:v>
                  </c:pt>
                  <c:pt idx="26">
                    <c:v>Португал</c:v>
                  </c:pt>
                  <c:pt idx="27">
                    <c:v>Србија</c:v>
                  </c:pt>
                  <c:pt idx="29">
                    <c:v>Србија 2020</c:v>
                  </c:pt>
                  <c:pt idx="30">
                    <c:v>Србија 2019,2018,2017</c:v>
                  </c:pt>
                </c15:dlblRangeCache>
              </c15:datalabelsRange>
            </c:ext>
            <c:ext xmlns:c16="http://schemas.microsoft.com/office/drawing/2014/chart" uri="{C3380CC4-5D6E-409C-BE32-E72D297353CC}">
              <c16:uniqueId val="{00000020-CEDA-4803-AD2C-2C0FFEC1EE73}"/>
            </c:ext>
          </c:extLst>
        </c:ser>
        <c:dLbls>
          <c:showLegendKey val="0"/>
          <c:showVal val="0"/>
          <c:showCatName val="0"/>
          <c:showSerName val="0"/>
          <c:showPercent val="0"/>
          <c:showBubbleSize val="0"/>
        </c:dLbls>
        <c:axId val="2099147520"/>
        <c:axId val="2099146272"/>
      </c:scatterChart>
      <c:valAx>
        <c:axId val="-262788736"/>
        <c:scaling>
          <c:orientation val="minMax"/>
          <c:max val="0.8"/>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mn-cs"/>
                  </a:defRPr>
                </a:pPr>
                <a:r>
                  <a:rPr lang="sr-Cyrl-RS" sz="800">
                    <a:latin typeface="+mj-lt"/>
                  </a:rPr>
                  <a:t>Фискални подиндекс</a:t>
                </a:r>
                <a:endParaRPr lang="en-US" sz="800">
                  <a:latin typeface="+mj-lt"/>
                </a:endParaRPr>
              </a:p>
            </c:rich>
          </c:tx>
          <c:layout>
            <c:manualLayout>
              <c:xMode val="edge"/>
              <c:yMode val="edge"/>
              <c:x val="0.32836641954038248"/>
              <c:y val="0.9471674575118627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mn-cs"/>
                </a:defRPr>
              </a:pPr>
              <a:endParaRPr lang="sr-Latn-RS"/>
            </a:p>
          </c:txPr>
        </c:title>
        <c:numFmt formatCode="0.0" sourceLinked="0"/>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Georgia" panose="02040502050405020303" pitchFamily="18" charset="0"/>
                <a:ea typeface="+mn-ea"/>
                <a:cs typeface="+mn-cs"/>
              </a:defRPr>
            </a:pPr>
            <a:endParaRPr lang="sr-Latn-RS"/>
          </a:p>
        </c:txPr>
        <c:crossAx val="-262793088"/>
        <c:crosses val="autoZero"/>
        <c:crossBetween val="midCat"/>
      </c:valAx>
      <c:valAx>
        <c:axId val="-262793088"/>
        <c:scaling>
          <c:orientation val="minMax"/>
          <c:max val="0.60000000000000009"/>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mn-cs"/>
                  </a:defRPr>
                </a:pPr>
                <a:r>
                  <a:rPr lang="sr-Cyrl-RS" sz="800">
                    <a:latin typeface="+mj-lt"/>
                  </a:rPr>
                  <a:t>Подиндекс макро-финансијске конкурентности</a:t>
                </a:r>
                <a:endParaRPr lang="en-US" sz="800">
                  <a:latin typeface="+mj-lt"/>
                </a:endParaRPr>
              </a:p>
            </c:rich>
          </c:tx>
          <c:layout>
            <c:manualLayout>
              <c:xMode val="edge"/>
              <c:yMode val="edge"/>
              <c:x val="7.5251868585250346E-3"/>
              <c:y val="0.15476829195481337"/>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mn-cs"/>
                </a:defRPr>
              </a:pPr>
              <a:endParaRPr lang="sr-Latn-RS"/>
            </a:p>
          </c:txPr>
        </c:title>
        <c:numFmt formatCode="0.0" sourceLinked="0"/>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Georgia" panose="02040502050405020303" pitchFamily="18" charset="0"/>
                <a:ea typeface="+mn-ea"/>
                <a:cs typeface="+mn-cs"/>
              </a:defRPr>
            </a:pPr>
            <a:endParaRPr lang="sr-Latn-RS"/>
          </a:p>
        </c:txPr>
        <c:crossAx val="-262788736"/>
        <c:crosses val="autoZero"/>
        <c:crossBetween val="midCat"/>
      </c:valAx>
      <c:valAx>
        <c:axId val="2099146272"/>
        <c:scaling>
          <c:orientation val="minMax"/>
        </c:scaling>
        <c:delete val="1"/>
        <c:axPos val="r"/>
        <c:numFmt formatCode="0.00" sourceLinked="1"/>
        <c:majorTickMark val="out"/>
        <c:minorTickMark val="none"/>
        <c:tickLblPos val="nextTo"/>
        <c:crossAx val="2099147520"/>
        <c:crosses val="max"/>
        <c:crossBetween val="midCat"/>
      </c:valAx>
      <c:valAx>
        <c:axId val="2099147520"/>
        <c:scaling>
          <c:orientation val="minMax"/>
        </c:scaling>
        <c:delete val="1"/>
        <c:axPos val="t"/>
        <c:numFmt formatCode="0.00" sourceLinked="1"/>
        <c:majorTickMark val="out"/>
        <c:minorTickMark val="none"/>
        <c:tickLblPos val="nextTo"/>
        <c:crossAx val="2099146272"/>
        <c:crosses val="max"/>
        <c:crossBetween val="midCat"/>
      </c:valAx>
      <c:spPr>
        <a:noFill/>
        <a:ln>
          <a:noFill/>
        </a:ln>
        <a:effectLst/>
      </c:spPr>
    </c:plotArea>
    <c:plotVisOnly val="1"/>
    <c:dispBlanksAs val="gap"/>
    <c:showDLblsOverMax val="0"/>
  </c:chart>
  <c:spPr>
    <a:no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userShapes r:id="rId5"/>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1" i="0" u="none" strike="noStrike" kern="1200" spc="0" baseline="0">
                <a:solidFill>
                  <a:srgbClr val="002060"/>
                </a:solidFill>
                <a:latin typeface="+mn-lt"/>
                <a:ea typeface="+mn-ea"/>
                <a:cs typeface="+mn-cs"/>
              </a:defRPr>
            </a:pPr>
            <a:r>
              <a:rPr lang="en-US" b="1">
                <a:solidFill>
                  <a:srgbClr val="002060"/>
                </a:solidFill>
              </a:rPr>
              <a:t>S0 </a:t>
            </a:r>
            <a:r>
              <a:rPr lang="sr-Cyrl-RS" b="1">
                <a:solidFill>
                  <a:srgbClr val="002060"/>
                </a:solidFill>
              </a:rPr>
              <a:t>земље ЕУ и Србија</a:t>
            </a:r>
          </a:p>
        </c:rich>
      </c:tx>
      <c:overlay val="0"/>
      <c:spPr>
        <a:noFill/>
        <a:ln>
          <a:noFill/>
        </a:ln>
        <a:effectLst/>
      </c:spPr>
      <c:txPr>
        <a:bodyPr rot="0" spcFirstLastPara="1" vertOverflow="ellipsis" vert="horz" wrap="square" anchor="ctr" anchorCtr="1"/>
        <a:lstStyle/>
        <a:p>
          <a:pPr>
            <a:defRPr sz="1080" b="1" i="0" u="none" strike="noStrike" kern="1200" spc="0" baseline="0">
              <a:solidFill>
                <a:srgbClr val="002060"/>
              </a:solidFill>
              <a:latin typeface="+mn-lt"/>
              <a:ea typeface="+mn-ea"/>
              <a:cs typeface="+mn-cs"/>
            </a:defRPr>
          </a:pPr>
          <a:endParaRPr lang="sr-Latn-RS"/>
        </a:p>
      </c:txPr>
    </c:title>
    <c:autoTitleDeleted val="0"/>
    <c:plotArea>
      <c:layout>
        <c:manualLayout>
          <c:layoutTarget val="inner"/>
          <c:xMode val="edge"/>
          <c:yMode val="edge"/>
          <c:x val="7.0140553174856415E-2"/>
          <c:y val="0.13775301764159703"/>
          <c:w val="0.89795062064282105"/>
          <c:h val="0.58412091938043875"/>
        </c:manualLayout>
      </c:layout>
      <c:barChart>
        <c:barDir val="col"/>
        <c:grouping val="clustered"/>
        <c:varyColors val="0"/>
        <c:ser>
          <c:idx val="3"/>
          <c:order val="1"/>
          <c:tx>
            <c:strRef>
              <c:f>'S0 EU Serbia'!$F$2</c:f>
              <c:strCache>
                <c:ptCount val="1"/>
                <c:pt idx="0">
                  <c:v>S0
2014</c:v>
                </c:pt>
              </c:strCache>
            </c:strRef>
          </c:tx>
          <c:spPr>
            <a:solidFill>
              <a:schemeClr val="tx1"/>
            </a:solidFill>
            <a:ln w="6350">
              <a:solidFill>
                <a:schemeClr val="tx1"/>
              </a:solidFill>
            </a:ln>
            <a:effectLst/>
          </c:spPr>
          <c:invertIfNegative val="0"/>
          <c:cat>
            <c:strRef>
              <c:f>'S0 EU Serbia'!$A$3:$A$31</c:f>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f>'S0 EU Serbia'!$F$3:$F$31</c:f>
            </c:numRef>
          </c:val>
          <c:extLst>
            <c:ext xmlns:c16="http://schemas.microsoft.com/office/drawing/2014/chart" uri="{C3380CC4-5D6E-409C-BE32-E72D297353CC}">
              <c16:uniqueId val="{00000000-D63F-4DCA-9CF0-8F6FA07C764B}"/>
            </c:ext>
          </c:extLst>
        </c:ser>
        <c:dLbls>
          <c:showLegendKey val="0"/>
          <c:showVal val="0"/>
          <c:showCatName val="0"/>
          <c:showSerName val="0"/>
          <c:showPercent val="0"/>
          <c:showBubbleSize val="0"/>
        </c:dLbls>
        <c:gapWidth val="150"/>
        <c:axId val="-486950096"/>
        <c:axId val="-486949552"/>
      </c:barChart>
      <c:barChart>
        <c:barDir val="col"/>
        <c:grouping val="clustered"/>
        <c:varyColors val="0"/>
        <c:ser>
          <c:idx val="5"/>
          <c:order val="7"/>
          <c:tx>
            <c:strRef>
              <c:f>'S0 EU Serbia'!$AD$2</c:f>
              <c:strCache>
                <c:ptCount val="1"/>
                <c:pt idx="0">
                  <c:v>S0 2022</c:v>
                </c:pt>
              </c:strCache>
            </c:strRef>
          </c:tx>
          <c:spPr>
            <a:solidFill>
              <a:srgbClr val="7030A0"/>
            </a:solidFill>
            <a:ln>
              <a:noFill/>
            </a:ln>
            <a:effectLst/>
          </c:spPr>
          <c:invertIfNegative val="0"/>
          <c:val>
            <c:numRef>
              <c:f>'S0 EU Serbia'!$AD$3:$AD$29</c:f>
              <c:numCache>
                <c:formatCode>0.00</c:formatCode>
                <c:ptCount val="27"/>
                <c:pt idx="0">
                  <c:v>0.2</c:v>
                </c:pt>
                <c:pt idx="1">
                  <c:v>0.3</c:v>
                </c:pt>
                <c:pt idx="2">
                  <c:v>0.3</c:v>
                </c:pt>
                <c:pt idx="3">
                  <c:v>0.2</c:v>
                </c:pt>
                <c:pt idx="4">
                  <c:v>0.3</c:v>
                </c:pt>
                <c:pt idx="5">
                  <c:v>0.3</c:v>
                </c:pt>
                <c:pt idx="6">
                  <c:v>0.2</c:v>
                </c:pt>
                <c:pt idx="7">
                  <c:v>0.1</c:v>
                </c:pt>
                <c:pt idx="8">
                  <c:v>0.2</c:v>
                </c:pt>
                <c:pt idx="9">
                  <c:v>0.3</c:v>
                </c:pt>
                <c:pt idx="10">
                  <c:v>0.2</c:v>
                </c:pt>
                <c:pt idx="11">
                  <c:v>0.4</c:v>
                </c:pt>
                <c:pt idx="12">
                  <c:v>0.2</c:v>
                </c:pt>
                <c:pt idx="13">
                  <c:v>0.3</c:v>
                </c:pt>
                <c:pt idx="14">
                  <c:v>0.2</c:v>
                </c:pt>
                <c:pt idx="15">
                  <c:v>0.3</c:v>
                </c:pt>
                <c:pt idx="16">
                  <c:v>0.2</c:v>
                </c:pt>
                <c:pt idx="17">
                  <c:v>0.2</c:v>
                </c:pt>
                <c:pt idx="18">
                  <c:v>0.2</c:v>
                </c:pt>
                <c:pt idx="19">
                  <c:v>0.3</c:v>
                </c:pt>
                <c:pt idx="20">
                  <c:v>0.4</c:v>
                </c:pt>
                <c:pt idx="21">
                  <c:v>0.3</c:v>
                </c:pt>
                <c:pt idx="22">
                  <c:v>0.25260960334029231</c:v>
                </c:pt>
                <c:pt idx="23">
                  <c:v>0.3</c:v>
                </c:pt>
                <c:pt idx="24">
                  <c:v>0.2</c:v>
                </c:pt>
                <c:pt idx="25">
                  <c:v>0.3</c:v>
                </c:pt>
                <c:pt idx="26">
                  <c:v>0.2</c:v>
                </c:pt>
              </c:numCache>
            </c:numRef>
          </c:val>
          <c:extLst>
            <c:ext xmlns:c16="http://schemas.microsoft.com/office/drawing/2014/chart" uri="{C3380CC4-5D6E-409C-BE32-E72D297353CC}">
              <c16:uniqueId val="{00000001-D63F-4DCA-9CF0-8F6FA07C764B}"/>
            </c:ext>
          </c:extLst>
        </c:ser>
        <c:ser>
          <c:idx val="7"/>
          <c:order val="8"/>
          <c:tx>
            <c:strRef>
              <c:f>'S0 EU Serbia'!$AG$2</c:f>
              <c:strCache>
                <c:ptCount val="1"/>
                <c:pt idx="0">
                  <c:v>S0 2023</c:v>
                </c:pt>
              </c:strCache>
            </c:strRef>
          </c:tx>
          <c:spPr>
            <a:solidFill>
              <a:srgbClr val="00B0F0"/>
            </a:solidFill>
            <a:ln>
              <a:noFill/>
            </a:ln>
            <a:effectLst/>
          </c:spPr>
          <c:invertIfNegative val="0"/>
          <c:val>
            <c:numRef>
              <c:f>'S0 EU Serbia'!$AG$3:$AG$29</c:f>
              <c:numCache>
                <c:formatCode>0.00</c:formatCode>
                <c:ptCount val="27"/>
                <c:pt idx="0">
                  <c:v>0.09</c:v>
                </c:pt>
                <c:pt idx="1">
                  <c:v>0.27</c:v>
                </c:pt>
                <c:pt idx="2">
                  <c:v>0.21</c:v>
                </c:pt>
                <c:pt idx="3">
                  <c:v>0.24</c:v>
                </c:pt>
                <c:pt idx="4">
                  <c:v>0.21</c:v>
                </c:pt>
                <c:pt idx="5">
                  <c:v>0.32</c:v>
                </c:pt>
                <c:pt idx="6">
                  <c:v>0.27</c:v>
                </c:pt>
                <c:pt idx="7">
                  <c:v>0.3</c:v>
                </c:pt>
                <c:pt idx="8">
                  <c:v>0.2</c:v>
                </c:pt>
                <c:pt idx="9">
                  <c:v>0.38</c:v>
                </c:pt>
                <c:pt idx="10">
                  <c:v>0.16</c:v>
                </c:pt>
                <c:pt idx="11">
                  <c:v>0.46</c:v>
                </c:pt>
                <c:pt idx="12">
                  <c:v>0.13</c:v>
                </c:pt>
                <c:pt idx="13">
                  <c:v>0.35</c:v>
                </c:pt>
                <c:pt idx="14">
                  <c:v>0.31</c:v>
                </c:pt>
                <c:pt idx="15">
                  <c:v>0.27</c:v>
                </c:pt>
                <c:pt idx="16">
                  <c:v>0.19</c:v>
                </c:pt>
                <c:pt idx="17">
                  <c:v>0.17</c:v>
                </c:pt>
                <c:pt idx="18">
                  <c:v>0.12</c:v>
                </c:pt>
                <c:pt idx="19">
                  <c:v>0.39</c:v>
                </c:pt>
                <c:pt idx="20">
                  <c:v>0.32</c:v>
                </c:pt>
                <c:pt idx="21">
                  <c:v>0.31</c:v>
                </c:pt>
                <c:pt idx="22">
                  <c:v>0.20459290187891443</c:v>
                </c:pt>
                <c:pt idx="23">
                  <c:v>0.38</c:v>
                </c:pt>
                <c:pt idx="24">
                  <c:v>0.2</c:v>
                </c:pt>
                <c:pt idx="25">
                  <c:v>0.41</c:v>
                </c:pt>
                <c:pt idx="26">
                  <c:v>0.12</c:v>
                </c:pt>
              </c:numCache>
            </c:numRef>
          </c:val>
          <c:extLst>
            <c:ext xmlns:c16="http://schemas.microsoft.com/office/drawing/2014/chart" uri="{C3380CC4-5D6E-409C-BE32-E72D297353CC}">
              <c16:uniqueId val="{00000002-D63F-4DCA-9CF0-8F6FA07C764B}"/>
            </c:ext>
          </c:extLst>
        </c:ser>
        <c:dLbls>
          <c:showLegendKey val="0"/>
          <c:showVal val="0"/>
          <c:showCatName val="0"/>
          <c:showSerName val="0"/>
          <c:showPercent val="0"/>
          <c:showBubbleSize val="0"/>
        </c:dLbls>
        <c:gapWidth val="150"/>
        <c:axId val="-486950096"/>
        <c:axId val="-486949552"/>
        <c:extLst>
          <c:ext xmlns:c15="http://schemas.microsoft.com/office/drawing/2012/chart" uri="{02D57815-91ED-43cb-92C2-25804820EDAC}">
            <c15:filteredBarSeries>
              <c15:ser>
                <c:idx val="6"/>
                <c:order val="2"/>
                <c:tx>
                  <c:strRef>
                    <c:extLst>
                      <c:ext uri="{02D57815-91ED-43cb-92C2-25804820EDAC}">
                        <c15:formulaRef>
                          <c15:sqref>'S0 EU Serbia'!$I$2</c15:sqref>
                        </c15:formulaRef>
                      </c:ext>
                    </c:extLst>
                    <c:strCache>
                      <c:ptCount val="1"/>
                      <c:pt idx="0">
                        <c:v>S0
2015</c:v>
                      </c:pt>
                    </c:strCache>
                  </c:strRef>
                </c:tx>
                <c:spPr>
                  <a:solidFill>
                    <a:schemeClr val="accent2"/>
                  </a:solidFill>
                  <a:ln>
                    <a:noFill/>
                  </a:ln>
                  <a:effectLst/>
                </c:spPr>
                <c:invertIfNegative val="0"/>
                <c:cat>
                  <c:strRef>
                    <c:extLst>
                      <c:ex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c:ext uri="{02D57815-91ED-43cb-92C2-25804820EDAC}">
                        <c15:formulaRef>
                          <c15:sqref>'S0 EU Serbia'!$I$3:$I$31</c15:sqref>
                        </c15:formulaRef>
                      </c:ext>
                    </c:extLst>
                    <c:numCache>
                      <c:formatCode>0.00</c:formatCode>
                      <c:ptCount val="29"/>
                      <c:pt idx="0">
                        <c:v>7.0000000000000007E-2</c:v>
                      </c:pt>
                      <c:pt idx="1">
                        <c:v>0.1</c:v>
                      </c:pt>
                      <c:pt idx="2">
                        <c:v>0.21</c:v>
                      </c:pt>
                      <c:pt idx="3">
                        <c:v>0.11</c:v>
                      </c:pt>
                      <c:pt idx="4">
                        <c:v>0.26</c:v>
                      </c:pt>
                      <c:pt idx="6">
                        <c:v>0.25</c:v>
                      </c:pt>
                      <c:pt idx="7">
                        <c:v>0.19</c:v>
                      </c:pt>
                      <c:pt idx="8">
                        <c:v>0.22</c:v>
                      </c:pt>
                      <c:pt idx="9">
                        <c:v>0.17</c:v>
                      </c:pt>
                      <c:pt idx="10">
                        <c:v>0.02</c:v>
                      </c:pt>
                      <c:pt idx="11">
                        <c:v>0.16</c:v>
                      </c:pt>
                      <c:pt idx="12">
                        <c:v>0.38</c:v>
                      </c:pt>
                      <c:pt idx="13">
                        <c:v>0.21</c:v>
                      </c:pt>
                      <c:pt idx="14">
                        <c:v>0.34</c:v>
                      </c:pt>
                      <c:pt idx="15">
                        <c:v>0.18</c:v>
                      </c:pt>
                      <c:pt idx="16">
                        <c:v>0.09</c:v>
                      </c:pt>
                      <c:pt idx="17">
                        <c:v>0.13</c:v>
                      </c:pt>
                      <c:pt idx="18">
                        <c:v>0.19</c:v>
                      </c:pt>
                      <c:pt idx="19">
                        <c:v>0.27</c:v>
                      </c:pt>
                      <c:pt idx="20">
                        <c:v>0.24</c:v>
                      </c:pt>
                      <c:pt idx="21">
                        <c:v>0.14000000000000001</c:v>
                      </c:pt>
                      <c:pt idx="22">
                        <c:v>0.36</c:v>
                      </c:pt>
                      <c:pt idx="23">
                        <c:v>0.21</c:v>
                      </c:pt>
                      <c:pt idx="24">
                        <c:v>0.08</c:v>
                      </c:pt>
                      <c:pt idx="25">
                        <c:v>0.21</c:v>
                      </c:pt>
                      <c:pt idx="26">
                        <c:v>0.15</c:v>
                      </c:pt>
                      <c:pt idx="27">
                        <c:v>0.36</c:v>
                      </c:pt>
                    </c:numCache>
                  </c:numRef>
                </c:val>
                <c:extLst>
                  <c:ext xmlns:c16="http://schemas.microsoft.com/office/drawing/2014/chart" uri="{C3380CC4-5D6E-409C-BE32-E72D297353CC}">
                    <c16:uniqueId val="{00000005-D63F-4DCA-9CF0-8F6FA07C764B}"/>
                  </c:ext>
                </c:extLst>
              </c15:ser>
            </c15:filteredBarSeries>
            <c15:filteredBarSeries>
              <c15:ser>
                <c:idx val="9"/>
                <c:order val="3"/>
                <c:tx>
                  <c:strRef>
                    <c:extLst xmlns:c15="http://schemas.microsoft.com/office/drawing/2012/chart">
                      <c:ext xmlns:c15="http://schemas.microsoft.com/office/drawing/2012/chart" uri="{02D57815-91ED-43cb-92C2-25804820EDAC}">
                        <c15:formulaRef>
                          <c15:sqref>'S0 EU Serbia'!$L$2</c15:sqref>
                        </c15:formulaRef>
                      </c:ext>
                    </c:extLst>
                    <c:strCache>
                      <c:ptCount val="1"/>
                      <c:pt idx="0">
                        <c:v>S0
 2016</c:v>
                      </c:pt>
                    </c:strCache>
                  </c:strRef>
                </c:tx>
                <c:spPr>
                  <a:solidFill>
                    <a:srgbClr val="7030A0"/>
                  </a:solidFill>
                  <a:ln>
                    <a:noFill/>
                  </a:ln>
                  <a:effectLst/>
                </c:spPr>
                <c:invertIfNegative val="0"/>
                <c:dPt>
                  <c:idx val="16"/>
                  <c:invertIfNegative val="0"/>
                  <c:bubble3D val="0"/>
                  <c:spPr>
                    <a:solidFill>
                      <a:srgbClr val="7F7F7F"/>
                    </a:solidFill>
                    <a:ln>
                      <a:noFill/>
                    </a:ln>
                    <a:effectLst/>
                  </c:spPr>
                  <c:extLst xmlns:c15="http://schemas.microsoft.com/office/drawing/2012/chart">
                    <c:ext xmlns:c16="http://schemas.microsoft.com/office/drawing/2014/chart" uri="{C3380CC4-5D6E-409C-BE32-E72D297353CC}">
                      <c16:uniqueId val="{00000007-D63F-4DCA-9CF0-8F6FA07C764B}"/>
                    </c:ext>
                  </c:extLst>
                </c:dPt>
                <c:cat>
                  <c:strRef>
                    <c:extLst xmlns:c15="http://schemas.microsoft.com/office/drawing/2012/chart">
                      <c:ext xmlns:c15="http://schemas.microsoft.com/office/drawing/2012/char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Serbia'!$L$3:$L$31</c15:sqref>
                        </c15:formulaRef>
                      </c:ext>
                    </c:extLst>
                    <c:numCache>
                      <c:formatCode>0.00</c:formatCode>
                      <c:ptCount val="29"/>
                      <c:pt idx="0">
                        <c:v>0.15</c:v>
                      </c:pt>
                      <c:pt idx="1">
                        <c:v>0.42</c:v>
                      </c:pt>
                      <c:pt idx="2">
                        <c:v>0.28000000000000003</c:v>
                      </c:pt>
                      <c:pt idx="3">
                        <c:v>0.19</c:v>
                      </c:pt>
                      <c:pt idx="4">
                        <c:v>0.18</c:v>
                      </c:pt>
                      <c:pt idx="5">
                        <c:v>0.41</c:v>
                      </c:pt>
                      <c:pt idx="6">
                        <c:v>0.19</c:v>
                      </c:pt>
                      <c:pt idx="7">
                        <c:v>0.25</c:v>
                      </c:pt>
                      <c:pt idx="8">
                        <c:v>0.22</c:v>
                      </c:pt>
                      <c:pt idx="9">
                        <c:v>0.31</c:v>
                      </c:pt>
                      <c:pt idx="10">
                        <c:v>0.08</c:v>
                      </c:pt>
                      <c:pt idx="11">
                        <c:v>0.31</c:v>
                      </c:pt>
                      <c:pt idx="12">
                        <c:v>0.28000000000000003</c:v>
                      </c:pt>
                      <c:pt idx="13">
                        <c:v>0.42</c:v>
                      </c:pt>
                      <c:pt idx="14">
                        <c:v>0.28999999999999998</c:v>
                      </c:pt>
                      <c:pt idx="15">
                        <c:v>0.21</c:v>
                      </c:pt>
                      <c:pt idx="16">
                        <c:v>0.28999999999999998</c:v>
                      </c:pt>
                      <c:pt idx="17">
                        <c:v>0.15</c:v>
                      </c:pt>
                      <c:pt idx="18">
                        <c:v>0.2</c:v>
                      </c:pt>
                      <c:pt idx="19">
                        <c:v>0.28999999999999998</c:v>
                      </c:pt>
                      <c:pt idx="20">
                        <c:v>0.41</c:v>
                      </c:pt>
                      <c:pt idx="21">
                        <c:v>0.26</c:v>
                      </c:pt>
                      <c:pt idx="22">
                        <c:v>0.19161676646706588</c:v>
                      </c:pt>
                      <c:pt idx="23">
                        <c:v>0.34</c:v>
                      </c:pt>
                      <c:pt idx="24">
                        <c:v>0.14000000000000001</c:v>
                      </c:pt>
                      <c:pt idx="25">
                        <c:v>0.37</c:v>
                      </c:pt>
                      <c:pt idx="26">
                        <c:v>0.12</c:v>
                      </c:pt>
                      <c:pt idx="27">
                        <c:v>0.41</c:v>
                      </c:pt>
                    </c:numCache>
                  </c:numRef>
                </c:val>
                <c:extLst xmlns:c15="http://schemas.microsoft.com/office/drawing/2012/chart">
                  <c:ext xmlns:c16="http://schemas.microsoft.com/office/drawing/2014/chart" uri="{C3380CC4-5D6E-409C-BE32-E72D297353CC}">
                    <c16:uniqueId val="{00000008-D63F-4DCA-9CF0-8F6FA07C764B}"/>
                  </c:ext>
                </c:extLst>
              </c15:ser>
            </c15:filteredBarSeries>
            <c15:filteredBarSeries>
              <c15:ser>
                <c:idx val="0"/>
                <c:order val="4"/>
                <c:tx>
                  <c:strRef>
                    <c:extLst xmlns:c15="http://schemas.microsoft.com/office/drawing/2012/chart">
                      <c:ext xmlns:c15="http://schemas.microsoft.com/office/drawing/2012/chart" uri="{02D57815-91ED-43cb-92C2-25804820EDAC}">
                        <c15:formulaRef>
                          <c15:sqref>'S0 EU Serbia'!$O$2</c15:sqref>
                        </c15:formulaRef>
                      </c:ext>
                    </c:extLst>
                    <c:strCache>
                      <c:ptCount val="1"/>
                      <c:pt idx="0">
                        <c:v>S0 2017</c:v>
                      </c:pt>
                    </c:strCache>
                  </c:strRef>
                </c:tx>
                <c:spPr>
                  <a:solidFill>
                    <a:schemeClr val="accent1"/>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Serbia'!$O$3:$O$30</c15:sqref>
                        </c15:formulaRef>
                      </c:ext>
                    </c:extLst>
                    <c:numCache>
                      <c:formatCode>0.00</c:formatCode>
                      <c:ptCount val="28"/>
                      <c:pt idx="0">
                        <c:v>7.0000000000000007E-2</c:v>
                      </c:pt>
                      <c:pt idx="1">
                        <c:v>0.35</c:v>
                      </c:pt>
                      <c:pt idx="2">
                        <c:v>0.25</c:v>
                      </c:pt>
                      <c:pt idx="3">
                        <c:v>0.19</c:v>
                      </c:pt>
                      <c:pt idx="4">
                        <c:v>0.2</c:v>
                      </c:pt>
                      <c:pt idx="5">
                        <c:v>0.44</c:v>
                      </c:pt>
                      <c:pt idx="6">
                        <c:v>0.3</c:v>
                      </c:pt>
                      <c:pt idx="7">
                        <c:v>0.2</c:v>
                      </c:pt>
                      <c:pt idx="8">
                        <c:v>0.1</c:v>
                      </c:pt>
                      <c:pt idx="9">
                        <c:v>0.24</c:v>
                      </c:pt>
                      <c:pt idx="10">
                        <c:v>0.08</c:v>
                      </c:pt>
                      <c:pt idx="11">
                        <c:v>0.39</c:v>
                      </c:pt>
                      <c:pt idx="12">
                        <c:v>0.28000000000000003</c:v>
                      </c:pt>
                      <c:pt idx="13">
                        <c:v>0.36</c:v>
                      </c:pt>
                      <c:pt idx="14">
                        <c:v>0.24</c:v>
                      </c:pt>
                      <c:pt idx="15">
                        <c:v>0.21</c:v>
                      </c:pt>
                      <c:pt idx="16">
                        <c:v>0.12</c:v>
                      </c:pt>
                      <c:pt idx="17">
                        <c:v>0.05</c:v>
                      </c:pt>
                      <c:pt idx="18">
                        <c:v>0.2</c:v>
                      </c:pt>
                      <c:pt idx="19">
                        <c:v>0.25</c:v>
                      </c:pt>
                      <c:pt idx="20">
                        <c:v>0.36</c:v>
                      </c:pt>
                      <c:pt idx="21">
                        <c:v>0.2</c:v>
                      </c:pt>
                      <c:pt idx="22">
                        <c:v>0.17745302713987476</c:v>
                      </c:pt>
                      <c:pt idx="23">
                        <c:v>0.3</c:v>
                      </c:pt>
                      <c:pt idx="24">
                        <c:v>0.13</c:v>
                      </c:pt>
                      <c:pt idx="25">
                        <c:v>0.37</c:v>
                      </c:pt>
                      <c:pt idx="26">
                        <c:v>0.12</c:v>
                      </c:pt>
                      <c:pt idx="27">
                        <c:v>0.42</c:v>
                      </c:pt>
                    </c:numCache>
                  </c:numRef>
                </c:val>
                <c:extLst xmlns:c15="http://schemas.microsoft.com/office/drawing/2012/chart">
                  <c:ext xmlns:c16="http://schemas.microsoft.com/office/drawing/2014/chart" uri="{C3380CC4-5D6E-409C-BE32-E72D297353CC}">
                    <c16:uniqueId val="{00000009-D63F-4DCA-9CF0-8F6FA07C764B}"/>
                  </c:ext>
                </c:extLst>
              </c15:ser>
            </c15:filteredBarSeries>
            <c15:filteredBarSeries>
              <c15:ser>
                <c:idx val="1"/>
                <c:order val="5"/>
                <c:tx>
                  <c:strRef>
                    <c:extLst xmlns:c15="http://schemas.microsoft.com/office/drawing/2012/chart">
                      <c:ext xmlns:c15="http://schemas.microsoft.com/office/drawing/2012/chart" uri="{02D57815-91ED-43cb-92C2-25804820EDAC}">
                        <c15:formulaRef>
                          <c15:sqref>'S0 EU Serbia'!$R$2</c15:sqref>
                        </c15:formulaRef>
                      </c:ext>
                    </c:extLst>
                    <c:strCache>
                      <c:ptCount val="1"/>
                      <c:pt idx="0">
                        <c:v>S0 2018</c:v>
                      </c:pt>
                    </c:strCache>
                  </c:strRef>
                </c:tx>
                <c:spPr>
                  <a:solidFill>
                    <a:srgbClr val="7030A0"/>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Serbia'!$R$3:$R$30</c15:sqref>
                        </c15:formulaRef>
                      </c:ext>
                    </c:extLst>
                    <c:numCache>
                      <c:formatCode>0.00</c:formatCode>
                      <c:ptCount val="28"/>
                      <c:pt idx="0">
                        <c:v>0.03</c:v>
                      </c:pt>
                      <c:pt idx="1">
                        <c:v>0.22</c:v>
                      </c:pt>
                      <c:pt idx="2">
                        <c:v>0.19</c:v>
                      </c:pt>
                      <c:pt idx="3">
                        <c:v>0.18</c:v>
                      </c:pt>
                      <c:pt idx="4">
                        <c:v>0.24</c:v>
                      </c:pt>
                      <c:pt idx="5">
                        <c:v>0.46</c:v>
                      </c:pt>
                      <c:pt idx="6">
                        <c:v>0.12</c:v>
                      </c:pt>
                      <c:pt idx="7">
                        <c:v>0.17</c:v>
                      </c:pt>
                      <c:pt idx="8">
                        <c:v>0.14000000000000001</c:v>
                      </c:pt>
                      <c:pt idx="9">
                        <c:v>0.28999999999999998</c:v>
                      </c:pt>
                      <c:pt idx="10">
                        <c:v>0</c:v>
                      </c:pt>
                      <c:pt idx="11">
                        <c:v>0.34</c:v>
                      </c:pt>
                      <c:pt idx="12">
                        <c:v>0.21</c:v>
                      </c:pt>
                      <c:pt idx="13">
                        <c:v>0.36</c:v>
                      </c:pt>
                      <c:pt idx="14">
                        <c:v>0.24</c:v>
                      </c:pt>
                      <c:pt idx="15">
                        <c:v>0.21</c:v>
                      </c:pt>
                      <c:pt idx="16">
                        <c:v>0.12</c:v>
                      </c:pt>
                      <c:pt idx="17">
                        <c:v>0.06</c:v>
                      </c:pt>
                      <c:pt idx="18">
                        <c:v>0.08</c:v>
                      </c:pt>
                      <c:pt idx="19">
                        <c:v>0.18</c:v>
                      </c:pt>
                      <c:pt idx="20">
                        <c:v>0.33</c:v>
                      </c:pt>
                      <c:pt idx="21">
                        <c:v>0.3</c:v>
                      </c:pt>
                      <c:pt idx="22">
                        <c:v>0.17745302713987476</c:v>
                      </c:pt>
                      <c:pt idx="23">
                        <c:v>0.27</c:v>
                      </c:pt>
                      <c:pt idx="24">
                        <c:v>0.13</c:v>
                      </c:pt>
                      <c:pt idx="25">
                        <c:v>0.37</c:v>
                      </c:pt>
                      <c:pt idx="26">
                        <c:v>0.2</c:v>
                      </c:pt>
                      <c:pt idx="27">
                        <c:v>0.42</c:v>
                      </c:pt>
                    </c:numCache>
                  </c:numRef>
                </c:val>
                <c:extLst xmlns:c15="http://schemas.microsoft.com/office/drawing/2012/chart">
                  <c:ext xmlns:c16="http://schemas.microsoft.com/office/drawing/2014/chart" uri="{C3380CC4-5D6E-409C-BE32-E72D297353CC}">
                    <c16:uniqueId val="{0000000A-D63F-4DCA-9CF0-8F6FA07C764B}"/>
                  </c:ext>
                </c:extLst>
              </c15:ser>
            </c15:filteredBarSeries>
            <c15:filteredBarSeries>
              <c15:ser>
                <c:idx val="4"/>
                <c:order val="6"/>
                <c:tx>
                  <c:strRef>
                    <c:extLst xmlns:c15="http://schemas.microsoft.com/office/drawing/2012/chart">
                      <c:ext xmlns:c15="http://schemas.microsoft.com/office/drawing/2012/chart" uri="{02D57815-91ED-43cb-92C2-25804820EDAC}">
                        <c15:formulaRef>
                          <c15:sqref>'S0 EU Serbia'!$U$2</c15:sqref>
                        </c15:formulaRef>
                      </c:ext>
                    </c:extLst>
                    <c:strCache>
                      <c:ptCount val="1"/>
                      <c:pt idx="0">
                        <c:v>S0 2019</c:v>
                      </c:pt>
                    </c:strCache>
                  </c:strRef>
                </c:tx>
                <c:spPr>
                  <a:solidFill>
                    <a:schemeClr val="accent5"/>
                  </a:solidFill>
                  <a:ln>
                    <a:noFill/>
                  </a:ln>
                  <a:effectLst/>
                </c:spPr>
                <c:invertIfNegative val="0"/>
                <c:val>
                  <c:numRef>
                    <c:extLst xmlns:c15="http://schemas.microsoft.com/office/drawing/2012/chart">
                      <c:ext xmlns:c15="http://schemas.microsoft.com/office/drawing/2012/chart" uri="{02D57815-91ED-43cb-92C2-25804820EDAC}">
                        <c15:formulaRef>
                          <c15:sqref>'S0 EU Serbia'!$U$3:$U$29</c15:sqref>
                        </c15:formulaRef>
                      </c:ext>
                    </c:extLst>
                    <c:numCache>
                      <c:formatCode>0.00</c:formatCode>
                      <c:ptCount val="27"/>
                      <c:pt idx="0">
                        <c:v>0.1</c:v>
                      </c:pt>
                      <c:pt idx="1">
                        <c:v>0.17</c:v>
                      </c:pt>
                      <c:pt idx="2">
                        <c:v>0.21</c:v>
                      </c:pt>
                      <c:pt idx="3">
                        <c:v>0.22</c:v>
                      </c:pt>
                      <c:pt idx="4">
                        <c:v>0.24</c:v>
                      </c:pt>
                      <c:pt idx="5">
                        <c:v>0.45</c:v>
                      </c:pt>
                      <c:pt idx="6">
                        <c:v>0.2</c:v>
                      </c:pt>
                      <c:pt idx="7">
                        <c:v>0.2</c:v>
                      </c:pt>
                      <c:pt idx="8">
                        <c:v>0.26</c:v>
                      </c:pt>
                      <c:pt idx="9">
                        <c:v>0.36</c:v>
                      </c:pt>
                      <c:pt idx="10">
                        <c:v>0.08</c:v>
                      </c:pt>
                      <c:pt idx="11">
                        <c:v>0.28999999999999998</c:v>
                      </c:pt>
                      <c:pt idx="12">
                        <c:v>0.14000000000000001</c:v>
                      </c:pt>
                      <c:pt idx="13">
                        <c:v>0.33</c:v>
                      </c:pt>
                      <c:pt idx="14">
                        <c:v>0.24</c:v>
                      </c:pt>
                      <c:pt idx="15">
                        <c:v>0.21</c:v>
                      </c:pt>
                      <c:pt idx="16">
                        <c:v>0.19</c:v>
                      </c:pt>
                      <c:pt idx="17">
                        <c:v>0.06</c:v>
                      </c:pt>
                      <c:pt idx="18">
                        <c:v>0.16</c:v>
                      </c:pt>
                      <c:pt idx="19">
                        <c:v>0.26</c:v>
                      </c:pt>
                      <c:pt idx="20">
                        <c:v>0.33</c:v>
                      </c:pt>
                      <c:pt idx="21">
                        <c:v>0.37</c:v>
                      </c:pt>
                      <c:pt idx="22">
                        <c:v>0.17745302713987476</c:v>
                      </c:pt>
                      <c:pt idx="23">
                        <c:v>0.27</c:v>
                      </c:pt>
                      <c:pt idx="24">
                        <c:v>0.05</c:v>
                      </c:pt>
                      <c:pt idx="25">
                        <c:v>0.37</c:v>
                      </c:pt>
                      <c:pt idx="26">
                        <c:v>0.24</c:v>
                      </c:pt>
                    </c:numCache>
                  </c:numRef>
                </c:val>
                <c:extLst xmlns:c15="http://schemas.microsoft.com/office/drawing/2012/chart">
                  <c:ext xmlns:c16="http://schemas.microsoft.com/office/drawing/2014/chart" uri="{C3380CC4-5D6E-409C-BE32-E72D297353CC}">
                    <c16:uniqueId val="{0000000B-D63F-4DCA-9CF0-8F6FA07C764B}"/>
                  </c:ext>
                </c:extLst>
              </c15:ser>
            </c15:filteredBarSeries>
          </c:ext>
        </c:extLst>
      </c:barChart>
      <c:lineChart>
        <c:grouping val="standard"/>
        <c:varyColors val="0"/>
        <c:ser>
          <c:idx val="2"/>
          <c:order val="0"/>
          <c:tx>
            <c:strRef>
              <c:f>'S0 EU Serbia'!$E$1</c:f>
              <c:strCache>
                <c:ptCount val="1"/>
                <c:pt idx="0">
                  <c:v>S0 праг</c:v>
                </c:pt>
              </c:strCache>
            </c:strRef>
          </c:tx>
          <c:spPr>
            <a:ln w="22225" cap="rnd">
              <a:solidFill>
                <a:schemeClr val="tx1"/>
              </a:solidFill>
              <a:prstDash val="dash"/>
              <a:round/>
            </a:ln>
            <a:effectLst/>
          </c:spPr>
          <c:marker>
            <c:symbol val="none"/>
          </c:marker>
          <c:dLbls>
            <c:dLbl>
              <c:idx val="15"/>
              <c:layout>
                <c:manualLayout>
                  <c:x val="-2.5343339842620423E-3"/>
                  <c:y val="-9.65645311049210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63F-4DCA-9CF0-8F6FA07C764B}"/>
                </c:ext>
              </c:extLst>
            </c:dLbl>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'S0 EU Serbia'!$A$3:$A$29</c:f>
              <c:strCache>
                <c:ptCount val="27"/>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strCache>
            </c:strRef>
          </c:cat>
          <c:val>
            <c:numRef>
              <c:f>'S0 EU Serbia'!$E$3:$E$29</c:f>
              <c:numCache>
                <c:formatCode>0.00</c:formatCode>
                <c:ptCount val="27"/>
                <c:pt idx="0">
                  <c:v>0.46</c:v>
                </c:pt>
                <c:pt idx="1">
                  <c:v>0.46</c:v>
                </c:pt>
                <c:pt idx="2">
                  <c:v>0.46</c:v>
                </c:pt>
                <c:pt idx="3">
                  <c:v>0.46</c:v>
                </c:pt>
                <c:pt idx="4">
                  <c:v>0.46</c:v>
                </c:pt>
                <c:pt idx="5">
                  <c:v>0.46</c:v>
                </c:pt>
                <c:pt idx="6">
                  <c:v>0.46</c:v>
                </c:pt>
                <c:pt idx="7">
                  <c:v>0.46</c:v>
                </c:pt>
                <c:pt idx="8">
                  <c:v>0.46</c:v>
                </c:pt>
                <c:pt idx="9">
                  <c:v>0.46</c:v>
                </c:pt>
                <c:pt idx="10">
                  <c:v>0.46</c:v>
                </c:pt>
                <c:pt idx="11">
                  <c:v>0.46</c:v>
                </c:pt>
                <c:pt idx="12">
                  <c:v>0.46</c:v>
                </c:pt>
                <c:pt idx="13">
                  <c:v>0.46</c:v>
                </c:pt>
                <c:pt idx="14">
                  <c:v>0.46</c:v>
                </c:pt>
                <c:pt idx="15">
                  <c:v>0.46</c:v>
                </c:pt>
                <c:pt idx="16">
                  <c:v>0.46</c:v>
                </c:pt>
                <c:pt idx="17">
                  <c:v>0.46</c:v>
                </c:pt>
                <c:pt idx="18">
                  <c:v>0.46</c:v>
                </c:pt>
                <c:pt idx="19">
                  <c:v>0.46</c:v>
                </c:pt>
                <c:pt idx="20">
                  <c:v>0.46</c:v>
                </c:pt>
                <c:pt idx="21">
                  <c:v>0.46</c:v>
                </c:pt>
                <c:pt idx="22">
                  <c:v>0.46</c:v>
                </c:pt>
                <c:pt idx="23">
                  <c:v>0.46</c:v>
                </c:pt>
                <c:pt idx="24">
                  <c:v>0.46</c:v>
                </c:pt>
                <c:pt idx="25">
                  <c:v>0.46</c:v>
                </c:pt>
                <c:pt idx="26">
                  <c:v>0.46</c:v>
                </c:pt>
              </c:numCache>
            </c:numRef>
          </c:val>
          <c:smooth val="0"/>
          <c:extLst>
            <c:ext xmlns:c16="http://schemas.microsoft.com/office/drawing/2014/chart" uri="{C3380CC4-5D6E-409C-BE32-E72D297353CC}">
              <c16:uniqueId val="{00000004-D63F-4DCA-9CF0-8F6FA07C764B}"/>
            </c:ext>
          </c:extLst>
        </c:ser>
        <c:dLbls>
          <c:showLegendKey val="0"/>
          <c:showVal val="0"/>
          <c:showCatName val="0"/>
          <c:showSerName val="0"/>
          <c:showPercent val="0"/>
          <c:showBubbleSize val="0"/>
        </c:dLbls>
        <c:marker val="1"/>
        <c:smooth val="0"/>
        <c:axId val="-486950096"/>
        <c:axId val="-486949552"/>
      </c:lineChart>
      <c:catAx>
        <c:axId val="-486950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crossAx val="-486949552"/>
        <c:crosses val="autoZero"/>
        <c:auto val="1"/>
        <c:lblAlgn val="ctr"/>
        <c:lblOffset val="100"/>
        <c:noMultiLvlLbl val="0"/>
      </c:catAx>
      <c:valAx>
        <c:axId val="-486949552"/>
        <c:scaling>
          <c:orientation val="minMax"/>
          <c:max val="0.9"/>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50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4">
    <c:autoUpdate val="0"/>
  </c:externalData>
  <c:userShapes r:id="rId5"/>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rtl="0">
              <a:defRPr sz="1080" b="0" i="0" u="none" strike="noStrike" kern="1200" spc="0" baseline="0">
                <a:solidFill>
                  <a:schemeClr val="tx1">
                    <a:lumMod val="65000"/>
                    <a:lumOff val="35000"/>
                  </a:schemeClr>
                </a:solidFill>
                <a:latin typeface="+mn-lt"/>
                <a:ea typeface="+mn-ea"/>
                <a:cs typeface="+mn-cs"/>
              </a:defRPr>
            </a:pPr>
            <a:r>
              <a:rPr lang="en-US" b="1">
                <a:solidFill>
                  <a:srgbClr val="002060"/>
                </a:solidFill>
              </a:rPr>
              <a:t>S0 </a:t>
            </a:r>
            <a:r>
              <a:rPr lang="sr-Cyrl-RS" b="1">
                <a:solidFill>
                  <a:srgbClr val="002060"/>
                </a:solidFill>
              </a:rPr>
              <a:t>индикатор са фискалним подиндексом и подиндексом финансијске конкурентности за Србију за период 2015-20</a:t>
            </a:r>
            <a:r>
              <a:rPr lang="sr-Latn-RS" b="1">
                <a:solidFill>
                  <a:srgbClr val="002060"/>
                </a:solidFill>
              </a:rPr>
              <a:t>23</a:t>
            </a:r>
            <a:r>
              <a:rPr lang="sr-Cyrl-RS" b="1">
                <a:solidFill>
                  <a:srgbClr val="002060"/>
                </a:solidFill>
              </a:rPr>
              <a:t>. године </a:t>
            </a:r>
            <a:endParaRPr lang="en-US" b="1">
              <a:solidFill>
                <a:srgbClr val="002060"/>
              </a:solidFill>
            </a:endParaRPr>
          </a:p>
        </c:rich>
      </c:tx>
      <c:layout>
        <c:manualLayout>
          <c:xMode val="edge"/>
          <c:yMode val="edge"/>
          <c:x val="0.17567966519176123"/>
          <c:y val="1.2820399473070409E-2"/>
        </c:manualLayout>
      </c:layout>
      <c:overlay val="0"/>
      <c:spPr>
        <a:noFill/>
        <a:ln>
          <a:noFill/>
        </a:ln>
        <a:effectLst/>
      </c:spPr>
      <c:txPr>
        <a:bodyPr rot="0" spcFirstLastPara="1" vertOverflow="ellipsis" vert="horz" wrap="square" anchor="ctr" anchorCtr="1"/>
        <a:lstStyle/>
        <a:p>
          <a:pPr algn="ctr" rtl="0">
            <a:defRPr sz="108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manualLayout>
          <c:layoutTarget val="inner"/>
          <c:xMode val="edge"/>
          <c:yMode val="edge"/>
          <c:x val="6.3415222230767468E-2"/>
          <c:y val="8.6538461538461536E-2"/>
          <c:w val="0.89818784226795878"/>
          <c:h val="0.5441528578053656"/>
        </c:manualLayout>
      </c:layout>
      <c:barChart>
        <c:barDir val="col"/>
        <c:grouping val="clustered"/>
        <c:varyColors val="0"/>
        <c:ser>
          <c:idx val="0"/>
          <c:order val="0"/>
          <c:tx>
            <c:strRef>
              <c:f>'S0 EU Serbia'!$AJ$39</c:f>
              <c:strCache>
                <c:ptCount val="1"/>
                <c:pt idx="0">
                  <c:v>Фискални подиндекс</c:v>
                </c:pt>
              </c:strCache>
            </c:strRef>
          </c:tx>
          <c:spPr>
            <a:solidFill>
              <a:srgbClr val="7030A0"/>
            </a:solidFill>
            <a:ln w="9525">
              <a:noFill/>
            </a:ln>
            <a:effectLst/>
          </c:spPr>
          <c:invertIfNegative val="0"/>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Serbia'!$AJ$41:$AJ$51</c:f>
              <c:numCache>
                <c:formatCode>0.00</c:formatCode>
                <c:ptCount val="9"/>
                <c:pt idx="0">
                  <c:v>0.40718562874251496</c:v>
                </c:pt>
                <c:pt idx="1">
                  <c:v>0.19161676646706588</c:v>
                </c:pt>
                <c:pt idx="2">
                  <c:v>0</c:v>
                </c:pt>
                <c:pt idx="3">
                  <c:v>0</c:v>
                </c:pt>
                <c:pt idx="4">
                  <c:v>0</c:v>
                </c:pt>
                <c:pt idx="5">
                  <c:v>0.47904191616766456</c:v>
                </c:pt>
                <c:pt idx="6">
                  <c:v>0.21560000000000001</c:v>
                </c:pt>
                <c:pt idx="7">
                  <c:v>0.21556886227544908</c:v>
                </c:pt>
                <c:pt idx="8">
                  <c:v>7.7844311377245498E-2</c:v>
                </c:pt>
              </c:numCache>
              <c:extLst/>
            </c:numRef>
          </c:val>
          <c:extLst>
            <c:ext xmlns:c16="http://schemas.microsoft.com/office/drawing/2014/chart" uri="{C3380CC4-5D6E-409C-BE32-E72D297353CC}">
              <c16:uniqueId val="{00000000-5FE3-4F79-839E-60200A74DBA0}"/>
            </c:ext>
          </c:extLst>
        </c:ser>
        <c:ser>
          <c:idx val="1"/>
          <c:order val="1"/>
          <c:tx>
            <c:strRef>
              <c:f>'S0 EU Serbia'!$AK$39</c:f>
              <c:strCache>
                <c:ptCount val="1"/>
                <c:pt idx="0">
                  <c:v>Подиндекс макро-финансијске конкурентности</c:v>
                </c:pt>
              </c:strCache>
            </c:strRef>
          </c:tx>
          <c:spPr>
            <a:solidFill>
              <a:srgbClr val="5297AC"/>
            </a:solidFill>
            <a:ln w="9525">
              <a:noFill/>
            </a:ln>
            <a:effectLst/>
          </c:spPr>
          <c:invertIfNegative val="0"/>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Serbia'!$AK$41:$AK$51</c:f>
              <c:numCache>
                <c:formatCode>0.00</c:formatCode>
                <c:ptCount val="9"/>
                <c:pt idx="0">
                  <c:v>0.27243589743589747</c:v>
                </c:pt>
                <c:pt idx="1">
                  <c:v>0.27243589743589747</c:v>
                </c:pt>
                <c:pt idx="2">
                  <c:v>0.27243589743589747</c:v>
                </c:pt>
                <c:pt idx="3">
                  <c:v>0.27243589743589747</c:v>
                </c:pt>
                <c:pt idx="4">
                  <c:v>0.27243589743589747</c:v>
                </c:pt>
                <c:pt idx="5">
                  <c:v>0.42307692307692302</c:v>
                </c:pt>
                <c:pt idx="6">
                  <c:v>0.27239999999999998</c:v>
                </c:pt>
                <c:pt idx="7">
                  <c:v>0.27243589743589747</c:v>
                </c:pt>
                <c:pt idx="8">
                  <c:v>0.27243589743589747</c:v>
                </c:pt>
              </c:numCache>
              <c:extLst/>
            </c:numRef>
          </c:val>
          <c:extLst>
            <c:ext xmlns:c16="http://schemas.microsoft.com/office/drawing/2014/chart" uri="{C3380CC4-5D6E-409C-BE32-E72D297353CC}">
              <c16:uniqueId val="{00000001-5FE3-4F79-839E-60200A74DBA0}"/>
            </c:ext>
          </c:extLst>
        </c:ser>
        <c:dLbls>
          <c:showLegendKey val="0"/>
          <c:showVal val="0"/>
          <c:showCatName val="0"/>
          <c:showSerName val="0"/>
          <c:showPercent val="0"/>
          <c:showBubbleSize val="0"/>
        </c:dLbls>
        <c:gapWidth val="150"/>
        <c:axId val="-486944112"/>
        <c:axId val="-486944656"/>
      </c:barChart>
      <c:lineChart>
        <c:grouping val="standard"/>
        <c:varyColors val="0"/>
        <c:ser>
          <c:idx val="2"/>
          <c:order val="2"/>
          <c:tx>
            <c:strRef>
              <c:f>'S0 EU Serbia'!$AL$39</c:f>
              <c:strCache>
                <c:ptCount val="1"/>
                <c:pt idx="0">
                  <c:v>S0 индикатор</c:v>
                </c:pt>
              </c:strCache>
            </c:strRef>
          </c:tx>
          <c:spPr>
            <a:ln w="22225" cap="rnd">
              <a:noFill/>
              <a:prstDash val="solid"/>
              <a:round/>
            </a:ln>
            <a:effectLst/>
          </c:spPr>
          <c:marker>
            <c:symbol val="triangle"/>
            <c:size val="16"/>
            <c:spPr>
              <a:solidFill>
                <a:schemeClr val="tx1"/>
              </a:solidFill>
              <a:ln w="9525">
                <a:noFill/>
              </a:ln>
              <a:effectLst/>
            </c:spPr>
          </c:marker>
          <c:dPt>
            <c:idx val="0"/>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3-5FE3-4F79-839E-60200A74DBA0}"/>
              </c:ext>
            </c:extLst>
          </c:dPt>
          <c:dPt>
            <c:idx val="1"/>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5-5FE3-4F79-839E-60200A74DBA0}"/>
              </c:ext>
            </c:extLst>
          </c:dPt>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Serbia'!$AL$41:$AL$51</c:f>
              <c:numCache>
                <c:formatCode>0.00</c:formatCode>
                <c:ptCount val="9"/>
                <c:pt idx="0">
                  <c:v>0.31941544885177453</c:v>
                </c:pt>
                <c:pt idx="1">
                  <c:v>0.24425887265135704</c:v>
                </c:pt>
                <c:pt idx="2">
                  <c:v>0.17745302713987476</c:v>
                </c:pt>
                <c:pt idx="3">
                  <c:v>0.17745302713987476</c:v>
                </c:pt>
                <c:pt idx="4">
                  <c:v>0.17745302713987476</c:v>
                </c:pt>
                <c:pt idx="5">
                  <c:v>0.4425887265135699</c:v>
                </c:pt>
                <c:pt idx="6">
                  <c:v>0.25259999999999999</c:v>
                </c:pt>
                <c:pt idx="7">
                  <c:v>0.25260960334029231</c:v>
                </c:pt>
                <c:pt idx="8">
                  <c:v>0.20459290187891443</c:v>
                </c:pt>
              </c:numCache>
              <c:extLst/>
            </c:numRef>
          </c:val>
          <c:smooth val="0"/>
          <c:extLst>
            <c:ext xmlns:c16="http://schemas.microsoft.com/office/drawing/2014/chart" uri="{C3380CC4-5D6E-409C-BE32-E72D297353CC}">
              <c16:uniqueId val="{00000006-5FE3-4F79-839E-60200A74DBA0}"/>
            </c:ext>
          </c:extLst>
        </c:ser>
        <c:ser>
          <c:idx val="3"/>
          <c:order val="3"/>
          <c:tx>
            <c:strRef>
              <c:f>'S0 EU Serbia'!$AM$39</c:f>
              <c:strCache>
                <c:ptCount val="1"/>
                <c:pt idx="0">
                  <c:v>Праг фискалног подиндекса</c:v>
                </c:pt>
              </c:strCache>
            </c:strRef>
          </c:tx>
          <c:spPr>
            <a:ln w="22225" cap="rnd">
              <a:solidFill>
                <a:srgbClr val="7030A0"/>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Serbia'!$AM$41:$AM$51</c:f>
              <c:numCache>
                <c:formatCode>General</c:formatCode>
                <c:ptCount val="9"/>
                <c:pt idx="0">
                  <c:v>0.36</c:v>
                </c:pt>
                <c:pt idx="1">
                  <c:v>0.36</c:v>
                </c:pt>
                <c:pt idx="2">
                  <c:v>0.36</c:v>
                </c:pt>
                <c:pt idx="3">
                  <c:v>0.36</c:v>
                </c:pt>
                <c:pt idx="4">
                  <c:v>0.36</c:v>
                </c:pt>
                <c:pt idx="5">
                  <c:v>0.36</c:v>
                </c:pt>
                <c:pt idx="6">
                  <c:v>0.36</c:v>
                </c:pt>
                <c:pt idx="7">
                  <c:v>0.36</c:v>
                </c:pt>
                <c:pt idx="8">
                  <c:v>0.36</c:v>
                </c:pt>
              </c:numCache>
              <c:extLst/>
            </c:numRef>
          </c:val>
          <c:smooth val="0"/>
          <c:extLst>
            <c:ext xmlns:c16="http://schemas.microsoft.com/office/drawing/2014/chart" uri="{C3380CC4-5D6E-409C-BE32-E72D297353CC}">
              <c16:uniqueId val="{00000007-5FE3-4F79-839E-60200A74DBA0}"/>
            </c:ext>
          </c:extLst>
        </c:ser>
        <c:ser>
          <c:idx val="4"/>
          <c:order val="4"/>
          <c:tx>
            <c:strRef>
              <c:f>'S0 EU Serbia'!$AN$39</c:f>
              <c:strCache>
                <c:ptCount val="1"/>
                <c:pt idx="0">
                  <c:v>Праг финансијског подиндекса</c:v>
                </c:pt>
              </c:strCache>
            </c:strRef>
          </c:tx>
          <c:spPr>
            <a:ln w="22225" cap="rnd">
              <a:solidFill>
                <a:srgbClr val="5297AC"/>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Serbia'!$AN$41:$AN$51</c:f>
              <c:numCache>
                <c:formatCode>General</c:formatCode>
                <c:ptCount val="9"/>
                <c:pt idx="0">
                  <c:v>0.49</c:v>
                </c:pt>
                <c:pt idx="1">
                  <c:v>0.49</c:v>
                </c:pt>
                <c:pt idx="2">
                  <c:v>0.49</c:v>
                </c:pt>
                <c:pt idx="3">
                  <c:v>0.49</c:v>
                </c:pt>
                <c:pt idx="4">
                  <c:v>0.49</c:v>
                </c:pt>
                <c:pt idx="5">
                  <c:v>0.49</c:v>
                </c:pt>
                <c:pt idx="6">
                  <c:v>0.49</c:v>
                </c:pt>
                <c:pt idx="7">
                  <c:v>0.49</c:v>
                </c:pt>
                <c:pt idx="8">
                  <c:v>0.49</c:v>
                </c:pt>
              </c:numCache>
              <c:extLst/>
            </c:numRef>
          </c:val>
          <c:smooth val="0"/>
          <c:extLst>
            <c:ext xmlns:c16="http://schemas.microsoft.com/office/drawing/2014/chart" uri="{C3380CC4-5D6E-409C-BE32-E72D297353CC}">
              <c16:uniqueId val="{00000008-5FE3-4F79-839E-60200A74DBA0}"/>
            </c:ext>
          </c:extLst>
        </c:ser>
        <c:ser>
          <c:idx val="5"/>
          <c:order val="5"/>
          <c:tx>
            <c:strRef>
              <c:f>'S0 EU Serbia'!$AO$39</c:f>
              <c:strCache>
                <c:ptCount val="1"/>
                <c:pt idx="0">
                  <c:v>S0 праг</c:v>
                </c:pt>
              </c:strCache>
            </c:strRef>
          </c:tx>
          <c:spPr>
            <a:ln w="22225" cap="rnd">
              <a:solidFill>
                <a:schemeClr val="tx1"/>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Serbia'!$AO$41:$AO$51</c:f>
              <c:numCache>
                <c:formatCode>General</c:formatCode>
                <c:ptCount val="9"/>
                <c:pt idx="0">
                  <c:v>0.46</c:v>
                </c:pt>
                <c:pt idx="1">
                  <c:v>0.46</c:v>
                </c:pt>
                <c:pt idx="2">
                  <c:v>0.46</c:v>
                </c:pt>
                <c:pt idx="3">
                  <c:v>0.46</c:v>
                </c:pt>
                <c:pt idx="4">
                  <c:v>0.46</c:v>
                </c:pt>
                <c:pt idx="5">
                  <c:v>0.46</c:v>
                </c:pt>
                <c:pt idx="6">
                  <c:v>0.46</c:v>
                </c:pt>
                <c:pt idx="7">
                  <c:v>0.46</c:v>
                </c:pt>
                <c:pt idx="8">
                  <c:v>0.46</c:v>
                </c:pt>
              </c:numCache>
              <c:extLst/>
            </c:numRef>
          </c:val>
          <c:smooth val="0"/>
          <c:extLst>
            <c:ext xmlns:c16="http://schemas.microsoft.com/office/drawing/2014/chart" uri="{C3380CC4-5D6E-409C-BE32-E72D297353CC}">
              <c16:uniqueId val="{00000009-5FE3-4F79-839E-60200A74DBA0}"/>
            </c:ext>
          </c:extLst>
        </c:ser>
        <c:dLbls>
          <c:showLegendKey val="0"/>
          <c:showVal val="0"/>
          <c:showCatName val="0"/>
          <c:showSerName val="0"/>
          <c:showPercent val="0"/>
          <c:showBubbleSize val="0"/>
        </c:dLbls>
        <c:marker val="1"/>
        <c:smooth val="0"/>
        <c:axId val="-486944112"/>
        <c:axId val="-486944656"/>
      </c:lineChart>
      <c:catAx>
        <c:axId val="-486944112"/>
        <c:scaling>
          <c:orientation val="minMax"/>
        </c:scaling>
        <c:delete val="0"/>
        <c:axPos val="b"/>
        <c:numFmt formatCode="General" sourceLinked="1"/>
        <c:majorTickMark val="none"/>
        <c:minorTickMark val="none"/>
        <c:tickLblPos val="nextTo"/>
        <c:spPr>
          <a:noFill/>
          <a:ln w="6350" cap="flat" cmpd="sng" algn="ctr">
            <a:solidFill>
              <a:schemeClr val="bg1">
                <a:lumMod val="65000"/>
              </a:schemeClr>
            </a:solidFill>
            <a:round/>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44656"/>
        <c:crosses val="autoZero"/>
        <c:auto val="1"/>
        <c:lblAlgn val="ctr"/>
        <c:lblOffset val="100"/>
        <c:noMultiLvlLbl val="0"/>
      </c:catAx>
      <c:valAx>
        <c:axId val="-486944656"/>
        <c:scaling>
          <c:orientation val="minMax"/>
          <c:max val="0.70000000000000007"/>
        </c:scaling>
        <c:delete val="0"/>
        <c:axPos val="l"/>
        <c:numFmt formatCode="#,##0.0" sourceLinked="0"/>
        <c:majorTickMark val="out"/>
        <c:minorTickMark val="none"/>
        <c:tickLblPos val="nextTo"/>
        <c:spPr>
          <a:noFill/>
          <a:ln w="6350">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44112"/>
        <c:crossesAt val="1"/>
        <c:crossBetween val="between"/>
      </c:valAx>
      <c:spPr>
        <a:noFill/>
        <a:ln>
          <a:noFill/>
        </a:ln>
        <a:effectLst/>
      </c:spPr>
    </c:plotArea>
    <c:legend>
      <c:legendPos val="b"/>
      <c:legendEntry>
        <c:idx val="3"/>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Entry>
      <c:layout>
        <c:manualLayout>
          <c:xMode val="edge"/>
          <c:yMode val="edge"/>
          <c:x val="2.930789712720251E-4"/>
          <c:y val="0.70762012921461737"/>
          <c:w val="0.99970692102872794"/>
          <c:h val="0.17193770399834751"/>
        </c:manualLayout>
      </c:layout>
      <c:overlay val="0"/>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4">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619370426378828E-2"/>
          <c:y val="6.9290856991499922E-2"/>
          <c:w val="0.86085801063022016"/>
          <c:h val="0.64533121433215346"/>
        </c:manualLayout>
      </c:layout>
      <c:barChart>
        <c:barDir val="col"/>
        <c:grouping val="clustered"/>
        <c:varyColors val="0"/>
        <c:ser>
          <c:idx val="0"/>
          <c:order val="0"/>
          <c:tx>
            <c:strRef>
              <c:f>'мемо 2011-2016'!$D$50</c:f>
              <c:strCache>
                <c:ptCount val="1"/>
                <c:pt idx="0">
                  <c:v>дуг</c:v>
                </c:pt>
              </c:strCache>
            </c:strRef>
          </c:tx>
          <c:spPr>
            <a:solidFill>
              <a:schemeClr val="tx2"/>
            </a:solidFill>
          </c:spPr>
          <c:invertIfNegative val="0"/>
          <c:dLbls>
            <c:numFmt formatCode="#,##0.0" sourceLinked="0"/>
            <c:spPr>
              <a:noFill/>
              <a:ln>
                <a:noFill/>
              </a:ln>
              <a:effectLst/>
            </c:spPr>
            <c:txPr>
              <a:bodyPr rot="-5400000" bIns="0" anchor="t" anchorCtr="0"/>
              <a:lstStyle/>
              <a:p>
                <a:pPr>
                  <a:defRPr sz="750" b="0" baseline="0">
                    <a:solidFill>
                      <a:schemeClr val="bg1"/>
                    </a:solidFill>
                    <a:latin typeface="Calibri" panose="020F0502020204030204" pitchFamily="34" charset="0"/>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numRef>
              <c:f>'мемо 2011-2016'!$J$48:$V$48</c:f>
              <c:numCache>
                <c:formatCode>General</c:formatCode>
                <c:ptCount val="13"/>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numCache>
            </c:numRef>
          </c:cat>
          <c:val>
            <c:numRef>
              <c:f>'мемо 2011-2016'!$J$50:$V$50</c:f>
              <c:numCache>
                <c:formatCode>#,##0.0</c:formatCode>
                <c:ptCount val="13"/>
                <c:pt idx="0">
                  <c:v>68.3698246708542</c:v>
                </c:pt>
                <c:pt idx="1">
                  <c:v>66.204612229090003</c:v>
                </c:pt>
                <c:pt idx="2">
                  <c:v>56.328463654534431</c:v>
                </c:pt>
                <c:pt idx="3" formatCode="0.0">
                  <c:v>52.142562046645665</c:v>
                </c:pt>
                <c:pt idx="4" formatCode="0.0">
                  <c:v>50.517490084354399</c:v>
                </c:pt>
                <c:pt idx="5" formatCode="0.0">
                  <c:v>55.189879391575488</c:v>
                </c:pt>
                <c:pt idx="6" formatCode="0.0">
                  <c:v>54.46703770748725</c:v>
                </c:pt>
                <c:pt idx="7" formatCode="0.0">
                  <c:v>52.901616882676905</c:v>
                </c:pt>
                <c:pt idx="8" formatCode="0.0">
                  <c:v>48.386002589196323</c:v>
                </c:pt>
                <c:pt idx="9" formatCode="General">
                  <c:v>47.9</c:v>
                </c:pt>
                <c:pt idx="10" formatCode="General">
                  <c:v>47.5</c:v>
                </c:pt>
                <c:pt idx="11" formatCode="General">
                  <c:v>47</c:v>
                </c:pt>
                <c:pt idx="12" formatCode="General">
                  <c:v>46.5</c:v>
                </c:pt>
              </c:numCache>
            </c:numRef>
          </c:val>
          <c:extLst>
            <c:ext xmlns:c16="http://schemas.microsoft.com/office/drawing/2014/chart" uri="{C3380CC4-5D6E-409C-BE32-E72D297353CC}">
              <c16:uniqueId val="{00000000-3E38-41C5-A75D-B6962673BA71}"/>
            </c:ext>
          </c:extLst>
        </c:ser>
        <c:dLbls>
          <c:showLegendKey val="0"/>
          <c:showVal val="0"/>
          <c:showCatName val="0"/>
          <c:showSerName val="0"/>
          <c:showPercent val="0"/>
          <c:showBubbleSize val="0"/>
        </c:dLbls>
        <c:gapWidth val="18"/>
        <c:overlap val="50"/>
        <c:axId val="430644800"/>
        <c:axId val="430645584"/>
      </c:barChart>
      <c:lineChart>
        <c:grouping val="standard"/>
        <c:varyColors val="0"/>
        <c:ser>
          <c:idx val="2"/>
          <c:order val="1"/>
          <c:tx>
            <c:strRef>
              <c:f>'мемо 2011-2016'!$D$49</c:f>
              <c:strCache>
                <c:ptCount val="1"/>
                <c:pt idx="0">
                  <c:v>резултат (десна скала)</c:v>
                </c:pt>
              </c:strCache>
            </c:strRef>
          </c:tx>
          <c:spPr>
            <a:ln>
              <a:solidFill>
                <a:srgbClr val="FF0000"/>
              </a:solidFill>
            </a:ln>
          </c:spPr>
          <c:marker>
            <c:symbol val="none"/>
          </c:marker>
          <c:dLbls>
            <c:dLbl>
              <c:idx val="0"/>
              <c:layout>
                <c:manualLayout>
                  <c:x val="-7.2403523053003974E-2"/>
                  <c:y val="-0.23908901151135636"/>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E38-41C5-A75D-B6962673BA71}"/>
                </c:ext>
              </c:extLst>
            </c:dLbl>
            <c:dLbl>
              <c:idx val="5"/>
              <c:layout>
                <c:manualLayout>
                  <c:x val="-7.2403523053003974E-2"/>
                  <c:y val="-0.24658807412852929"/>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E38-41C5-A75D-B6962673BA71}"/>
                </c:ext>
              </c:extLst>
            </c:dLbl>
            <c:dLbl>
              <c:idx val="8"/>
              <c:layout>
                <c:manualLayout>
                  <c:x val="-7.2403523053003974E-2"/>
                  <c:y val="-8.160869655072643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E38-41C5-A75D-B6962673BA71}"/>
                </c:ext>
              </c:extLst>
            </c:dLbl>
            <c:dLbl>
              <c:idx val="11"/>
              <c:layout>
                <c:manualLayout>
                  <c:x val="-7.2403523053003876E-2"/>
                  <c:y val="-6.661057131638073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E38-41C5-A75D-B6962673BA71}"/>
                </c:ext>
              </c:extLst>
            </c:dLbl>
            <c:numFmt formatCode="#,##0.0" sourceLinked="0"/>
            <c:spPr>
              <a:noFill/>
              <a:ln>
                <a:noFill/>
              </a:ln>
              <a:effectLst/>
            </c:spPr>
            <c:txPr>
              <a:bodyPr wrap="square" lIns="38100" tIns="19050" rIns="38100" bIns="19050" anchor="ctr">
                <a:spAutoFit/>
              </a:bodyPr>
              <a:lstStyle/>
              <a:p>
                <a:pPr>
                  <a:defRPr sz="800" baseline="0">
                    <a:solidFill>
                      <a:sysClr val="windowText" lastClr="000000"/>
                    </a:solidFill>
                    <a:latin typeface="Calibri" panose="020F050202020403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2011-2016'!$J$49:$V$49</c:f>
              <c:numCache>
                <c:formatCode>#,##0.0</c:formatCode>
                <c:ptCount val="13"/>
                <c:pt idx="0">
                  <c:v>-2.557417627587272</c:v>
                </c:pt>
                <c:pt idx="1">
                  <c:v>-0.16913184189638014</c:v>
                </c:pt>
                <c:pt idx="2">
                  <c:v>0.68458207492879064</c:v>
                </c:pt>
                <c:pt idx="3" formatCode="0.0">
                  <c:v>0.60862356693344921</c:v>
                </c:pt>
                <c:pt idx="4">
                  <c:v>0.22493517567960261</c:v>
                </c:pt>
                <c:pt idx="5">
                  <c:v>-7.9648699404583674</c:v>
                </c:pt>
                <c:pt idx="6">
                  <c:v>-4.3503022355620589</c:v>
                </c:pt>
                <c:pt idx="7">
                  <c:v>-3.1529011090095045</c:v>
                </c:pt>
                <c:pt idx="8" formatCode="0.0">
                  <c:v>-2.033566199063217</c:v>
                </c:pt>
                <c:pt idx="9" formatCode="General">
                  <c:v>-2.7</c:v>
                </c:pt>
                <c:pt idx="10" formatCode="General">
                  <c:v>-3</c:v>
                </c:pt>
                <c:pt idx="11" formatCode="General">
                  <c:v>-3</c:v>
                </c:pt>
                <c:pt idx="12" formatCode="General">
                  <c:v>-3</c:v>
                </c:pt>
              </c:numCache>
            </c:numRef>
          </c:val>
          <c:smooth val="1"/>
          <c:extLst>
            <c:ext xmlns:c16="http://schemas.microsoft.com/office/drawing/2014/chart" uri="{C3380CC4-5D6E-409C-BE32-E72D297353CC}">
              <c16:uniqueId val="{0000000E-3E38-41C5-A75D-B6962673BA71}"/>
            </c:ext>
          </c:extLst>
        </c:ser>
        <c:ser>
          <c:idx val="1"/>
          <c:order val="2"/>
          <c:tx>
            <c:strRef>
              <c:f>'мемо 2011-2016'!$D$51</c:f>
              <c:strCache>
                <c:ptCount val="1"/>
                <c:pt idx="0">
                  <c:v>баланс</c:v>
                </c:pt>
              </c:strCache>
            </c:strRef>
          </c:tx>
          <c:spPr>
            <a:ln w="22225">
              <a:solidFill>
                <a:schemeClr val="tx1"/>
              </a:solidFill>
            </a:ln>
          </c:spPr>
          <c:marker>
            <c:symbol val="none"/>
          </c:marker>
          <c:val>
            <c:numRef>
              <c:f>'мемо 2011-2016'!$J$51:$V$51</c:f>
              <c:numCache>
                <c:formatCode>#,##0.0</c:formatCode>
                <c:ptCount val="13"/>
                <c:pt idx="0">
                  <c:v>0</c:v>
                </c:pt>
                <c:pt idx="1">
                  <c:v>0</c:v>
                </c:pt>
                <c:pt idx="2">
                  <c:v>0</c:v>
                </c:pt>
                <c:pt idx="3">
                  <c:v>0</c:v>
                </c:pt>
                <c:pt idx="4">
                  <c:v>0</c:v>
                </c:pt>
                <c:pt idx="5">
                  <c:v>0</c:v>
                </c:pt>
                <c:pt idx="6">
                  <c:v>0</c:v>
                </c:pt>
                <c:pt idx="7">
                  <c:v>0</c:v>
                </c:pt>
                <c:pt idx="8" formatCode="General">
                  <c:v>0</c:v>
                </c:pt>
                <c:pt idx="9" formatCode="General">
                  <c:v>0</c:v>
                </c:pt>
                <c:pt idx="10" formatCode="General">
                  <c:v>0</c:v>
                </c:pt>
                <c:pt idx="11" formatCode="General">
                  <c:v>0</c:v>
                </c:pt>
                <c:pt idx="12" formatCode="General">
                  <c:v>0</c:v>
                </c:pt>
              </c:numCache>
            </c:numRef>
          </c:val>
          <c:smooth val="0"/>
          <c:extLst>
            <c:ext xmlns:c16="http://schemas.microsoft.com/office/drawing/2014/chart" uri="{C3380CC4-5D6E-409C-BE32-E72D297353CC}">
              <c16:uniqueId val="{0000000F-3E38-41C5-A75D-B6962673BA71}"/>
            </c:ext>
          </c:extLst>
        </c:ser>
        <c:dLbls>
          <c:showLegendKey val="0"/>
          <c:showVal val="0"/>
          <c:showCatName val="0"/>
          <c:showSerName val="0"/>
          <c:showPercent val="0"/>
          <c:showBubbleSize val="0"/>
        </c:dLbls>
        <c:marker val="1"/>
        <c:smooth val="0"/>
        <c:axId val="426079336"/>
        <c:axId val="426078160"/>
      </c:lineChart>
      <c:catAx>
        <c:axId val="430644800"/>
        <c:scaling>
          <c:orientation val="minMax"/>
        </c:scaling>
        <c:delete val="0"/>
        <c:axPos val="b"/>
        <c:numFmt formatCode="General" sourceLinked="1"/>
        <c:majorTickMark val="out"/>
        <c:minorTickMark val="none"/>
        <c:tickLblPos val="nextTo"/>
        <c:spPr>
          <a:ln>
            <a:noFill/>
          </a:ln>
        </c:spPr>
        <c:txPr>
          <a:bodyPr/>
          <a:lstStyle/>
          <a:p>
            <a:pPr>
              <a:defRPr sz="800" baseline="0">
                <a:latin typeface="Calibri" panose="020F0502020204030204" pitchFamily="34" charset="0"/>
              </a:defRPr>
            </a:pPr>
            <a:endParaRPr lang="sr-Latn-RS"/>
          </a:p>
        </c:txPr>
        <c:crossAx val="430645584"/>
        <c:crossesAt val="0"/>
        <c:auto val="1"/>
        <c:lblAlgn val="ctr"/>
        <c:lblOffset val="100"/>
        <c:noMultiLvlLbl val="0"/>
      </c:catAx>
      <c:valAx>
        <c:axId val="430645584"/>
        <c:scaling>
          <c:orientation val="minMax"/>
          <c:max val="70"/>
          <c:min val="40"/>
        </c:scaling>
        <c:delete val="0"/>
        <c:axPos val="l"/>
        <c:majorGridlines>
          <c:spPr>
            <a:ln>
              <a:noFill/>
            </a:ln>
          </c:spPr>
        </c:majorGridlines>
        <c:numFmt formatCode="#,##0" sourceLinked="0"/>
        <c:majorTickMark val="out"/>
        <c:minorTickMark val="none"/>
        <c:tickLblPos val="nextTo"/>
        <c:spPr>
          <a:ln>
            <a:noFill/>
          </a:ln>
        </c:spPr>
        <c:txPr>
          <a:bodyPr/>
          <a:lstStyle/>
          <a:p>
            <a:pPr>
              <a:defRPr sz="800" baseline="0">
                <a:solidFill>
                  <a:sysClr val="windowText" lastClr="000000"/>
                </a:solidFill>
              </a:defRPr>
            </a:pPr>
            <a:endParaRPr lang="sr-Latn-RS"/>
          </a:p>
        </c:txPr>
        <c:crossAx val="430644800"/>
        <c:crosses val="autoZero"/>
        <c:crossBetween val="between"/>
        <c:majorUnit val="5"/>
      </c:valAx>
      <c:valAx>
        <c:axId val="426078160"/>
        <c:scaling>
          <c:orientation val="minMax"/>
        </c:scaling>
        <c:delete val="0"/>
        <c:axPos val="r"/>
        <c:numFmt formatCode="#,##0" sourceLinked="0"/>
        <c:majorTickMark val="out"/>
        <c:minorTickMark val="none"/>
        <c:tickLblPos val="nextTo"/>
        <c:spPr>
          <a:ln>
            <a:noFill/>
          </a:ln>
        </c:spPr>
        <c:txPr>
          <a:bodyPr/>
          <a:lstStyle/>
          <a:p>
            <a:pPr>
              <a:defRPr sz="800" baseline="0"/>
            </a:pPr>
            <a:endParaRPr lang="sr-Latn-RS"/>
          </a:p>
        </c:txPr>
        <c:crossAx val="426079336"/>
        <c:crosses val="max"/>
        <c:crossBetween val="between"/>
      </c:valAx>
      <c:catAx>
        <c:axId val="426079336"/>
        <c:scaling>
          <c:orientation val="minMax"/>
        </c:scaling>
        <c:delete val="1"/>
        <c:axPos val="b"/>
        <c:majorTickMark val="out"/>
        <c:minorTickMark val="none"/>
        <c:tickLblPos val="nextTo"/>
        <c:crossAx val="426078160"/>
        <c:crosses val="autoZero"/>
        <c:auto val="1"/>
        <c:lblAlgn val="ctr"/>
        <c:lblOffset val="100"/>
        <c:noMultiLvlLbl val="0"/>
      </c:catAx>
      <c:spPr>
        <a:noFill/>
        <a:ln>
          <a:noFill/>
        </a:ln>
      </c:spPr>
    </c:plotArea>
    <c:legend>
      <c:legendPos val="b"/>
      <c:layout>
        <c:manualLayout>
          <c:xMode val="edge"/>
          <c:yMode val="edge"/>
          <c:x val="4.5584815143140209E-2"/>
          <c:y val="0.89805918755568404"/>
          <c:w val="0.9"/>
          <c:h val="8.9708396542175328E-2"/>
        </c:manualLayout>
      </c:layout>
      <c:overlay val="0"/>
      <c:txPr>
        <a:bodyPr/>
        <a:lstStyle/>
        <a:p>
          <a:pPr>
            <a:defRPr sz="800" baseline="0">
              <a:latin typeface="Calibri" panose="020F0502020204030204" pitchFamily="34" charset="0"/>
            </a:defRPr>
          </a:pPr>
          <a:endParaRPr lang="sr-Latn-RS"/>
        </a:p>
      </c:txPr>
    </c:legend>
    <c:plotVisOnly val="1"/>
    <c:dispBlanksAs val="gap"/>
    <c:showDLblsOverMax val="0"/>
  </c:chart>
  <c:spPr>
    <a:ln>
      <a:noFill/>
    </a:ln>
  </c:spPr>
  <c:txPr>
    <a:bodyPr/>
    <a:lstStyle/>
    <a:p>
      <a:pPr>
        <a:defRPr sz="900" baseline="0">
          <a:latin typeface="Cambria Math" pitchFamily="18" charset="0"/>
        </a:defRPr>
      </a:pPr>
      <a:endParaRPr lang="sr-Latn-RS"/>
    </a:p>
  </c:txPr>
  <c:externalData r:id="rId2">
    <c:autoUpdate val="0"/>
  </c:externalData>
  <c:userShapes r:id="rId3"/>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Гаранције!$C$53</c:f>
              <c:strCache>
                <c:ptCount val="1"/>
                <c:pt idx="0">
                  <c:v>Укупна отплата по основу гаранција (главница + камата)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strRef>
              <c:f>Гаранције!$B$54:$B$63</c:f>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f>Гаранције!$C$54:$C$63</c:f>
              <c:numCache>
                <c:formatCode>#,##0.0</c:formatCode>
                <c:ptCount val="10"/>
                <c:pt idx="0">
                  <c:v>47.2</c:v>
                </c:pt>
                <c:pt idx="1">
                  <c:v>55.3</c:v>
                </c:pt>
                <c:pt idx="2">
                  <c:v>36.700000000000003</c:v>
                </c:pt>
                <c:pt idx="3">
                  <c:v>26</c:v>
                </c:pt>
                <c:pt idx="4">
                  <c:v>17.100000000000001</c:v>
                </c:pt>
                <c:pt idx="5">
                  <c:v>13.2</c:v>
                </c:pt>
                <c:pt idx="6">
                  <c:v>12.9</c:v>
                </c:pt>
                <c:pt idx="7">
                  <c:v>23.3</c:v>
                </c:pt>
                <c:pt idx="8" formatCode="0.0">
                  <c:v>33.74</c:v>
                </c:pt>
                <c:pt idx="9" formatCode="General">
                  <c:v>25.8</c:v>
                </c:pt>
              </c:numCache>
            </c:numRef>
          </c:val>
          <c:extLst>
            <c:ext xmlns:c16="http://schemas.microsoft.com/office/drawing/2014/chart" uri="{C3380CC4-5D6E-409C-BE32-E72D297353CC}">
              <c16:uniqueId val="{00000000-A251-44E9-9C84-B5B0C704F33D}"/>
            </c:ext>
          </c:extLst>
        </c:ser>
        <c:ser>
          <c:idx val="1"/>
          <c:order val="1"/>
          <c:tx>
            <c:strRef>
              <c:f>Гаранције!$D$53</c:f>
              <c:strCache>
                <c:ptCount val="1"/>
                <c:pt idx="0">
                  <c:v>Отплата гаранција (главница) укључена у расходе (утиче на дефицит) </c:v>
                </c:pt>
              </c:strCache>
            </c:strRef>
          </c:tx>
          <c:spPr>
            <a:solidFill>
              <a:srgbClr val="FF0000"/>
            </a:solidFill>
            <a:ln>
              <a:noFill/>
            </a:ln>
            <a:effectLst/>
          </c:spPr>
          <c:invertIfNegative val="0"/>
          <c:cat>
            <c:strRef>
              <c:f>Гаранције!$B$54:$B$63</c:f>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f>Гаранције!$D$54:$D$63</c:f>
              <c:numCache>
                <c:formatCode>#,##0.0</c:formatCode>
                <c:ptCount val="10"/>
                <c:pt idx="0">
                  <c:v>30.099999999999998</c:v>
                </c:pt>
                <c:pt idx="1">
                  <c:v>39.116</c:v>
                </c:pt>
                <c:pt idx="2">
                  <c:v>28.8</c:v>
                </c:pt>
                <c:pt idx="3">
                  <c:v>19.727</c:v>
                </c:pt>
                <c:pt idx="4">
                  <c:v>10.8</c:v>
                </c:pt>
                <c:pt idx="5">
                  <c:v>7.5</c:v>
                </c:pt>
                <c:pt idx="6">
                  <c:v>7.7</c:v>
                </c:pt>
                <c:pt idx="7">
                  <c:v>17.744700000000002</c:v>
                </c:pt>
                <c:pt idx="8" formatCode="General">
                  <c:v>23.8</c:v>
                </c:pt>
                <c:pt idx="9" formatCode="General">
                  <c:v>17.7</c:v>
                </c:pt>
              </c:numCache>
            </c:numRef>
          </c:val>
          <c:extLst>
            <c:ext xmlns:c16="http://schemas.microsoft.com/office/drawing/2014/chart" uri="{C3380CC4-5D6E-409C-BE32-E72D297353CC}">
              <c16:uniqueId val="{00000001-A251-44E9-9C84-B5B0C704F33D}"/>
            </c:ext>
          </c:extLst>
        </c:ser>
        <c:dLbls>
          <c:showLegendKey val="0"/>
          <c:showVal val="0"/>
          <c:showCatName val="0"/>
          <c:showSerName val="0"/>
          <c:showPercent val="0"/>
          <c:showBubbleSize val="0"/>
        </c:dLbls>
        <c:gapWidth val="100"/>
        <c:overlap val="-24"/>
        <c:axId val="499205263"/>
        <c:axId val="499199855"/>
        <c:extLst>
          <c:ext xmlns:c15="http://schemas.microsoft.com/office/drawing/2012/chart" uri="{02D57815-91ED-43cb-92C2-25804820EDAC}">
            <c15:filteredBarSeries>
              <c15:ser>
                <c:idx val="2"/>
                <c:order val="2"/>
                <c:tx>
                  <c:strRef>
                    <c:extLst>
                      <c:ext uri="{02D57815-91ED-43cb-92C2-25804820EDAC}">
                        <c15:formulaRef>
                          <c15:sqref>Гаранције!$E$53</c15:sqref>
                        </c15:formulaRef>
                      </c:ext>
                    </c:extLst>
                    <c:strCache>
                      <c:ptCount val="1"/>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cat>
                  <c:strRef>
                    <c:extLst>
                      <c:ex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extLst>
                      <c:ext uri="{02D57815-91ED-43cb-92C2-25804820EDAC}">
                        <c15:formulaRef>
                          <c15:sqref>Гаранције!$E$54:$E$62</c15:sqref>
                        </c15:formulaRef>
                      </c:ext>
                    </c:extLst>
                    <c:numCache>
                      <c:formatCode>General</c:formatCode>
                      <c:ptCount val="9"/>
                    </c:numCache>
                  </c:numRef>
                </c:val>
                <c:extLst>
                  <c:ext xmlns:c16="http://schemas.microsoft.com/office/drawing/2014/chart" uri="{C3380CC4-5D6E-409C-BE32-E72D297353CC}">
                    <c16:uniqueId val="{00000002-A251-44E9-9C84-B5B0C704F33D}"/>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Гаранције!$F$53</c15:sqref>
                        </c15:formulaRef>
                      </c:ext>
                    </c:extLst>
                    <c:strCache>
                      <c:ptCount val="1"/>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invertIfNegative val="0"/>
                <c:cat>
                  <c:strRef>
                    <c:extLst xmlns:c15="http://schemas.microsoft.com/office/drawing/2012/chart">
                      <c:ext xmlns:c15="http://schemas.microsoft.com/office/drawing/2012/char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extLst xmlns:c15="http://schemas.microsoft.com/office/drawing/2012/chart">
                      <c:ext xmlns:c15="http://schemas.microsoft.com/office/drawing/2012/chart" uri="{02D57815-91ED-43cb-92C2-25804820EDAC}">
                        <c15:formulaRef>
                          <c15:sqref>Гаранције!$F$54:$F$62</c15:sqref>
                        </c15:formulaRef>
                      </c:ext>
                    </c:extLst>
                    <c:numCache>
                      <c:formatCode>General</c:formatCode>
                      <c:ptCount val="9"/>
                    </c:numCache>
                  </c:numRef>
                </c:val>
                <c:extLst xmlns:c15="http://schemas.microsoft.com/office/drawing/2012/chart">
                  <c:ext xmlns:c16="http://schemas.microsoft.com/office/drawing/2014/chart" uri="{C3380CC4-5D6E-409C-BE32-E72D297353CC}">
                    <c16:uniqueId val="{00000003-A251-44E9-9C84-B5B0C704F33D}"/>
                  </c:ext>
                </c:extLst>
              </c15:ser>
            </c15:filteredBarSeries>
            <c15:filteredBarSeries>
              <c15:ser>
                <c:idx val="4"/>
                <c:order val="4"/>
                <c:tx>
                  <c:strRef>
                    <c:extLst xmlns:c15="http://schemas.microsoft.com/office/drawing/2012/chart">
                      <c:ext xmlns:c15="http://schemas.microsoft.com/office/drawing/2012/chart" uri="{02D57815-91ED-43cb-92C2-25804820EDAC}">
                        <c15:formulaRef>
                          <c15:sqref>Гаранције!$G$53</c15:sqref>
                        </c15:formulaRef>
                      </c:ext>
                    </c:extLst>
                    <c:strCache>
                      <c:ptCount val="1"/>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invertIfNegative val="0"/>
                <c:cat>
                  <c:strRef>
                    <c:extLst xmlns:c15="http://schemas.microsoft.com/office/drawing/2012/chart">
                      <c:ext xmlns:c15="http://schemas.microsoft.com/office/drawing/2012/char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31.08.2024.</c:v>
                      </c:pt>
                    </c:strCache>
                  </c:strRef>
                </c:cat>
                <c:val>
                  <c:numRef>
                    <c:extLst xmlns:c15="http://schemas.microsoft.com/office/drawing/2012/chart">
                      <c:ext xmlns:c15="http://schemas.microsoft.com/office/drawing/2012/chart" uri="{02D57815-91ED-43cb-92C2-25804820EDAC}">
                        <c15:formulaRef>
                          <c15:sqref>Гаранције!$G$54:$G$62</c15:sqref>
                        </c15:formulaRef>
                      </c:ext>
                    </c:extLst>
                    <c:numCache>
                      <c:formatCode>General</c:formatCode>
                      <c:ptCount val="9"/>
                    </c:numCache>
                  </c:numRef>
                </c:val>
                <c:extLst xmlns:c15="http://schemas.microsoft.com/office/drawing/2012/chart">
                  <c:ext xmlns:c16="http://schemas.microsoft.com/office/drawing/2014/chart" uri="{C3380CC4-5D6E-409C-BE32-E72D297353CC}">
                    <c16:uniqueId val="{00000004-A251-44E9-9C84-B5B0C704F33D}"/>
                  </c:ext>
                </c:extLst>
              </c15:ser>
            </c15:filteredBarSeries>
          </c:ext>
        </c:extLst>
      </c:barChart>
      <c:catAx>
        <c:axId val="499205263"/>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r>
                  <a:rPr lang="sr-Cyrl-RS"/>
                  <a:t>Година</a:t>
                </a:r>
                <a:endParaRPr lang="en-US"/>
              </a:p>
            </c:rich>
          </c:tx>
          <c:overlay val="0"/>
          <c:spPr>
            <a:noFill/>
            <a:ln>
              <a:noFill/>
            </a:ln>
            <a:effectLst/>
          </c:spPr>
          <c:txPr>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sr-Latn-RS"/>
            </a:p>
          </c:txPr>
        </c:title>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499199855"/>
        <c:crosses val="autoZero"/>
        <c:auto val="1"/>
        <c:lblAlgn val="ctr"/>
        <c:lblOffset val="100"/>
        <c:noMultiLvlLbl val="0"/>
      </c:catAx>
      <c:valAx>
        <c:axId val="499199855"/>
        <c:scaling>
          <c:orientation val="minMax"/>
        </c:scaling>
        <c:delete val="0"/>
        <c:axPos val="l"/>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sr-Cyrl-RS"/>
                  <a:t>млрд</a:t>
                </a:r>
                <a:r>
                  <a:rPr lang="sr-Cyrl-RS" baseline="0"/>
                  <a:t>  динара</a:t>
                </a:r>
                <a:endParaRPr lang="en-US"/>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sr-Latn-R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49920526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sz="1000"/>
              <a:t>План и извршење по основну новчаних</a:t>
            </a:r>
            <a:r>
              <a:rPr lang="sr-Cyrl-RS" sz="1000" baseline="0"/>
              <a:t> казни и пенала и накнаде штете</a:t>
            </a:r>
            <a:endParaRPr lang="en-US" sz="10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barChart>
        <c:barDir val="col"/>
        <c:grouping val="clustered"/>
        <c:varyColors val="0"/>
        <c:ser>
          <c:idx val="0"/>
          <c:order val="0"/>
          <c:tx>
            <c:strRef>
              <c:f>'sudski postupci'!$C$4</c:f>
              <c:strCache>
                <c:ptCount val="1"/>
                <c:pt idx="0">
                  <c:v>План</c:v>
                </c:pt>
              </c:strCache>
            </c:strRef>
          </c:tx>
          <c:spPr>
            <a:solidFill>
              <a:srgbClr val="4472C4">
                <a:lumMod val="50000"/>
              </a:srgbClr>
            </a:solidFill>
            <a:ln>
              <a:noFill/>
            </a:ln>
            <a:effectLst/>
          </c:spPr>
          <c:invertIfNegative val="0"/>
          <c:cat>
            <c:strRef>
              <c:f>'sudski postupci'!$B$5:$B$11</c:f>
              <c:strCache>
                <c:ptCount val="7"/>
                <c:pt idx="0">
                  <c:v>2018</c:v>
                </c:pt>
                <c:pt idx="1">
                  <c:v>2019</c:v>
                </c:pt>
                <c:pt idx="2">
                  <c:v>2020</c:v>
                </c:pt>
                <c:pt idx="3">
                  <c:v>2021</c:v>
                </c:pt>
                <c:pt idx="4">
                  <c:v>2022</c:v>
                </c:pt>
                <c:pt idx="5">
                  <c:v>2023</c:v>
                </c:pt>
                <c:pt idx="6">
                  <c:v>30. сеп. 2024</c:v>
                </c:pt>
              </c:strCache>
            </c:strRef>
          </c:cat>
          <c:val>
            <c:numRef>
              <c:f>'sudski postupci'!$C$5:$C$11</c:f>
              <c:numCache>
                <c:formatCode>#,##0</c:formatCode>
                <c:ptCount val="7"/>
                <c:pt idx="0">
                  <c:v>16347</c:v>
                </c:pt>
                <c:pt idx="1">
                  <c:v>18470</c:v>
                </c:pt>
                <c:pt idx="2">
                  <c:v>23456</c:v>
                </c:pt>
                <c:pt idx="3">
                  <c:v>13148</c:v>
                </c:pt>
                <c:pt idx="4">
                  <c:v>34113</c:v>
                </c:pt>
                <c:pt idx="5">
                  <c:v>29020.335999999999</c:v>
                </c:pt>
                <c:pt idx="6">
                  <c:v>32824.125999999997</c:v>
                </c:pt>
              </c:numCache>
            </c:numRef>
          </c:val>
          <c:extLst xmlns:c15="http://schemas.microsoft.com/office/drawing/2012/chart">
            <c:ext xmlns:c16="http://schemas.microsoft.com/office/drawing/2014/chart" uri="{C3380CC4-5D6E-409C-BE32-E72D297353CC}">
              <c16:uniqueId val="{00000000-3161-4788-BC0B-06248F0AFB96}"/>
            </c:ext>
          </c:extLst>
        </c:ser>
        <c:ser>
          <c:idx val="1"/>
          <c:order val="1"/>
          <c:tx>
            <c:strRef>
              <c:f>'sudski postupci'!$D$4</c:f>
              <c:strCache>
                <c:ptCount val="1"/>
                <c:pt idx="0">
                  <c:v>Апропријација </c:v>
                </c:pt>
              </c:strCache>
            </c:strRef>
          </c:tx>
          <c:spPr>
            <a:solidFill>
              <a:srgbClr val="0070C0"/>
            </a:solidFill>
            <a:ln>
              <a:noFill/>
            </a:ln>
            <a:effectLst/>
          </c:spPr>
          <c:invertIfNegative val="0"/>
          <c:cat>
            <c:strRef>
              <c:f>'sudski postupci'!$B$5:$B$11</c:f>
              <c:strCache>
                <c:ptCount val="7"/>
                <c:pt idx="0">
                  <c:v>2018</c:v>
                </c:pt>
                <c:pt idx="1">
                  <c:v>2019</c:v>
                </c:pt>
                <c:pt idx="2">
                  <c:v>2020</c:v>
                </c:pt>
                <c:pt idx="3">
                  <c:v>2021</c:v>
                </c:pt>
                <c:pt idx="4">
                  <c:v>2022</c:v>
                </c:pt>
                <c:pt idx="5">
                  <c:v>2023</c:v>
                </c:pt>
                <c:pt idx="6">
                  <c:v>30. сеп. 2024</c:v>
                </c:pt>
              </c:strCache>
            </c:strRef>
          </c:cat>
          <c:val>
            <c:numRef>
              <c:f>'sudski postupci'!$D$5:$D$11</c:f>
              <c:numCache>
                <c:formatCode>#,##0</c:formatCode>
                <c:ptCount val="7"/>
                <c:pt idx="0">
                  <c:v>19160</c:v>
                </c:pt>
                <c:pt idx="1">
                  <c:v>18470</c:v>
                </c:pt>
                <c:pt idx="2">
                  <c:v>23798</c:v>
                </c:pt>
                <c:pt idx="3">
                  <c:v>17230</c:v>
                </c:pt>
                <c:pt idx="4">
                  <c:v>31170</c:v>
                </c:pt>
                <c:pt idx="5">
                  <c:v>26257.116639160002</c:v>
                </c:pt>
                <c:pt idx="6">
                  <c:v>24676.68170624</c:v>
                </c:pt>
              </c:numCache>
            </c:numRef>
          </c:val>
          <c:extLst>
            <c:ext xmlns:c16="http://schemas.microsoft.com/office/drawing/2014/chart" uri="{C3380CC4-5D6E-409C-BE32-E72D297353CC}">
              <c16:uniqueId val="{00000001-3161-4788-BC0B-06248F0AFB96}"/>
            </c:ext>
          </c:extLst>
        </c:ser>
        <c:ser>
          <c:idx val="2"/>
          <c:order val="2"/>
          <c:tx>
            <c:strRef>
              <c:f>'sudski postupci'!$E$4</c:f>
              <c:strCache>
                <c:ptCount val="1"/>
                <c:pt idx="0">
                  <c:v>Извршење</c:v>
                </c:pt>
              </c:strCache>
            </c:strRef>
          </c:tx>
          <c:spPr>
            <a:solidFill>
              <a:srgbClr val="FF0000"/>
            </a:solidFill>
            <a:ln>
              <a:noFill/>
            </a:ln>
            <a:effectLst/>
          </c:spPr>
          <c:invertIfNegative val="0"/>
          <c:cat>
            <c:strRef>
              <c:f>'sudski postupci'!$B$5:$B$11</c:f>
              <c:strCache>
                <c:ptCount val="7"/>
                <c:pt idx="0">
                  <c:v>2018</c:v>
                </c:pt>
                <c:pt idx="1">
                  <c:v>2019</c:v>
                </c:pt>
                <c:pt idx="2">
                  <c:v>2020</c:v>
                </c:pt>
                <c:pt idx="3">
                  <c:v>2021</c:v>
                </c:pt>
                <c:pt idx="4">
                  <c:v>2022</c:v>
                </c:pt>
                <c:pt idx="5">
                  <c:v>2023</c:v>
                </c:pt>
                <c:pt idx="6">
                  <c:v>30. сеп. 2024</c:v>
                </c:pt>
              </c:strCache>
            </c:strRef>
          </c:cat>
          <c:val>
            <c:numRef>
              <c:f>'sudski postupci'!$E$5:$E$11</c:f>
              <c:numCache>
                <c:formatCode>#,##0</c:formatCode>
                <c:ptCount val="7"/>
                <c:pt idx="0">
                  <c:v>15762</c:v>
                </c:pt>
                <c:pt idx="1">
                  <c:v>17575</c:v>
                </c:pt>
                <c:pt idx="2">
                  <c:v>22921</c:v>
                </c:pt>
                <c:pt idx="3">
                  <c:v>16943</c:v>
                </c:pt>
                <c:pt idx="4">
                  <c:v>26824</c:v>
                </c:pt>
                <c:pt idx="5">
                  <c:v>25445.243600919999</c:v>
                </c:pt>
                <c:pt idx="6">
                  <c:v>19185.870885299999</c:v>
                </c:pt>
              </c:numCache>
            </c:numRef>
          </c:val>
          <c:extLst>
            <c:ext xmlns:c16="http://schemas.microsoft.com/office/drawing/2014/chart" uri="{C3380CC4-5D6E-409C-BE32-E72D297353CC}">
              <c16:uniqueId val="{00000002-3161-4788-BC0B-06248F0AFB96}"/>
            </c:ext>
          </c:extLst>
        </c:ser>
        <c:dLbls>
          <c:showLegendKey val="0"/>
          <c:showVal val="0"/>
          <c:showCatName val="0"/>
          <c:showSerName val="0"/>
          <c:showPercent val="0"/>
          <c:showBubbleSize val="0"/>
        </c:dLbls>
        <c:gapWidth val="219"/>
        <c:overlap val="-27"/>
        <c:axId val="2134917552"/>
        <c:axId val="2134912144"/>
        <c:extLst/>
      </c:barChart>
      <c:catAx>
        <c:axId val="21349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crossAx val="2134912144"/>
        <c:crosses val="autoZero"/>
        <c:auto val="1"/>
        <c:lblAlgn val="ctr"/>
        <c:lblOffset val="100"/>
        <c:noMultiLvlLbl val="0"/>
      </c:catAx>
      <c:valAx>
        <c:axId val="2134912144"/>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crossAx val="2134917552"/>
        <c:crosses val="autoZero"/>
        <c:crossBetween val="between"/>
      </c:valAx>
      <c:spPr>
        <a:noFill/>
        <a:ln>
          <a:noFill/>
        </a:ln>
        <a:effectLst/>
      </c:spPr>
    </c:plotArea>
    <c:legend>
      <c:legendPos val="b"/>
      <c:layout>
        <c:manualLayout>
          <c:xMode val="edge"/>
          <c:yMode val="edge"/>
          <c:x val="8.3742690058479521E-2"/>
          <c:y val="0.86627592603556136"/>
          <c:w val="0.85184635360070438"/>
          <c:h val="9.9388175500067386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983943048038039"/>
          <c:y val="0.23592023291487962"/>
          <c:w val="0.84505904030619183"/>
          <c:h val="0.63771136547871721"/>
        </c:manualLayout>
      </c:layout>
      <c:lineChart>
        <c:grouping val="stacked"/>
        <c:varyColors val="0"/>
        <c:ser>
          <c:idx val="1"/>
          <c:order val="0"/>
          <c:spPr>
            <a:ln w="28575" cap="rnd">
              <a:solidFill>
                <a:srgbClr val="C00000"/>
              </a:solidFill>
              <a:round/>
            </a:ln>
            <a:effectLst/>
          </c:spPr>
          <c:marker>
            <c:symbol val="none"/>
          </c:marker>
          <c:cat>
            <c:strRef>
              <c:f>'aktivni sudski sporovi DP'!$B$5:$B$11</c:f>
              <c:strCache>
                <c:ptCount val="7"/>
                <c:pt idx="0">
                  <c:v>2018</c:v>
                </c:pt>
                <c:pt idx="1">
                  <c:v>2019</c:v>
                </c:pt>
                <c:pt idx="2">
                  <c:v>2020</c:v>
                </c:pt>
                <c:pt idx="3">
                  <c:v>2021</c:v>
                </c:pt>
                <c:pt idx="4">
                  <c:v>2022</c:v>
                </c:pt>
                <c:pt idx="5">
                  <c:v>2023</c:v>
                </c:pt>
                <c:pt idx="6">
                  <c:v>јан-сеп. 2024.</c:v>
                </c:pt>
              </c:strCache>
            </c:strRef>
          </c:cat>
          <c:val>
            <c:numRef>
              <c:f>'aktivni sudski sporovi DP'!$G$5:$G$11</c:f>
              <c:numCache>
                <c:formatCode>#,##0</c:formatCode>
                <c:ptCount val="7"/>
                <c:pt idx="0">
                  <c:v>297359</c:v>
                </c:pt>
                <c:pt idx="1">
                  <c:v>296980</c:v>
                </c:pt>
                <c:pt idx="2">
                  <c:v>324253</c:v>
                </c:pt>
                <c:pt idx="3">
                  <c:v>267502</c:v>
                </c:pt>
                <c:pt idx="4">
                  <c:v>306727</c:v>
                </c:pt>
                <c:pt idx="5">
                  <c:v>320860</c:v>
                </c:pt>
                <c:pt idx="6">
                  <c:v>304221</c:v>
                </c:pt>
              </c:numCache>
            </c:numRef>
          </c:val>
          <c:smooth val="0"/>
          <c:extLst>
            <c:ext xmlns:c16="http://schemas.microsoft.com/office/drawing/2014/chart" uri="{C3380CC4-5D6E-409C-BE32-E72D297353CC}">
              <c16:uniqueId val="{00000000-D6E3-4E75-9593-0AF56D7EEB76}"/>
            </c:ext>
          </c:extLst>
        </c:ser>
        <c:dLbls>
          <c:showLegendKey val="0"/>
          <c:showVal val="0"/>
          <c:showCatName val="0"/>
          <c:showSerName val="0"/>
          <c:showPercent val="0"/>
          <c:showBubbleSize val="0"/>
        </c:dLbls>
        <c:smooth val="0"/>
        <c:axId val="771583600"/>
        <c:axId val="771589008"/>
      </c:lineChart>
      <c:catAx>
        <c:axId val="7715836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771589008"/>
        <c:crosses val="autoZero"/>
        <c:auto val="1"/>
        <c:lblAlgn val="ctr"/>
        <c:lblOffset val="100"/>
        <c:noMultiLvlLbl val="0"/>
      </c:catAx>
      <c:valAx>
        <c:axId val="771589008"/>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771583600"/>
        <c:crosses val="autoZero"/>
        <c:crossBetween val="between"/>
        <c:minorUnit val="100000"/>
      </c:valAx>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166265675123942"/>
          <c:y val="0.14121491765125652"/>
          <c:w val="0.85560104986876639"/>
          <c:h val="0.7035100784815691"/>
        </c:manualLayout>
      </c:layout>
      <c:barChart>
        <c:barDir val="col"/>
        <c:grouping val="clustered"/>
        <c:varyColors val="0"/>
        <c:ser>
          <c:idx val="0"/>
          <c:order val="0"/>
          <c:tx>
            <c:strRef>
              <c:f>'elementarne nepogode'!$C$4</c:f>
              <c:strCache>
                <c:ptCount val="1"/>
                <c:pt idx="0">
                  <c:v>План</c:v>
                </c:pt>
              </c:strCache>
            </c:strRef>
          </c:tx>
          <c:spPr>
            <a:solidFill>
              <a:srgbClr val="7030A0"/>
            </a:solidFill>
            <a:ln>
              <a:noFill/>
            </a:ln>
            <a:effectLst/>
          </c:spPr>
          <c:invertIfNegative val="0"/>
          <c:cat>
            <c:strRef>
              <c:f>'elementarne nepogode'!$B$5:$B$11</c:f>
              <c:strCache>
                <c:ptCount val="7"/>
                <c:pt idx="0">
                  <c:v>2018</c:v>
                </c:pt>
                <c:pt idx="1">
                  <c:v>2019</c:v>
                </c:pt>
                <c:pt idx="2">
                  <c:v>2020</c:v>
                </c:pt>
                <c:pt idx="3">
                  <c:v>2021</c:v>
                </c:pt>
                <c:pt idx="4">
                  <c:v>2022</c:v>
                </c:pt>
                <c:pt idx="5">
                  <c:v>2023</c:v>
                </c:pt>
                <c:pt idx="6">
                  <c:v>30. сеп. 2024</c:v>
                </c:pt>
              </c:strCache>
            </c:strRef>
          </c:cat>
          <c:val>
            <c:numRef>
              <c:f>'elementarne nepogode'!$C$5:$C$11</c:f>
              <c:numCache>
                <c:formatCode>#,##0.00</c:formatCode>
                <c:ptCount val="7"/>
                <c:pt idx="0">
                  <c:v>814.64300000000003</c:v>
                </c:pt>
                <c:pt idx="1">
                  <c:v>4104.5959999999995</c:v>
                </c:pt>
                <c:pt idx="2">
                  <c:v>2326.0419999999999</c:v>
                </c:pt>
                <c:pt idx="3">
                  <c:v>458.32499999999999</c:v>
                </c:pt>
                <c:pt idx="4">
                  <c:v>190.21780000000001</c:v>
                </c:pt>
                <c:pt idx="5">
                  <c:v>200.92</c:v>
                </c:pt>
                <c:pt idx="6">
                  <c:v>117.26</c:v>
                </c:pt>
              </c:numCache>
            </c:numRef>
          </c:val>
          <c:extLst>
            <c:ext xmlns:c16="http://schemas.microsoft.com/office/drawing/2014/chart" uri="{C3380CC4-5D6E-409C-BE32-E72D297353CC}">
              <c16:uniqueId val="{00000000-44DC-48B7-863C-07928AA9C93A}"/>
            </c:ext>
          </c:extLst>
        </c:ser>
        <c:ser>
          <c:idx val="1"/>
          <c:order val="1"/>
          <c:tx>
            <c:strRef>
              <c:f>'elementarne nepogode'!$D$4</c:f>
              <c:strCache>
                <c:ptCount val="1"/>
                <c:pt idx="0">
                  <c:v>Апропријација </c:v>
                </c:pt>
              </c:strCache>
            </c:strRef>
          </c:tx>
          <c:spPr>
            <a:solidFill>
              <a:srgbClr val="0070C0"/>
            </a:solidFill>
            <a:ln>
              <a:noFill/>
            </a:ln>
            <a:effectLst/>
          </c:spPr>
          <c:invertIfNegative val="0"/>
          <c:cat>
            <c:strRef>
              <c:f>'elementarne nepogode'!$B$5:$B$11</c:f>
              <c:strCache>
                <c:ptCount val="7"/>
                <c:pt idx="0">
                  <c:v>2018</c:v>
                </c:pt>
                <c:pt idx="1">
                  <c:v>2019</c:v>
                </c:pt>
                <c:pt idx="2">
                  <c:v>2020</c:v>
                </c:pt>
                <c:pt idx="3">
                  <c:v>2021</c:v>
                </c:pt>
                <c:pt idx="4">
                  <c:v>2022</c:v>
                </c:pt>
                <c:pt idx="5">
                  <c:v>2023</c:v>
                </c:pt>
                <c:pt idx="6">
                  <c:v>30. сеп. 2024</c:v>
                </c:pt>
              </c:strCache>
            </c:strRef>
          </c:cat>
          <c:val>
            <c:numRef>
              <c:f>'elementarne nepogode'!$D$5:$D$11</c:f>
              <c:numCache>
                <c:formatCode>#,##0.00</c:formatCode>
                <c:ptCount val="7"/>
                <c:pt idx="0">
                  <c:v>3110.63</c:v>
                </c:pt>
                <c:pt idx="1">
                  <c:v>4456.2374</c:v>
                </c:pt>
                <c:pt idx="2">
                  <c:v>3498.1120000000001</c:v>
                </c:pt>
                <c:pt idx="3">
                  <c:v>558.22500000000002</c:v>
                </c:pt>
                <c:pt idx="4">
                  <c:v>290.21780000000001</c:v>
                </c:pt>
                <c:pt idx="5">
                  <c:v>881.78</c:v>
                </c:pt>
                <c:pt idx="6">
                  <c:v>560.37</c:v>
                </c:pt>
              </c:numCache>
            </c:numRef>
          </c:val>
          <c:extLst>
            <c:ext xmlns:c16="http://schemas.microsoft.com/office/drawing/2014/chart" uri="{C3380CC4-5D6E-409C-BE32-E72D297353CC}">
              <c16:uniqueId val="{00000001-44DC-48B7-863C-07928AA9C93A}"/>
            </c:ext>
          </c:extLst>
        </c:ser>
        <c:ser>
          <c:idx val="2"/>
          <c:order val="2"/>
          <c:tx>
            <c:strRef>
              <c:f>'elementarne nepogode'!$E$4</c:f>
              <c:strCache>
                <c:ptCount val="1"/>
                <c:pt idx="0">
                  <c:v>Извршење</c:v>
                </c:pt>
              </c:strCache>
            </c:strRef>
          </c:tx>
          <c:spPr>
            <a:solidFill>
              <a:schemeClr val="accent6">
                <a:lumMod val="75000"/>
              </a:schemeClr>
            </a:solidFill>
            <a:ln>
              <a:noFill/>
            </a:ln>
            <a:effectLst/>
          </c:spPr>
          <c:invertIfNegative val="0"/>
          <c:cat>
            <c:strRef>
              <c:f>'elementarne nepogode'!$B$5:$B$11</c:f>
              <c:strCache>
                <c:ptCount val="7"/>
                <c:pt idx="0">
                  <c:v>2018</c:v>
                </c:pt>
                <c:pt idx="1">
                  <c:v>2019</c:v>
                </c:pt>
                <c:pt idx="2">
                  <c:v>2020</c:v>
                </c:pt>
                <c:pt idx="3">
                  <c:v>2021</c:v>
                </c:pt>
                <c:pt idx="4">
                  <c:v>2022</c:v>
                </c:pt>
                <c:pt idx="5">
                  <c:v>2023</c:v>
                </c:pt>
                <c:pt idx="6">
                  <c:v>30. сеп. 2024</c:v>
                </c:pt>
              </c:strCache>
            </c:strRef>
          </c:cat>
          <c:val>
            <c:numRef>
              <c:f>'elementarne nepogode'!$E$5:$E$11</c:f>
              <c:numCache>
                <c:formatCode>#,##0.00</c:formatCode>
                <c:ptCount val="7"/>
                <c:pt idx="0">
                  <c:v>2041.5377926900001</c:v>
                </c:pt>
                <c:pt idx="1">
                  <c:v>4220.9592285099998</c:v>
                </c:pt>
                <c:pt idx="2">
                  <c:v>2873.332101849991</c:v>
                </c:pt>
                <c:pt idx="3">
                  <c:v>520.34543778001</c:v>
                </c:pt>
                <c:pt idx="4">
                  <c:v>263.87826456999971</c:v>
                </c:pt>
                <c:pt idx="5">
                  <c:v>824.81</c:v>
                </c:pt>
                <c:pt idx="6">
                  <c:v>537.38</c:v>
                </c:pt>
              </c:numCache>
            </c:numRef>
          </c:val>
          <c:extLst>
            <c:ext xmlns:c16="http://schemas.microsoft.com/office/drawing/2014/chart" uri="{C3380CC4-5D6E-409C-BE32-E72D297353CC}">
              <c16:uniqueId val="{00000002-44DC-48B7-863C-07928AA9C93A}"/>
            </c:ext>
          </c:extLst>
        </c:ser>
        <c:dLbls>
          <c:showLegendKey val="0"/>
          <c:showVal val="0"/>
          <c:showCatName val="0"/>
          <c:showSerName val="0"/>
          <c:showPercent val="0"/>
          <c:showBubbleSize val="0"/>
        </c:dLbls>
        <c:gapWidth val="219"/>
        <c:overlap val="-27"/>
        <c:axId val="2134917552"/>
        <c:axId val="2134912144"/>
      </c:barChart>
      <c:catAx>
        <c:axId val="21349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crossAx val="2134912144"/>
        <c:crosses val="autoZero"/>
        <c:auto val="1"/>
        <c:lblAlgn val="ctr"/>
        <c:lblOffset val="100"/>
        <c:noMultiLvlLbl val="0"/>
      </c:catAx>
      <c:valAx>
        <c:axId val="2134912144"/>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accent1">
                    <a:lumMod val="50000"/>
                  </a:schemeClr>
                </a:solidFill>
                <a:latin typeface="+mn-lt"/>
                <a:ea typeface="+mn-ea"/>
                <a:cs typeface="+mn-cs"/>
              </a:defRPr>
            </a:pPr>
            <a:endParaRPr lang="sr-Latn-RS"/>
          </a:p>
        </c:txPr>
        <c:crossAx val="2134917552"/>
        <c:crosses val="autoZero"/>
        <c:crossBetween val="between"/>
      </c:valAx>
      <c:spPr>
        <a:noFill/>
        <a:ln>
          <a:noFill/>
        </a:ln>
        <a:effectLst/>
      </c:spPr>
    </c:plotArea>
    <c:legend>
      <c:legendPos val="b"/>
      <c:layout>
        <c:manualLayout>
          <c:xMode val="edge"/>
          <c:yMode val="edge"/>
          <c:x val="0"/>
          <c:y val="0.9141251309103603"/>
          <c:w val="0.97590833403889032"/>
          <c:h val="6.1850975524611142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userShapes r:id="rId5"/>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'C:\Users\zlatko.dzigal\Desktop\WB Fiscal Risk report - elementary disasters\[SRB_Fiscal risk MODEL for elem. disasters 05.03.2024..xlsx]FRMD Report'!$B$21</c:f>
              <c:strCache>
                <c:ptCount val="1"/>
                <c:pt idx="0">
                  <c:v>Поплава</c:v>
                </c:pt>
              </c:strCache>
            </c:strRef>
          </c:tx>
          <c:spPr>
            <a:solidFill>
              <a:schemeClr val="accent1"/>
            </a:solidFill>
            <a:ln>
              <a:noFill/>
            </a:ln>
            <a:effectLst/>
          </c:spPr>
          <c:invertIfNegative val="0"/>
          <c:cat>
            <c:strRef>
              <c:f>'[2]FRMD Report'!$A$22:$A$27</c:f>
              <c:strCache>
                <c:ptCount val="6"/>
                <c:pt idx="0">
                  <c:v>Просечно годишње</c:v>
                </c:pt>
                <c:pt idx="1">
                  <c:v>1 у 2 године (50%)</c:v>
                </c:pt>
                <c:pt idx="2">
                  <c:v>1 у 10 година (10%)</c:v>
                </c:pt>
                <c:pt idx="3">
                  <c:v>1 у 50 година (2,0%)</c:v>
                </c:pt>
                <c:pt idx="4">
                  <c:v>1 у 100 година (1,0%)</c:v>
                </c:pt>
                <c:pt idx="5">
                  <c:v>1 у 250 година (0,4%)</c:v>
                </c:pt>
              </c:strCache>
            </c:strRef>
          </c:cat>
          <c:val>
            <c:numRef>
              <c:f>'[2]FRMD Report'!$B$22:$B$27</c:f>
              <c:numCache>
                <c:formatCode>General</c:formatCode>
                <c:ptCount val="6"/>
                <c:pt idx="0">
                  <c:v>570.46404230171004</c:v>
                </c:pt>
                <c:pt idx="1">
                  <c:v>134.88047029548991</c:v>
                </c:pt>
                <c:pt idx="2">
                  <c:v>662.09386749611247</c:v>
                </c:pt>
                <c:pt idx="3">
                  <c:v>2205.2700466562933</c:v>
                </c:pt>
                <c:pt idx="4">
                  <c:v>3627.9256534992251</c:v>
                </c:pt>
                <c:pt idx="5">
                  <c:v>5732.6764143079336</c:v>
                </c:pt>
              </c:numCache>
            </c:numRef>
          </c:val>
          <c:extLst>
            <c:ext xmlns:c16="http://schemas.microsoft.com/office/drawing/2014/chart" uri="{C3380CC4-5D6E-409C-BE32-E72D297353CC}">
              <c16:uniqueId val="{00000000-B343-4BF0-B866-77B2CD832F00}"/>
            </c:ext>
          </c:extLst>
        </c:ser>
        <c:ser>
          <c:idx val="1"/>
          <c:order val="1"/>
          <c:tx>
            <c:strRef>
              <c:f>'C:\Users\zlatko.dzigal\Desktop\WB Fiscal Risk report - elementary disasters\[SRB_Fiscal risk MODEL for elem. disasters 05.03.2024..xlsx]FRMD Report'!$C$21</c:f>
              <c:strCache>
                <c:ptCount val="1"/>
                <c:pt idx="0">
                  <c:v>Земљотрес</c:v>
                </c:pt>
              </c:strCache>
            </c:strRef>
          </c:tx>
          <c:spPr>
            <a:solidFill>
              <a:srgbClr val="7030A0"/>
            </a:solidFill>
            <a:ln>
              <a:noFill/>
            </a:ln>
            <a:effectLst/>
          </c:spPr>
          <c:invertIfNegative val="0"/>
          <c:cat>
            <c:strRef>
              <c:f>'[2]FRMD Report'!$A$22:$A$27</c:f>
              <c:strCache>
                <c:ptCount val="6"/>
                <c:pt idx="0">
                  <c:v>Просечно годишње</c:v>
                </c:pt>
                <c:pt idx="1">
                  <c:v>1 у 2 године (50%)</c:v>
                </c:pt>
                <c:pt idx="2">
                  <c:v>1 у 10 година (10%)</c:v>
                </c:pt>
                <c:pt idx="3">
                  <c:v>1 у 50 година (2,0%)</c:v>
                </c:pt>
                <c:pt idx="4">
                  <c:v>1 у 100 година (1,0%)</c:v>
                </c:pt>
                <c:pt idx="5">
                  <c:v>1 у 250 година (0,4%)</c:v>
                </c:pt>
              </c:strCache>
            </c:strRef>
          </c:cat>
          <c:val>
            <c:numRef>
              <c:f>'[2]FRMD Report'!$C$22:$C$27</c:f>
              <c:numCache>
                <c:formatCode>General</c:formatCode>
                <c:ptCount val="6"/>
                <c:pt idx="0">
                  <c:v>143.08612628304815</c:v>
                </c:pt>
                <c:pt idx="1">
                  <c:v>0</c:v>
                </c:pt>
                <c:pt idx="2">
                  <c:v>131.97430046656299</c:v>
                </c:pt>
                <c:pt idx="3">
                  <c:v>1210.6761604976664</c:v>
                </c:pt>
                <c:pt idx="4">
                  <c:v>2362.8870220839767</c:v>
                </c:pt>
                <c:pt idx="5">
                  <c:v>7594.5055676516304</c:v>
                </c:pt>
              </c:numCache>
            </c:numRef>
          </c:val>
          <c:extLst>
            <c:ext xmlns:c16="http://schemas.microsoft.com/office/drawing/2014/chart" uri="{C3380CC4-5D6E-409C-BE32-E72D297353CC}">
              <c16:uniqueId val="{00000001-B343-4BF0-B866-77B2CD832F00}"/>
            </c:ext>
          </c:extLst>
        </c:ser>
        <c:dLbls>
          <c:showLegendKey val="0"/>
          <c:showVal val="0"/>
          <c:showCatName val="0"/>
          <c:showSerName val="0"/>
          <c:showPercent val="0"/>
          <c:showBubbleSize val="0"/>
        </c:dLbls>
        <c:gapWidth val="219"/>
        <c:overlap val="-27"/>
        <c:axId val="309525200"/>
        <c:axId val="309526448"/>
      </c:barChart>
      <c:catAx>
        <c:axId val="309525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309526448"/>
        <c:crosses val="autoZero"/>
        <c:auto val="1"/>
        <c:lblAlgn val="ctr"/>
        <c:lblOffset val="100"/>
        <c:noMultiLvlLbl val="0"/>
      </c:catAx>
      <c:valAx>
        <c:axId val="309526448"/>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309525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5694913857576771E-2"/>
          <c:y val="0.12195169524878018"/>
          <c:w val="0.89742630688838176"/>
          <c:h val="0.72252618511373012"/>
        </c:manualLayout>
      </c:layout>
      <c:areaChart>
        <c:grouping val="stacked"/>
        <c:varyColors val="0"/>
        <c:ser>
          <c:idx val="2"/>
          <c:order val="2"/>
          <c:tx>
            <c:strRef>
              <c:f>'Grafikoni, CAB, Karakter'!$G$10</c:f>
              <c:strCache>
                <c:ptCount val="1"/>
                <c:pt idx="0">
                  <c:v>Производни јаз </c:v>
                </c:pt>
              </c:strCache>
            </c:strRef>
          </c:tx>
          <c:spPr>
            <a:solidFill>
              <a:srgbClr val="29489A"/>
            </a:solidFill>
            <a:ln w="9525" cap="rnd" cmpd="sng" algn="ctr">
              <a:solidFill>
                <a:srgbClr val="29489A"/>
              </a:solidFill>
              <a:prstDash val="solid"/>
              <a:round/>
            </a:ln>
            <a:effectLst/>
          </c:spPr>
          <c:cat>
            <c:numRef>
              <c:f>'Grafikoni, CAB, Karakter'!$F$11:$F$23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Karakter'!$G$11:$G$29,'Grafikoni, CAB, Karakter'!$G$30,'Grafikoni, CAB, Karakter'!$G$31,'Grafikoni, CAB, Karakter'!$G$32,'Grafikoni, CAB, Karakter'!$G$33)</c:f>
              <c:numCache>
                <c:formatCode>#,##0.0</c:formatCode>
                <c:ptCount val="23"/>
                <c:pt idx="0">
                  <c:v>3.4939700056136114E-2</c:v>
                </c:pt>
                <c:pt idx="1">
                  <c:v>-3.3305407298974736</c:v>
                </c:pt>
                <c:pt idx="2">
                  <c:v>1.3050262370980286</c:v>
                </c:pt>
                <c:pt idx="3">
                  <c:v>4.1480120629277737</c:v>
                </c:pt>
                <c:pt idx="4">
                  <c:v>-0.52239416685725348</c:v>
                </c:pt>
                <c:pt idx="5">
                  <c:v>0.41026810927007673</c:v>
                </c:pt>
                <c:pt idx="6">
                  <c:v>0.30816389137498656</c:v>
                </c:pt>
                <c:pt idx="7">
                  <c:v>-4.2047696415254333E-2</c:v>
                </c:pt>
                <c:pt idx="8">
                  <c:v>0.44931713815385776</c:v>
                </c:pt>
                <c:pt idx="9">
                  <c:v>-1.6994305213717809</c:v>
                </c:pt>
                <c:pt idx="10">
                  <c:v>-1.4483637557084184</c:v>
                </c:pt>
                <c:pt idx="11">
                  <c:v>-0.37146480294039352</c:v>
                </c:pt>
                <c:pt idx="12">
                  <c:v>-0.60490750659722714</c:v>
                </c:pt>
                <c:pt idx="13">
                  <c:v>0.84074852090008867</c:v>
                </c:pt>
                <c:pt idx="14">
                  <c:v>2.1005160752801477</c:v>
                </c:pt>
                <c:pt idx="15">
                  <c:v>-2.4229218701431403</c:v>
                </c:pt>
                <c:pt idx="16">
                  <c:v>1.4366579762151328</c:v>
                </c:pt>
                <c:pt idx="17">
                  <c:v>0.16991588223105497</c:v>
                </c:pt>
                <c:pt idx="18">
                  <c:v>5.7502423509462011E-2</c:v>
                </c:pt>
                <c:pt idx="19">
                  <c:v>-0.17380968574343295</c:v>
                </c:pt>
                <c:pt idx="20">
                  <c:v>3.1517516398859306E-3</c:v>
                </c:pt>
                <c:pt idx="21">
                  <c:v>0</c:v>
                </c:pt>
                <c:pt idx="22">
                  <c:v>0.7</c:v>
                </c:pt>
              </c:numCache>
            </c:numRef>
          </c:val>
          <c:extLst>
            <c:ext xmlns:c16="http://schemas.microsoft.com/office/drawing/2014/chart" uri="{C3380CC4-5D6E-409C-BE32-E72D297353CC}">
              <c16:uniqueId val="{00000000-6600-428E-86C1-12C70960DD27}"/>
            </c:ext>
          </c:extLst>
        </c:ser>
        <c:dLbls>
          <c:showLegendKey val="0"/>
          <c:showVal val="0"/>
          <c:showCatName val="0"/>
          <c:showSerName val="0"/>
          <c:showPercent val="0"/>
          <c:showBubbleSize val="0"/>
        </c:dLbls>
        <c:axId val="342946768"/>
        <c:axId val="410610880"/>
      </c:areaChart>
      <c:lineChart>
        <c:grouping val="standard"/>
        <c:varyColors val="0"/>
        <c:ser>
          <c:idx val="0"/>
          <c:order val="0"/>
          <c:tx>
            <c:strRef>
              <c:f>'Grafikoni, CAB, Karakter'!$H$10</c:f>
              <c:strCache>
                <c:ptCount val="1"/>
                <c:pt idx="0">
                  <c:v>Фискални 
биланс</c:v>
                </c:pt>
              </c:strCache>
            </c:strRef>
          </c:tx>
          <c:spPr>
            <a:ln w="22225" cap="rnd" cmpd="sng" algn="ctr">
              <a:solidFill>
                <a:schemeClr val="accent3">
                  <a:shade val="53000"/>
                  <a:shade val="95000"/>
                  <a:satMod val="105000"/>
                </a:schemeClr>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Karakter'!$H$11:$H$29,'Grafikoni, CAB, Karakter'!$H$30,'Grafikoni, CAB, Karakter'!$H$31,'Grafikoni, CAB, Karakter'!$H$32,'Grafikoni, CAB, Karakter'!$H$33)</c:f>
              <c:numCache>
                <c:formatCode>#,##0.0</c:formatCode>
                <c:ptCount val="23"/>
                <c:pt idx="0">
                  <c:v>1.097149537133171</c:v>
                </c:pt>
                <c:pt idx="1">
                  <c:v>-1.3625763034532159</c:v>
                </c:pt>
                <c:pt idx="2">
                  <c:v>-1.7163418836484468</c:v>
                </c:pt>
                <c:pt idx="3">
                  <c:v>-2.3843270097170652</c:v>
                </c:pt>
                <c:pt idx="4">
                  <c:v>-4.0064360419983007</c:v>
                </c:pt>
                <c:pt idx="5">
                  <c:v>-4.1670689119148951</c:v>
                </c:pt>
                <c:pt idx="6">
                  <c:v>-4.3498075491803787</c:v>
                </c:pt>
                <c:pt idx="7">
                  <c:v>-6.1793158693056833</c:v>
                </c:pt>
                <c:pt idx="8">
                  <c:v>-4.9362245543274472</c:v>
                </c:pt>
                <c:pt idx="9">
                  <c:v>-5.9449190577246052</c:v>
                </c:pt>
                <c:pt idx="10">
                  <c:v>-3.3187939284991961</c:v>
                </c:pt>
                <c:pt idx="11">
                  <c:v>-1.149397976075984</c:v>
                </c:pt>
                <c:pt idx="12">
                  <c:v>1.0557686096933128</c:v>
                </c:pt>
                <c:pt idx="13">
                  <c:v>0.60940162463875103</c:v>
                </c:pt>
                <c:pt idx="14">
                  <c:v>-0.196032233371843</c:v>
                </c:pt>
                <c:pt idx="15">
                  <c:v>-7.6817157912618725</c:v>
                </c:pt>
                <c:pt idx="16">
                  <c:v>-3.944488655583605</c:v>
                </c:pt>
                <c:pt idx="17">
                  <c:v>-3.0145095743510497</c:v>
                </c:pt>
                <c:pt idx="18">
                  <c:v>-2.0537459179069364</c:v>
                </c:pt>
                <c:pt idx="19">
                  <c:v>-2.7</c:v>
                </c:pt>
                <c:pt idx="20">
                  <c:v>-3</c:v>
                </c:pt>
                <c:pt idx="21">
                  <c:v>-3</c:v>
                </c:pt>
                <c:pt idx="22">
                  <c:v>-3</c:v>
                </c:pt>
              </c:numCache>
            </c:numRef>
          </c:val>
          <c:smooth val="0"/>
          <c:extLst>
            <c:ext xmlns:c16="http://schemas.microsoft.com/office/drawing/2014/chart" uri="{C3380CC4-5D6E-409C-BE32-E72D297353CC}">
              <c16:uniqueId val="{00000001-6600-428E-86C1-12C70960DD27}"/>
            </c:ext>
          </c:extLst>
        </c:ser>
        <c:ser>
          <c:idx val="1"/>
          <c:order val="1"/>
          <c:tx>
            <c:strRef>
              <c:f>'Grafikoni, CAB, Karakter'!$K$10</c:f>
              <c:strCache>
                <c:ptCount val="1"/>
                <c:pt idx="0">
                  <c:v>Циклично 
прилагођени  фискални биланс</c:v>
                </c:pt>
              </c:strCache>
            </c:strRef>
          </c:tx>
          <c:spPr>
            <a:ln w="22225" cap="rnd" cmpd="sng" algn="ctr">
              <a:solidFill>
                <a:schemeClr val="tx1"/>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Karakter'!$K$11:$K$29,'Grafikoni, CAB, Karakter'!$K$30,'Grafikoni, CAB, Karakter'!$K$31,'Grafikoni, CAB, Karakter'!$K$32,'Grafikoni, CAB, Karakter'!$K$33)</c:f>
              <c:numCache>
                <c:formatCode>#,##0.0</c:formatCode>
                <c:ptCount val="23"/>
                <c:pt idx="0">
                  <c:v>1.0847517432934535</c:v>
                </c:pt>
                <c:pt idx="1">
                  <c:v>-0.1807871845509228</c:v>
                </c:pt>
                <c:pt idx="2">
                  <c:v>-2.1794095750415892</c:v>
                </c:pt>
                <c:pt idx="3">
                  <c:v>-3.8561827588567557</c:v>
                </c:pt>
                <c:pt idx="4">
                  <c:v>-3.82107282556079</c:v>
                </c:pt>
                <c:pt idx="5">
                  <c:v>-4.3126459898396918</c:v>
                </c:pt>
                <c:pt idx="6">
                  <c:v>-4.4591545781466806</c:v>
                </c:pt>
                <c:pt idx="7">
                  <c:v>-6.1643959166228095</c:v>
                </c:pt>
                <c:pt idx="8">
                  <c:v>-5.0956575557136494</c:v>
                </c:pt>
                <c:pt idx="9">
                  <c:v>-5.3419033130261617</c:v>
                </c:pt>
                <c:pt idx="10">
                  <c:v>-2.8048652107557084</c:v>
                </c:pt>
                <c:pt idx="11">
                  <c:v>-1.0175896308936523</c:v>
                </c:pt>
                <c:pt idx="12">
                  <c:v>1.270410365256208</c:v>
                </c:pt>
                <c:pt idx="13">
                  <c:v>0.31107545651424107</c:v>
                </c:pt>
                <c:pt idx="14">
                  <c:v>-0.94136677306439465</c:v>
                </c:pt>
                <c:pt idx="15">
                  <c:v>-6.8219807108943957</c:v>
                </c:pt>
                <c:pt idx="16">
                  <c:v>-4.4542637646625138</c:v>
                </c:pt>
                <c:pt idx="17">
                  <c:v>-3.0748015080141835</c:v>
                </c:pt>
                <c:pt idx="18">
                  <c:v>-2.0741497333606769</c:v>
                </c:pt>
                <c:pt idx="19">
                  <c:v>-2.6383264124268075</c:v>
                </c:pt>
                <c:pt idx="20">
                  <c:v>-3.0011183486693507</c:v>
                </c:pt>
                <c:pt idx="21">
                  <c:v>-3</c:v>
                </c:pt>
                <c:pt idx="22">
                  <c:v>-3.2483838062106725</c:v>
                </c:pt>
              </c:numCache>
            </c:numRef>
          </c:val>
          <c:smooth val="1"/>
          <c:extLst>
            <c:ext xmlns:c16="http://schemas.microsoft.com/office/drawing/2014/chart" uri="{C3380CC4-5D6E-409C-BE32-E72D297353CC}">
              <c16:uniqueId val="{00000002-6600-428E-86C1-12C70960DD27}"/>
            </c:ext>
          </c:extLst>
        </c:ser>
        <c:ser>
          <c:idx val="4"/>
          <c:order val="3"/>
          <c:tx>
            <c:strRef>
              <c:f>'Grafikoni, CAB, Karakter'!$N$10</c:f>
              <c:strCache>
                <c:ptCount val="1"/>
                <c:pt idx="0">
                  <c:v>Структурни примарни фискални биланс</c:v>
                </c:pt>
              </c:strCache>
            </c:strRef>
          </c:tx>
          <c:spPr>
            <a:ln w="22225" cap="rnd" cmpd="sng" algn="ctr">
              <a:solidFill>
                <a:srgbClr val="FF0000"/>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Karakter'!$N$11:$N$29,'Grafikoni, CAB, Karakter'!$N$30,'Grafikoni, CAB, Karakter'!$N$31,'Grafikoni, CAB, Karakter'!$N$32,'Grafikoni, CAB, Karakter'!$N$33)</c:f>
              <c:numCache>
                <c:formatCode>#,##0.0</c:formatCode>
                <c:ptCount val="23"/>
                <c:pt idx="0">
                  <c:v>2.1796124198770381</c:v>
                </c:pt>
                <c:pt idx="1">
                  <c:v>1.6937991843397544</c:v>
                </c:pt>
                <c:pt idx="2">
                  <c:v>-1.3308754596022945</c:v>
                </c:pt>
                <c:pt idx="3">
                  <c:v>-3.393243275541677</c:v>
                </c:pt>
                <c:pt idx="4">
                  <c:v>-3.3060400176263092</c:v>
                </c:pt>
                <c:pt idx="5">
                  <c:v>-3.5061406706314022</c:v>
                </c:pt>
                <c:pt idx="6">
                  <c:v>-3.5523326208334871</c:v>
                </c:pt>
                <c:pt idx="7">
                  <c:v>-4.4795136915114826</c:v>
                </c:pt>
                <c:pt idx="8">
                  <c:v>-2.733227666564376</c:v>
                </c:pt>
                <c:pt idx="9">
                  <c:v>-1.9552266229578894</c:v>
                </c:pt>
                <c:pt idx="10">
                  <c:v>0.86315519347935765</c:v>
                </c:pt>
                <c:pt idx="11">
                  <c:v>1.8489834156859188</c:v>
                </c:pt>
                <c:pt idx="12">
                  <c:v>3.568310073850709</c:v>
                </c:pt>
                <c:pt idx="13">
                  <c:v>2.1956540477013227</c:v>
                </c:pt>
                <c:pt idx="14">
                  <c:v>0.79347978996048951</c:v>
                </c:pt>
                <c:pt idx="15">
                  <c:v>1.8184134432245775</c:v>
                </c:pt>
                <c:pt idx="16">
                  <c:v>1.0862273591028111</c:v>
                </c:pt>
                <c:pt idx="17">
                  <c:v>1.5742664617676576</c:v>
                </c:pt>
                <c:pt idx="18">
                  <c:v>0.15705740066282092</c:v>
                </c:pt>
                <c:pt idx="19">
                  <c:v>-0.36460403044448758</c:v>
                </c:pt>
                <c:pt idx="20">
                  <c:v>-0.28758524798499585</c:v>
                </c:pt>
                <c:pt idx="21">
                  <c:v>0.31768434865640138</c:v>
                </c:pt>
                <c:pt idx="22">
                  <c:v>0.16498999180799423</c:v>
                </c:pt>
              </c:numCache>
            </c:numRef>
          </c:val>
          <c:smooth val="0"/>
          <c:extLst>
            <c:ext xmlns:c16="http://schemas.microsoft.com/office/drawing/2014/chart" uri="{C3380CC4-5D6E-409C-BE32-E72D297353CC}">
              <c16:uniqueId val="{00000003-6600-428E-86C1-12C70960DD27}"/>
            </c:ext>
          </c:extLst>
        </c:ser>
        <c:ser>
          <c:idx val="3"/>
          <c:order val="4"/>
          <c:tx>
            <c:strRef>
              <c:f>'Grafikoni, CAB, Karakter'!$M$10</c:f>
              <c:strCache>
                <c:ptCount val="1"/>
                <c:pt idx="0">
                  <c:v>Структурни  фискални биланс</c:v>
                </c:pt>
              </c:strCache>
            </c:strRef>
          </c:tx>
          <c:spPr>
            <a:ln w="22225" cap="rnd" cmpd="sng" algn="ctr">
              <a:solidFill>
                <a:schemeClr val="accent6"/>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Karakter'!$M$11:$M$29,'Grafikoni, CAB, Karakter'!$M$30,'Grafikoni, CAB, Karakter'!$M$31,'Grafikoni, CAB, Karakter'!$M$32,'Grafikoni, CAB, Karakter'!$M$33)</c:f>
              <c:numCache>
                <c:formatCode>#,##0.0</c:formatCode>
                <c:ptCount val="23"/>
                <c:pt idx="0">
                  <c:v>1.2963599412259406</c:v>
                </c:pt>
                <c:pt idx="1">
                  <c:v>0.47668833523708953</c:v>
                </c:pt>
                <c:pt idx="2">
                  <c:v>-1.8554596650373918</c:v>
                </c:pt>
                <c:pt idx="3">
                  <c:v>-3.9124487380849549</c:v>
                </c:pt>
                <c:pt idx="4">
                  <c:v>-3.8904009881670256</c:v>
                </c:pt>
                <c:pt idx="5">
                  <c:v>-4.4249373323431849</c:v>
                </c:pt>
                <c:pt idx="6">
                  <c:v>-4.6613673535308324</c:v>
                </c:pt>
                <c:pt idx="7">
                  <c:v>-6.1190316812176544</c:v>
                </c:pt>
                <c:pt idx="8">
                  <c:v>-4.8373220100000003</c:v>
                </c:pt>
                <c:pt idx="9">
                  <c:v>-4.5081797387132028</c:v>
                </c:pt>
                <c:pt idx="10">
                  <c:v>-2.0037311791871728</c:v>
                </c:pt>
                <c:pt idx="11">
                  <c:v>-0.94310193244440421</c:v>
                </c:pt>
                <c:pt idx="12">
                  <c:v>1.1311284077734454</c:v>
                </c:pt>
                <c:pt idx="13">
                  <c:v>0.16924472971767737</c:v>
                </c:pt>
                <c:pt idx="14">
                  <c:v>-1.1159935036261699</c:v>
                </c:pt>
                <c:pt idx="15">
                  <c:v>-9.245139346118858E-2</c:v>
                </c:pt>
                <c:pt idx="16">
                  <c:v>-0.56589595792512215</c:v>
                </c:pt>
                <c:pt idx="17">
                  <c:v>0.14154996978111223</c:v>
                </c:pt>
                <c:pt idx="18">
                  <c:v>-1.4277273060170026</c:v>
                </c:pt>
                <c:pt idx="19">
                  <c:v>-2.1646040304444876</c:v>
                </c:pt>
                <c:pt idx="20">
                  <c:v>-2.2875852479849956</c:v>
                </c:pt>
                <c:pt idx="21">
                  <c:v>-1.6823156513435986</c:v>
                </c:pt>
                <c:pt idx="22">
                  <c:v>-1.7350100081920059</c:v>
                </c:pt>
              </c:numCache>
            </c:numRef>
          </c:val>
          <c:smooth val="0"/>
          <c:extLst>
            <c:ext xmlns:c16="http://schemas.microsoft.com/office/drawing/2014/chart" uri="{C3380CC4-5D6E-409C-BE32-E72D297353CC}">
              <c16:uniqueId val="{00000004-6600-428E-86C1-12C70960DD27}"/>
            </c:ext>
          </c:extLst>
        </c:ser>
        <c:dLbls>
          <c:showLegendKey val="0"/>
          <c:showVal val="0"/>
          <c:showCatName val="0"/>
          <c:showSerName val="0"/>
          <c:showPercent val="0"/>
          <c:showBubbleSize val="0"/>
        </c:dLbls>
        <c:marker val="1"/>
        <c:smooth val="0"/>
        <c:axId val="342946768"/>
        <c:axId val="410610880"/>
      </c:lineChart>
      <c:catAx>
        <c:axId val="342946768"/>
        <c:scaling>
          <c:orientation val="minMax"/>
        </c:scaling>
        <c:delete val="0"/>
        <c:axPos val="b"/>
        <c:majorGridlines>
          <c:spPr>
            <a:ln w="9525" cap="flat" cmpd="sng" algn="ctr">
              <a:no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sr-Latn-RS"/>
          </a:p>
        </c:txPr>
        <c:crossAx val="410610880"/>
        <c:crosses val="autoZero"/>
        <c:auto val="1"/>
        <c:lblAlgn val="ctr"/>
        <c:lblOffset val="100"/>
        <c:noMultiLvlLbl val="0"/>
      </c:catAx>
      <c:valAx>
        <c:axId val="410610880"/>
        <c:scaling>
          <c:orientation val="minMax"/>
          <c:max val="5"/>
          <c:min val="-9"/>
        </c:scaling>
        <c:delete val="0"/>
        <c:axPos val="l"/>
        <c:majorGridlines>
          <c:spPr>
            <a:ln w="9525" cap="flat" cmpd="sng" algn="ctr">
              <a:noFill/>
              <a:prstDash val="sysDot"/>
              <a:round/>
            </a:ln>
            <a:effectLst/>
          </c:spPr>
        </c:majorGridlines>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CS" sz="750" b="0">
                    <a:solidFill>
                      <a:srgbClr val="44546A"/>
                    </a:solidFill>
                    <a:latin typeface="+mn-lt"/>
                  </a:rPr>
                  <a:t>% БДП</a:t>
                </a:r>
              </a:p>
            </c:rich>
          </c:tx>
          <c:layout>
            <c:manualLayout>
              <c:xMode val="edge"/>
              <c:yMode val="edge"/>
              <c:x val="7.6709194449933918E-2"/>
              <c:y val="0.61280672585249552"/>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crossAx val="342946768"/>
        <c:crosses val="autoZero"/>
        <c:crossBetween val="between"/>
      </c:valAx>
      <c:spPr>
        <a:noFill/>
        <a:ln>
          <a:noFill/>
        </a:ln>
        <a:effectLst/>
      </c:spPr>
    </c:plotArea>
    <c:legend>
      <c:legendPos val="r"/>
      <c:layout>
        <c:manualLayout>
          <c:xMode val="edge"/>
          <c:yMode val="edge"/>
          <c:x val="0.10484896502834681"/>
          <c:y val="0.72600307431690558"/>
          <c:w val="0.89077001455867977"/>
          <c:h val="0.27399692568309442"/>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a:pPr>
      <a:endParaRPr lang="sr-Latn-RS"/>
    </a:p>
  </c:txPr>
  <c:externalData r:id="rId4">
    <c:autoUpdate val="0"/>
  </c:externalData>
  <c:userShapes r:id="rId5"/>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3618440989179343E-2"/>
          <c:y val="5.7086964129483823E-2"/>
          <c:w val="0.91635877205946437"/>
          <c:h val="0.82967423338395085"/>
        </c:manualLayout>
      </c:layout>
      <c:barChart>
        <c:barDir val="col"/>
        <c:grouping val="clustered"/>
        <c:varyColors val="0"/>
        <c:ser>
          <c:idx val="0"/>
          <c:order val="0"/>
          <c:tx>
            <c:strRef>
              <c:f>'Grafikoni, CAB, Karakter'!$O$10</c:f>
              <c:strCache>
                <c:ptCount val="1"/>
                <c:pt idx="0">
                  <c:v>Фискални импулс</c:v>
                </c:pt>
              </c:strCache>
            </c:strRef>
          </c:tx>
          <c:spPr>
            <a:solidFill>
              <a:srgbClr val="29489A"/>
            </a:solidFill>
            <a:ln w="9525" cap="flat" cmpd="sng" algn="ctr">
              <a:solidFill>
                <a:schemeClr val="accent3">
                  <a:shade val="50000"/>
                  <a:shade val="95000"/>
                  <a:satMod val="105000"/>
                </a:schemeClr>
              </a:solidFill>
              <a:prstDash val="solid"/>
              <a:round/>
            </a:ln>
            <a:effectLst/>
          </c:spPr>
          <c:invertIfNegative val="0"/>
          <c:cat>
            <c:numRef>
              <c:f>'Grafikoni, CAB, Karakter'!$F$12:$F$33</c:f>
              <c:numCache>
                <c:formatCode>General</c:formatCode>
                <c:ptCount val="22"/>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pt idx="21">
                  <c:v>2027</c:v>
                </c:pt>
              </c:numCache>
            </c:numRef>
          </c:cat>
          <c:val>
            <c:numRef>
              <c:f>('Grafikoni, CAB, Karakter'!$O$12:$O$29,'Grafikoni, CAB, Karakter'!$O$30,'Grafikoni, CAB, Karakter'!$O$31,'Grafikoni, CAB, Karakter'!$O$32,'Grafikoni, CAB, Karakter'!$O$33)</c:f>
              <c:numCache>
                <c:formatCode>#,##0.0</c:formatCode>
                <c:ptCount val="22"/>
                <c:pt idx="0">
                  <c:v>0.93168055739280864</c:v>
                </c:pt>
                <c:pt idx="1">
                  <c:v>2.6911490341582338</c:v>
                </c:pt>
                <c:pt idx="2">
                  <c:v>1.682151926706986</c:v>
                </c:pt>
                <c:pt idx="3">
                  <c:v>-0.10026544129340431</c:v>
                </c:pt>
                <c:pt idx="4">
                  <c:v>0.1571374731078361</c:v>
                </c:pt>
                <c:pt idx="5">
                  <c:v>-4.3729482678573905E-2</c:v>
                </c:pt>
                <c:pt idx="6">
                  <c:v>1.174758081467302</c:v>
                </c:pt>
                <c:pt idx="7">
                  <c:v>-1.5333147146386121</c:v>
                </c:pt>
                <c:pt idx="8">
                  <c:v>-0.20261301500717721</c:v>
                </c:pt>
                <c:pt idx="9">
                  <c:v>-2.8509713591816706</c:v>
                </c:pt>
                <c:pt idx="10">
                  <c:v>-1.7124745553258487</c:v>
                </c:pt>
                <c:pt idx="11">
                  <c:v>-1.9330963140968005</c:v>
                </c:pt>
                <c:pt idx="12">
                  <c:v>1.3701072568355852</c:v>
                </c:pt>
                <c:pt idx="13">
                  <c:v>1.3693782539756216</c:v>
                </c:pt>
                <c:pt idx="14">
                  <c:v>5.8792223947308946</c:v>
                </c:pt>
                <c:pt idx="15">
                  <c:v>-2.108975426574049</c:v>
                </c:pt>
                <c:pt idx="16">
                  <c:v>-1.1600554316069425</c:v>
                </c:pt>
                <c:pt idx="17">
                  <c:v>-1.1527199893467848</c:v>
                </c:pt>
                <c:pt idx="18">
                  <c:v>0.34896138574595426</c:v>
                </c:pt>
                <c:pt idx="19">
                  <c:v>0.16279193624254329</c:v>
                </c:pt>
                <c:pt idx="20">
                  <c:v>-1.1183486693508993E-3</c:v>
                </c:pt>
                <c:pt idx="21">
                  <c:v>0.34838380621067233</c:v>
                </c:pt>
              </c:numCache>
            </c:numRef>
          </c:val>
          <c:extLst>
            <c:ext xmlns:c16="http://schemas.microsoft.com/office/drawing/2014/chart" uri="{C3380CC4-5D6E-409C-BE32-E72D297353CC}">
              <c16:uniqueId val="{00000000-5388-409C-B1DA-2B202AD5465C}"/>
            </c:ext>
          </c:extLst>
        </c:ser>
        <c:dLbls>
          <c:showLegendKey val="0"/>
          <c:showVal val="0"/>
          <c:showCatName val="0"/>
          <c:showSerName val="0"/>
          <c:showPercent val="0"/>
          <c:showBubbleSize val="0"/>
        </c:dLbls>
        <c:gapWidth val="41"/>
        <c:overlap val="-12"/>
        <c:axId val="467546320"/>
        <c:axId val="467537360"/>
      </c:barChart>
      <c:lineChart>
        <c:grouping val="standard"/>
        <c:varyColors val="0"/>
        <c:ser>
          <c:idx val="1"/>
          <c:order val="1"/>
          <c:tx>
            <c:strRef>
              <c:f>'Grafikoni, CAB, Karakter'!$G$10</c:f>
              <c:strCache>
                <c:ptCount val="1"/>
                <c:pt idx="0">
                  <c:v>Производни јаз </c:v>
                </c:pt>
              </c:strCache>
            </c:strRef>
          </c:tx>
          <c:spPr>
            <a:ln w="22225" cap="rnd" cmpd="sng" algn="ctr">
              <a:solidFill>
                <a:srgbClr val="FF0000"/>
              </a:solidFill>
              <a:prstDash val="solid"/>
              <a:round/>
            </a:ln>
            <a:effectLst/>
          </c:spPr>
          <c:marker>
            <c:symbol val="none"/>
          </c:marker>
          <c:cat>
            <c:numRef>
              <c:f>('Grafikoni, CAB, Karakter'!$F$12:$F$29,'Grafikoni, CAB, Karakter'!$F$30,'Grafikoni, CAB, Karakter'!$F$31,'Grafikoni, CAB, Karakter'!$F$32,'Grafikoni, CAB, Karakter'!$F$33)</c:f>
              <c:numCache>
                <c:formatCode>General</c:formatCode>
                <c:ptCount val="22"/>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pt idx="21">
                  <c:v>2027</c:v>
                </c:pt>
              </c:numCache>
            </c:numRef>
          </c:cat>
          <c:val>
            <c:numRef>
              <c:f>('Grafikoni, CAB, Karakter'!$G$12:$G$29,'Grafikoni, CAB, Karakter'!$G$30,'Grafikoni, CAB, Karakter'!$G$31,'Grafikoni, CAB, Karakter'!$G$32,'Grafikoni, CAB, Karakter'!$G$33)</c:f>
              <c:numCache>
                <c:formatCode>#,##0.0</c:formatCode>
                <c:ptCount val="22"/>
                <c:pt idx="0">
                  <c:v>-3.3305407298974736</c:v>
                </c:pt>
                <c:pt idx="1">
                  <c:v>1.3050262370980286</c:v>
                </c:pt>
                <c:pt idx="2">
                  <c:v>4.1480120629277737</c:v>
                </c:pt>
                <c:pt idx="3">
                  <c:v>-0.52239416685725348</c:v>
                </c:pt>
                <c:pt idx="4">
                  <c:v>0.41026810927007673</c:v>
                </c:pt>
                <c:pt idx="5">
                  <c:v>0.30816389137498656</c:v>
                </c:pt>
                <c:pt idx="6">
                  <c:v>-4.2047696415254333E-2</c:v>
                </c:pt>
                <c:pt idx="7">
                  <c:v>0.44931713815385776</c:v>
                </c:pt>
                <c:pt idx="8">
                  <c:v>-1.6994305213717809</c:v>
                </c:pt>
                <c:pt idx="9">
                  <c:v>-1.4483637557084184</c:v>
                </c:pt>
                <c:pt idx="10">
                  <c:v>-0.37146480294039352</c:v>
                </c:pt>
                <c:pt idx="11">
                  <c:v>-0.60490750659722714</c:v>
                </c:pt>
                <c:pt idx="12">
                  <c:v>0.84074852090008867</c:v>
                </c:pt>
                <c:pt idx="13">
                  <c:v>2.1005160752801477</c:v>
                </c:pt>
                <c:pt idx="14">
                  <c:v>-2.4229218701431403</c:v>
                </c:pt>
                <c:pt idx="15">
                  <c:v>1.4366579762151328</c:v>
                </c:pt>
                <c:pt idx="16">
                  <c:v>0.16991588223105497</c:v>
                </c:pt>
                <c:pt idx="17">
                  <c:v>5.7502423509462011E-2</c:v>
                </c:pt>
                <c:pt idx="18">
                  <c:v>-0.17380968574343295</c:v>
                </c:pt>
                <c:pt idx="19">
                  <c:v>3.1517516398859306E-3</c:v>
                </c:pt>
                <c:pt idx="20">
                  <c:v>0</c:v>
                </c:pt>
                <c:pt idx="21">
                  <c:v>0.7</c:v>
                </c:pt>
              </c:numCache>
            </c:numRef>
          </c:val>
          <c:smooth val="1"/>
          <c:extLst>
            <c:ext xmlns:c16="http://schemas.microsoft.com/office/drawing/2014/chart" uri="{C3380CC4-5D6E-409C-BE32-E72D297353CC}">
              <c16:uniqueId val="{00000001-5388-409C-B1DA-2B202AD5465C}"/>
            </c:ext>
          </c:extLst>
        </c:ser>
        <c:dLbls>
          <c:showLegendKey val="0"/>
          <c:showVal val="0"/>
          <c:showCatName val="0"/>
          <c:showSerName val="0"/>
          <c:showPercent val="0"/>
          <c:showBubbleSize val="0"/>
        </c:dLbls>
        <c:marker val="1"/>
        <c:smooth val="0"/>
        <c:axId val="467546320"/>
        <c:axId val="467537360"/>
      </c:lineChart>
      <c:catAx>
        <c:axId val="467546320"/>
        <c:scaling>
          <c:orientation val="minMax"/>
        </c:scaling>
        <c:delete val="0"/>
        <c:axPos val="b"/>
        <c:majorGridlines>
          <c:spPr>
            <a:ln w="9525" cap="flat" cmpd="sng" algn="ctr">
              <a:noFill/>
              <a:prstDash val="solid"/>
              <a:round/>
            </a:ln>
            <a:effectLst/>
          </c:spPr>
        </c:majorGridlines>
        <c:numFmt formatCode="General" sourceLinked="1"/>
        <c:majorTickMark val="out"/>
        <c:minorTickMark val="none"/>
        <c:tickLblPos val="low"/>
        <c:spPr>
          <a:noFill/>
          <a:ln w="6350" cap="flat" cmpd="sng" algn="ctr">
            <a:solidFill>
              <a:srgbClr val="898989"/>
            </a:solid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467537360"/>
        <c:crosses val="autoZero"/>
        <c:auto val="1"/>
        <c:lblAlgn val="ctr"/>
        <c:lblOffset val="100"/>
        <c:noMultiLvlLbl val="0"/>
      </c:catAx>
      <c:valAx>
        <c:axId val="467537360"/>
        <c:scaling>
          <c:orientation val="minMax"/>
          <c:min val="-9"/>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CS" sz="750" b="0">
                    <a:solidFill>
                      <a:srgbClr val="44546A"/>
                    </a:solidFill>
                    <a:latin typeface="+mn-lt"/>
                  </a:rPr>
                  <a:t>% БДП</a:t>
                </a:r>
                <a:endParaRPr lang="en-US" sz="750" b="0">
                  <a:solidFill>
                    <a:srgbClr val="44546A"/>
                  </a:solidFill>
                  <a:latin typeface="+mn-lt"/>
                </a:endParaRPr>
              </a:p>
            </c:rich>
          </c:tx>
          <c:layout>
            <c:manualLayout>
              <c:xMode val="edge"/>
              <c:yMode val="edge"/>
              <c:x val="4.4278330048716286E-2"/>
              <c:y val="0.57263063232633771"/>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3175" cap="flat" cmpd="sng" algn="ctr">
            <a:noFill/>
            <a:prstDash val="solid"/>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crossAx val="467546320"/>
        <c:crosses val="autoZero"/>
        <c:crossBetween val="between"/>
      </c:valAx>
      <c:spPr>
        <a:noFill/>
        <a:ln>
          <a:noFill/>
        </a:ln>
        <a:effectLst/>
      </c:spPr>
    </c:plotArea>
    <c:legend>
      <c:legendPos val="r"/>
      <c:layout>
        <c:manualLayout>
          <c:xMode val="edge"/>
          <c:yMode val="edge"/>
          <c:x val="0.10575935617028157"/>
          <c:y val="0.82970027594333029"/>
          <c:w val="0.795961068391148"/>
          <c:h val="4.9573656234147202E-2"/>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sr-Latn-RS"/>
    </a:p>
  </c:txPr>
  <c:externalData r:id="rId4">
    <c:autoUpdate val="0"/>
  </c:externalData>
  <c:userShapes r:id="rId5"/>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0616161716296222E-2"/>
          <c:y val="6.7839909841778262E-2"/>
          <c:w val="0.93476377952755907"/>
          <c:h val="0.89864703352758868"/>
        </c:manualLayout>
      </c:layout>
      <c:scatterChart>
        <c:scatterStyle val="smoothMarker"/>
        <c:varyColors val="0"/>
        <c:ser>
          <c:idx val="1"/>
          <c:order val="0"/>
          <c:spPr>
            <a:ln w="19050"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rnd">
                <a:solidFill>
                  <a:schemeClr val="accent4"/>
                </a:solidFill>
                <a:round/>
              </a:ln>
              <a:effectLst/>
              <a:scene3d>
                <a:camera prst="orthographicFront">
                  <a:rot lat="0" lon="0" rev="0"/>
                </a:camera>
                <a:lightRig rig="threePt" dir="t">
                  <a:rot lat="0" lon="0" rev="1200000"/>
                </a:lightRig>
              </a:scene3d>
              <a:sp3d>
                <a:bevelT w="63500" h="25400"/>
              </a:sp3d>
            </c:spPr>
          </c:marker>
          <c:dLbls>
            <c:dLbl>
              <c:idx val="0"/>
              <c:layout>
                <c:manualLayout>
                  <c:x val="-6.9381423218486976E-2"/>
                  <c:y val="-4.1527671341031656E-2"/>
                </c:manualLayout>
              </c:layout>
              <c:tx>
                <c:rich>
                  <a:bodyPr/>
                  <a:lstStyle/>
                  <a:p>
                    <a:r>
                      <a:rPr lang="en-US"/>
                      <a:t>2006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F255-4EDC-9214-1ED416B70C2F}"/>
                </c:ext>
              </c:extLst>
            </c:dLbl>
            <c:dLbl>
              <c:idx val="1"/>
              <c:layout>
                <c:manualLayout>
                  <c:x val="-2.4016646498707127E-2"/>
                  <c:y val="-3.3977185642662298E-2"/>
                </c:manualLayout>
              </c:layout>
              <c:tx>
                <c:rich>
                  <a:bodyPr/>
                  <a:lstStyle/>
                  <a:p>
                    <a:r>
                      <a:rPr lang="en-US"/>
                      <a:t>2007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F255-4EDC-9214-1ED416B70C2F}"/>
                </c:ext>
              </c:extLst>
            </c:dLbl>
            <c:dLbl>
              <c:idx val="2"/>
              <c:layout>
                <c:manualLayout>
                  <c:x val="-2.8370370630870948E-2"/>
                  <c:y val="-1.453148864866468E-2"/>
                </c:manualLayout>
              </c:layout>
              <c:tx>
                <c:rich>
                  <a:bodyPr/>
                  <a:lstStyle/>
                  <a:p>
                    <a:r>
                      <a:rPr lang="en-US"/>
                      <a:t>2008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F255-4EDC-9214-1ED416B70C2F}"/>
                </c:ext>
              </c:extLst>
            </c:dLbl>
            <c:dLbl>
              <c:idx val="3"/>
              <c:layout>
                <c:manualLayout>
                  <c:x val="-0.13454854074369876"/>
                  <c:y val="-3.2646747537246598E-2"/>
                </c:manualLayout>
              </c:layout>
              <c:tx>
                <c:rich>
                  <a:bodyPr/>
                  <a:lstStyle/>
                  <a:p>
                    <a:r>
                      <a:rPr lang="en-US"/>
                      <a:t>2009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F255-4EDC-9214-1ED416B70C2F}"/>
                </c:ext>
              </c:extLst>
            </c:dLbl>
            <c:dLbl>
              <c:idx val="4"/>
              <c:layout>
                <c:manualLayout>
                  <c:x val="-0.11474619993826693"/>
                  <c:y val="4.8635741754395737E-2"/>
                </c:manualLayout>
              </c:layout>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F255-4EDC-9214-1ED416B70C2F}"/>
                </c:ext>
              </c:extLst>
            </c:dLbl>
            <c:dLbl>
              <c:idx val="5"/>
              <c:layout>
                <c:manualLayout>
                  <c:x val="8.0055488329023438E-3"/>
                  <c:y val="-3.0523469547407887E-2"/>
                </c:manualLayout>
              </c:layout>
              <c:tx>
                <c:rich>
                  <a:bodyPr/>
                  <a:lstStyle/>
                  <a:p>
                    <a:r>
                      <a:rPr lang="en-US"/>
                      <a:t>2011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F255-4EDC-9214-1ED416B70C2F}"/>
                </c:ext>
              </c:extLst>
            </c:dLbl>
            <c:dLbl>
              <c:idx val="6"/>
              <c:layout>
                <c:manualLayout>
                  <c:x val="-6.6712906940852856E-2"/>
                  <c:y val="-4.9078157039401084E-2"/>
                </c:manualLayout>
              </c:layout>
              <c:tx>
                <c:rich>
                  <a:bodyPr/>
                  <a:lstStyle/>
                  <a:p>
                    <a:r>
                      <a:rPr lang="en-US"/>
                      <a:t>2012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F255-4EDC-9214-1ED416B70C2F}"/>
                </c:ext>
              </c:extLst>
            </c:dLbl>
            <c:dLbl>
              <c:idx val="7"/>
              <c:layout>
                <c:manualLayout>
                  <c:x val="1.3486231330586023E-2"/>
                  <c:y val="-1.6118747633412688E-3"/>
                </c:manualLayout>
              </c:layout>
              <c:tx>
                <c:rich>
                  <a:bodyPr/>
                  <a:lstStyle/>
                  <a:p>
                    <a:r>
                      <a:rPr lang="en-US"/>
                      <a:t>2013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F255-4EDC-9214-1ED416B70C2F}"/>
                </c:ext>
              </c:extLst>
            </c:dLbl>
            <c:dLbl>
              <c:idx val="8"/>
              <c:layout>
                <c:manualLayout>
                  <c:x val="-0.16393145140019624"/>
                  <c:y val="6.0068211812506489E-2"/>
                </c:manualLayout>
              </c:layout>
              <c:tx>
                <c:rich>
                  <a:bodyPr/>
                  <a:lstStyle/>
                  <a:p>
                    <a:r>
                      <a:rPr lang="en-US"/>
                      <a:t>2014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F255-4EDC-9214-1ED416B70C2F}"/>
                </c:ext>
              </c:extLst>
            </c:dLbl>
            <c:dLbl>
              <c:idx val="9"/>
              <c:layout>
                <c:manualLayout>
                  <c:x val="-5.4327355684405977E-2"/>
                  <c:y val="3.8165916006571952E-2"/>
                </c:manualLayout>
              </c:layout>
              <c:tx>
                <c:rich>
                  <a:bodyPr/>
                  <a:lstStyle/>
                  <a:p>
                    <a:r>
                      <a:rPr lang="en-US"/>
                      <a:t>2015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F255-4EDC-9214-1ED416B70C2F}"/>
                </c:ext>
              </c:extLst>
            </c:dLbl>
            <c:dLbl>
              <c:idx val="10"/>
              <c:layout>
                <c:manualLayout>
                  <c:x val="-2.1348125735417816E-2"/>
                  <c:y val="7.0193690025747005E-2"/>
                </c:manualLayout>
              </c:layout>
              <c:tx>
                <c:rich>
                  <a:bodyPr/>
                  <a:lstStyle/>
                  <a:p>
                    <a:r>
                      <a:rPr lang="en-US"/>
                      <a:t>2016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F255-4EDC-9214-1ED416B70C2F}"/>
                </c:ext>
              </c:extLst>
            </c:dLbl>
            <c:dLbl>
              <c:idx val="11"/>
              <c:layout>
                <c:manualLayout>
                  <c:x val="-0.11723069564942167"/>
                  <c:y val="8.2171508222489142E-3"/>
                </c:manualLayout>
              </c:layout>
              <c:tx>
                <c:rich>
                  <a:bodyPr/>
                  <a:lstStyle/>
                  <a:p>
                    <a:r>
                      <a:rPr lang="en-US"/>
                      <a:t>2017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F255-4EDC-9214-1ED416B70C2F}"/>
                </c:ext>
              </c:extLst>
            </c:dLbl>
            <c:dLbl>
              <c:idx val="12"/>
              <c:layout>
                <c:manualLayout>
                  <c:x val="-8.5392520884291667E-2"/>
                  <c:y val="-2.2410209173716247E-2"/>
                </c:manualLayout>
              </c:layout>
              <c:tx>
                <c:rich>
                  <a:bodyPr/>
                  <a:lstStyle/>
                  <a:p>
                    <a:r>
                      <a:rPr lang="en-US"/>
                      <a:t>2018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F255-4EDC-9214-1ED416B70C2F}"/>
                </c:ext>
              </c:extLst>
            </c:dLbl>
            <c:dLbl>
              <c:idx val="13"/>
              <c:layout>
                <c:manualLayout>
                  <c:x val="-4.2696274754741539E-2"/>
                  <c:y val="-4.7156292963379649E-2"/>
                </c:manualLayout>
              </c:layout>
              <c:tx>
                <c:rich>
                  <a:bodyPr/>
                  <a:lstStyle/>
                  <a:p>
                    <a:r>
                      <a:rPr lang="en-US"/>
                      <a:t>2019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F255-4EDC-9214-1ED416B70C2F}"/>
                </c:ext>
              </c:extLst>
            </c:dLbl>
            <c:dLbl>
              <c:idx val="14"/>
              <c:layout>
                <c:manualLayout>
                  <c:x val="-0.12007117913297907"/>
                  <c:y val="6.1965093346382547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a:t>2020</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2534352501355245"/>
                      <c:h val="6.2153480814898125E-2"/>
                    </c:manualLayout>
                  </c15:layout>
                  <c15:showDataLabelsRange val="0"/>
                </c:ext>
                <c:ext xmlns:c16="http://schemas.microsoft.com/office/drawing/2014/chart" uri="{C3380CC4-5D6E-409C-BE32-E72D297353CC}">
                  <c16:uniqueId val="{0000000E-F255-4EDC-9214-1ED416B70C2F}"/>
                </c:ext>
              </c:extLst>
            </c:dLbl>
            <c:dLbl>
              <c:idx val="15"/>
              <c:layout>
                <c:manualLayout>
                  <c:x val="1.0674062867708761E-2"/>
                  <c:y val="-3.2622739847777804E-2"/>
                </c:manualLayout>
              </c:layout>
              <c:tx>
                <c:rich>
                  <a:bodyPr/>
                  <a:lstStyle/>
                  <a:p>
                    <a:r>
                      <a:rPr lang="en-US"/>
                      <a:t>2021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F255-4EDC-9214-1ED416B70C2F}"/>
                </c:ext>
              </c:extLst>
            </c:dLbl>
            <c:dLbl>
              <c:idx val="16"/>
              <c:layout>
                <c:manualLayout>
                  <c:x val="-5.1434317050597804E-2"/>
                  <c:y val="3.1226658550831701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b="0"/>
                      <a:t>2022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showDataLabelsRange val="0"/>
                </c:ext>
                <c:ext xmlns:c16="http://schemas.microsoft.com/office/drawing/2014/chart" uri="{C3380CC4-5D6E-409C-BE32-E72D297353CC}">
                  <c16:uniqueId val="{00000010-F255-4EDC-9214-1ED416B70C2F}"/>
                </c:ext>
              </c:extLst>
            </c:dLbl>
            <c:dLbl>
              <c:idx val="17"/>
              <c:layout>
                <c:manualLayout>
                  <c:x val="-0.12593255566144898"/>
                  <c:y val="6.9392173435947621E-3"/>
                </c:manualLayout>
              </c:layout>
              <c:tx>
                <c:rich>
                  <a:bodyPr/>
                  <a:lstStyle/>
                  <a:p>
                    <a:r>
                      <a:rPr lang="en-US"/>
                      <a:t>2023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F255-4EDC-9214-1ED416B70C2F}"/>
                </c:ext>
              </c:extLst>
            </c:dLbl>
            <c:dLbl>
              <c:idx val="18"/>
              <c:layout>
                <c:manualLayout>
                  <c:x val="-1.3581838921101494E-2"/>
                  <c:y val="-6.9392574557403776E-3"/>
                </c:manualLayout>
              </c:layout>
              <c:tx>
                <c:rich>
                  <a:bodyPr/>
                  <a:lstStyle/>
                  <a:p>
                    <a:r>
                      <a:rPr lang="en-US"/>
                      <a:t>2024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F255-4EDC-9214-1ED416B70C2F}"/>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rgbClr val="44546A"/>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'Grafikoni, CAB, Karakter'!$Z$12:$Z$30</c:f>
              <c:numCache>
                <c:formatCode>#,##0.0</c:formatCode>
                <c:ptCount val="19"/>
                <c:pt idx="0">
                  <c:v>-3.3305407298974736</c:v>
                </c:pt>
                <c:pt idx="1">
                  <c:v>1.3050262370980286</c:v>
                </c:pt>
                <c:pt idx="2">
                  <c:v>4.1480120629277737</c:v>
                </c:pt>
                <c:pt idx="3">
                  <c:v>-0.52239416685725348</c:v>
                </c:pt>
                <c:pt idx="4">
                  <c:v>0.41026810927007673</c:v>
                </c:pt>
                <c:pt idx="5">
                  <c:v>0.30816389137498656</c:v>
                </c:pt>
                <c:pt idx="6">
                  <c:v>-4.2047696415254333E-2</c:v>
                </c:pt>
                <c:pt idx="7">
                  <c:v>0.44931713815385776</c:v>
                </c:pt>
                <c:pt idx="8">
                  <c:v>-1.6994305213717809</c:v>
                </c:pt>
                <c:pt idx="9">
                  <c:v>-1.4483637557084184</c:v>
                </c:pt>
                <c:pt idx="10">
                  <c:v>-0.37146480294039352</c:v>
                </c:pt>
                <c:pt idx="11">
                  <c:v>-0.60490750659722714</c:v>
                </c:pt>
                <c:pt idx="12">
                  <c:v>0.84074852090008867</c:v>
                </c:pt>
                <c:pt idx="13">
                  <c:v>2.1005160752801477</c:v>
                </c:pt>
                <c:pt idx="14">
                  <c:v>-2.4229218701431403</c:v>
                </c:pt>
                <c:pt idx="15">
                  <c:v>1.4366579762151328</c:v>
                </c:pt>
                <c:pt idx="16">
                  <c:v>0.16991588223105497</c:v>
                </c:pt>
                <c:pt idx="17">
                  <c:v>5.7502423509462011E-2</c:v>
                </c:pt>
                <c:pt idx="18">
                  <c:v>-0.17380968574343295</c:v>
                </c:pt>
              </c:numCache>
            </c:numRef>
          </c:xVal>
          <c:yVal>
            <c:numRef>
              <c:f>'Grafikoni, CAB, Karakter'!$AA$12:$AA$30</c:f>
              <c:numCache>
                <c:formatCode>#,##0.0</c:formatCode>
                <c:ptCount val="19"/>
                <c:pt idx="0">
                  <c:v>0.93168055739280864</c:v>
                </c:pt>
                <c:pt idx="1">
                  <c:v>2.6911490341582338</c:v>
                </c:pt>
                <c:pt idx="2">
                  <c:v>1.682151926706986</c:v>
                </c:pt>
                <c:pt idx="3">
                  <c:v>-0.10026544129340431</c:v>
                </c:pt>
                <c:pt idx="4">
                  <c:v>0.1571374731078361</c:v>
                </c:pt>
                <c:pt idx="5">
                  <c:v>-4.3729482678573905E-2</c:v>
                </c:pt>
                <c:pt idx="6">
                  <c:v>1.174758081467302</c:v>
                </c:pt>
                <c:pt idx="7">
                  <c:v>-1.5333147146386121</c:v>
                </c:pt>
                <c:pt idx="8">
                  <c:v>-0.20261301500717721</c:v>
                </c:pt>
                <c:pt idx="9">
                  <c:v>-2.8509713591816706</c:v>
                </c:pt>
                <c:pt idx="10">
                  <c:v>-1.7124745553258487</c:v>
                </c:pt>
                <c:pt idx="11">
                  <c:v>-1.9330963140968005</c:v>
                </c:pt>
                <c:pt idx="12">
                  <c:v>1.3701072568355852</c:v>
                </c:pt>
                <c:pt idx="13">
                  <c:v>1.3693782539756216</c:v>
                </c:pt>
                <c:pt idx="14">
                  <c:v>5.8792223947308946</c:v>
                </c:pt>
                <c:pt idx="15">
                  <c:v>-2.108975426574049</c:v>
                </c:pt>
                <c:pt idx="16">
                  <c:v>-1.1600554316069425</c:v>
                </c:pt>
                <c:pt idx="17">
                  <c:v>-1.1527199893467848</c:v>
                </c:pt>
                <c:pt idx="18">
                  <c:v>0.34896138574595426</c:v>
                </c:pt>
              </c:numCache>
            </c:numRef>
          </c:yVal>
          <c:smooth val="1"/>
          <c:extLst>
            <c:ext xmlns:c16="http://schemas.microsoft.com/office/drawing/2014/chart" uri="{C3380CC4-5D6E-409C-BE32-E72D297353CC}">
              <c16:uniqueId val="{00000013-F255-4EDC-9214-1ED416B70C2F}"/>
            </c:ext>
          </c:extLst>
        </c:ser>
        <c:dLbls>
          <c:showLegendKey val="0"/>
          <c:showVal val="0"/>
          <c:showCatName val="0"/>
          <c:showSerName val="0"/>
          <c:showPercent val="0"/>
          <c:showBubbleSize val="0"/>
        </c:dLbls>
        <c:axId val="220401872"/>
        <c:axId val="343751600"/>
      </c:scatterChart>
      <c:valAx>
        <c:axId val="220401872"/>
        <c:scaling>
          <c:orientation val="minMax"/>
          <c:min val="-4"/>
        </c:scaling>
        <c:delete val="0"/>
        <c:axPos val="b"/>
        <c:majorGridlines>
          <c:spPr>
            <a:ln w="12700" cap="flat" cmpd="sng" algn="ctr">
              <a:noFill/>
              <a:round/>
            </a:ln>
            <a:effectLst/>
          </c:spPr>
        </c:majorGridlines>
        <c:title>
          <c:tx>
            <c:rich>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Производни јаз</a:t>
                </a:r>
              </a:p>
            </c:rich>
          </c:tx>
          <c:layout>
            <c:manualLayout>
              <c:xMode val="edge"/>
              <c:yMode val="edge"/>
              <c:x val="0.82932193475815519"/>
              <c:y val="0.56597321446622073"/>
            </c:manualLayout>
          </c:layout>
          <c:overlay val="0"/>
          <c:spPr>
            <a:noFill/>
            <a:ln>
              <a:noFill/>
            </a:ln>
            <a:effectLst/>
          </c:spPr>
        </c:title>
        <c:numFmt formatCode="#,##0" sourceLinked="0"/>
        <c:majorTickMark val="none"/>
        <c:minorTickMark val="none"/>
        <c:tickLblPos val="nextTo"/>
        <c:spPr>
          <a:noFill/>
          <a:ln w="9525" cap="flat" cmpd="sng" algn="ctr">
            <a:solidFill>
              <a:srgbClr val="D9D9D9"/>
            </a:solidFill>
            <a:round/>
          </a:ln>
          <a:effectLst/>
        </c:spPr>
        <c:txPr>
          <a:bodyPr rot="-600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sr-Latn-RS"/>
          </a:p>
        </c:txPr>
        <c:crossAx val="343751600"/>
        <c:crosses val="autoZero"/>
        <c:crossBetween val="midCat"/>
      </c:valAx>
      <c:valAx>
        <c:axId val="343751600"/>
        <c:scaling>
          <c:orientation val="minMax"/>
          <c:max val="6.5"/>
          <c:min val="-4"/>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Фискални импулс</a:t>
                </a:r>
                <a:endParaRPr lang="en-GB" sz="600" b="0">
                  <a:solidFill>
                    <a:srgbClr val="44546A"/>
                  </a:solidFill>
                  <a:latin typeface="+mn-lt"/>
                </a:endParaRPr>
              </a:p>
            </c:rich>
          </c:tx>
          <c:layout>
            <c:manualLayout>
              <c:xMode val="edge"/>
              <c:yMode val="edge"/>
              <c:x val="2.416097987751531E-3"/>
              <c:y val="0.49974210003786534"/>
            </c:manualLayout>
          </c:layout>
          <c:overlay val="0"/>
          <c:spPr>
            <a:noFill/>
            <a:ln>
              <a:noFill/>
            </a:ln>
            <a:effectLst/>
          </c:spPr>
        </c:title>
        <c:numFmt formatCode="#,##0" sourceLinked="0"/>
        <c:majorTickMark val="none"/>
        <c:minorTickMark val="none"/>
        <c:tickLblPos val="nextTo"/>
        <c:spPr>
          <a:noFill/>
          <a:ln w="9525">
            <a:solidFill>
              <a:srgbClr val="D9D9D9"/>
            </a:solid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220401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latin typeface="Cambria" panose="02040503050406030204" pitchFamily="18" charset="0"/>
        </a:defRPr>
      </a:pPr>
      <a:endParaRPr lang="sr-Latn-RS"/>
    </a:p>
  </c:txPr>
  <c:externalData r:id="rId2">
    <c:autoUpdate val="0"/>
  </c:externalData>
  <c:userShapes r:id="rId3"/>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909433408090853"/>
          <c:y val="4.2508416483893662E-2"/>
          <c:w val="0.83253239442237581"/>
          <c:h val="0.81374254200939145"/>
        </c:manualLayout>
      </c:layout>
      <c:barChart>
        <c:barDir val="col"/>
        <c:grouping val="clustered"/>
        <c:varyColors val="0"/>
        <c:ser>
          <c:idx val="0"/>
          <c:order val="0"/>
          <c:spPr>
            <a:solidFill>
              <a:schemeClr val="accent1"/>
            </a:solidFill>
            <a:ln w="25400">
              <a:solidFill>
                <a:schemeClr val="accen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'Сценарио 1'!$C$79:$C$95</c:f>
              <c:strCache>
                <c:ptCount val="17"/>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strCache>
            </c:strRef>
          </c:cat>
          <c:val>
            <c:numRef>
              <c:f>'Сценарио 1'!$D$79:$D$95</c:f>
              <c:numCache>
                <c:formatCode>0.0</c:formatCode>
                <c:ptCount val="17"/>
                <c:pt idx="0">
                  <c:v>27.627377723026413</c:v>
                </c:pt>
                <c:pt idx="1">
                  <c:v>31.547478959485375</c:v>
                </c:pt>
                <c:pt idx="2">
                  <c:v>39.767112280129552</c:v>
                </c:pt>
                <c:pt idx="3">
                  <c:v>42.949713400904372</c:v>
                </c:pt>
                <c:pt idx="4">
                  <c:v>52.452431252049713</c:v>
                </c:pt>
                <c:pt idx="5">
                  <c:v>55.135306002228617</c:v>
                </c:pt>
                <c:pt idx="6">
                  <c:v>64.675004036690524</c:v>
                </c:pt>
                <c:pt idx="7">
                  <c:v>68.369824670854172</c:v>
                </c:pt>
                <c:pt idx="8">
                  <c:v>66.20461222909006</c:v>
                </c:pt>
                <c:pt idx="9">
                  <c:v>56.328463654534445</c:v>
                </c:pt>
                <c:pt idx="10">
                  <c:v>52.14256204665228</c:v>
                </c:pt>
                <c:pt idx="11">
                  <c:v>50.517490084333687</c:v>
                </c:pt>
                <c:pt idx="12">
                  <c:v>55.189879391575417</c:v>
                </c:pt>
                <c:pt idx="13">
                  <c:v>54.467037707518955</c:v>
                </c:pt>
                <c:pt idx="14">
                  <c:v>52.901616882538086</c:v>
                </c:pt>
                <c:pt idx="15">
                  <c:v>48.386002589188038</c:v>
                </c:pt>
                <c:pt idx="16">
                  <c:v>47.9</c:v>
                </c:pt>
              </c:numCache>
            </c:numRef>
          </c:val>
          <c:extLst>
            <c:ext xmlns:c16="http://schemas.microsoft.com/office/drawing/2014/chart" uri="{C3380CC4-5D6E-409C-BE32-E72D297353CC}">
              <c16:uniqueId val="{00000000-3129-4473-9B3A-BA49AA647A89}"/>
            </c:ext>
          </c:extLst>
        </c:ser>
        <c:dLbls>
          <c:showLegendKey val="0"/>
          <c:showVal val="0"/>
          <c:showCatName val="0"/>
          <c:showSerName val="0"/>
          <c:showPercent val="0"/>
          <c:showBubbleSize val="0"/>
        </c:dLbls>
        <c:gapWidth val="57"/>
        <c:axId val="582077168"/>
        <c:axId val="582077584"/>
      </c:barChart>
      <c:catAx>
        <c:axId val="582077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582077584"/>
        <c:crosses val="autoZero"/>
        <c:auto val="1"/>
        <c:lblAlgn val="ctr"/>
        <c:lblOffset val="100"/>
        <c:noMultiLvlLbl val="0"/>
      </c:catAx>
      <c:valAx>
        <c:axId val="582077584"/>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sz="800"/>
                  <a:t>% БДП</a:t>
                </a:r>
              </a:p>
            </c:rich>
          </c:tx>
          <c:layout>
            <c:manualLayout>
              <c:xMode val="edge"/>
              <c:yMode val="edge"/>
              <c:x val="8.7452842461298308E-3"/>
              <c:y val="0.40022441084197174"/>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5820771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0247473029496585E-2"/>
          <c:y val="5.0621986652026364E-2"/>
          <c:w val="0.90182166347717574"/>
          <c:h val="0.90664979271278157"/>
        </c:manualLayout>
      </c:layout>
      <c:lineChart>
        <c:grouping val="standard"/>
        <c:varyColors val="0"/>
        <c:ser>
          <c:idx val="0"/>
          <c:order val="0"/>
          <c:tx>
            <c:strRef>
              <c:f>'Quaterly, Yearly'!$CX$5</c:f>
              <c:strCache>
                <c:ptCount val="1"/>
                <c:pt idx="0">
                  <c:v>Примарни резултат који стабилизује учешће дуга у БДП</c:v>
                </c:pt>
              </c:strCache>
            </c:strRef>
          </c:tx>
          <c:spPr>
            <a:ln w="31750" cap="rnd">
              <a:solidFill>
                <a:schemeClr val="accent1"/>
              </a:solidFill>
              <a:round/>
            </a:ln>
            <a:effectLst/>
          </c:spPr>
          <c:marker>
            <c:symbol val="none"/>
          </c:marker>
          <c:cat>
            <c:strRef>
              <c:f>('Quaterly, Yearly'!$DL$7:$DW$8,'Quaterly, Yearly'!$DX$7:$DX$8)</c:f>
              <c:strCache>
                <c:ptCount val="13"/>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strCache>
            </c:strRef>
          </c:cat>
          <c:val>
            <c:numRef>
              <c:f>'Quaterly, Yearly'!$DL$5:$DX$5</c:f>
              <c:numCache>
                <c:formatCode>#,##0.00</c:formatCode>
                <c:ptCount val="13"/>
                <c:pt idx="0">
                  <c:v>0.4587574586282453</c:v>
                </c:pt>
                <c:pt idx="1">
                  <c:v>-0.2186815333287046</c:v>
                </c:pt>
                <c:pt idx="2">
                  <c:v>-0.68291556261695596</c:v>
                </c:pt>
                <c:pt idx="3">
                  <c:v>-1.478901408472483</c:v>
                </c:pt>
                <c:pt idx="4">
                  <c:v>-1.656478168925108</c:v>
                </c:pt>
                <c:pt idx="5">
                  <c:v>0.89009568408279172</c:v>
                </c:pt>
                <c:pt idx="6">
                  <c:v>-5.3449525773131006</c:v>
                </c:pt>
                <c:pt idx="7" formatCode="#,##0.0">
                  <c:v>-5.1412166811068465</c:v>
                </c:pt>
                <c:pt idx="8" formatCode="#,##0.0">
                  <c:v>-6.587581278930096</c:v>
                </c:pt>
                <c:pt idx="9">
                  <c:v>-2.1537992650668709</c:v>
                </c:pt>
                <c:pt idx="10">
                  <c:v>-1.3370932884170732</c:v>
                </c:pt>
                <c:pt idx="11">
                  <c:v>-1.2752019148403462</c:v>
                </c:pt>
                <c:pt idx="12">
                  <c:v>-1.7705542949452522</c:v>
                </c:pt>
              </c:numCache>
            </c:numRef>
          </c:val>
          <c:smooth val="0"/>
          <c:extLst>
            <c:ext xmlns:c16="http://schemas.microsoft.com/office/drawing/2014/chart" uri="{C3380CC4-5D6E-409C-BE32-E72D297353CC}">
              <c16:uniqueId val="{00000000-6836-47B6-A57B-919CB361F496}"/>
            </c:ext>
          </c:extLst>
        </c:ser>
        <c:ser>
          <c:idx val="1"/>
          <c:order val="1"/>
          <c:tx>
            <c:v>Остварени (пројектовани) примарни фискални резултат</c:v>
          </c:tx>
          <c:spPr>
            <a:ln w="25400" cap="rnd">
              <a:solidFill>
                <a:schemeClr val="accent2"/>
              </a:solidFill>
              <a:round/>
            </a:ln>
            <a:effectLst/>
          </c:spPr>
          <c:marker>
            <c:symbol val="none"/>
          </c:marker>
          <c:cat>
            <c:strRef>
              <c:f>('Quaterly, Yearly'!$DL$7:$DW$8,'Quaterly, Yearly'!$DX$7:$DX$8)</c:f>
              <c:strCache>
                <c:ptCount val="13"/>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strCache>
            </c:strRef>
          </c:cat>
          <c:val>
            <c:numRef>
              <c:f>('Quaterly, Yearly'!$DL$61:$DW$61,'Quaterly, Yearly'!$DX$61)</c:f>
              <c:numCache>
                <c:formatCode>#,##0.0</c:formatCode>
                <c:ptCount val="13"/>
                <c:pt idx="0">
                  <c:v>-0.4519075558326654</c:v>
                </c:pt>
                <c:pt idx="1">
                  <c:v>1.6426873720543391</c:v>
                </c:pt>
                <c:pt idx="2">
                  <c:v>3.4929502757705762</c:v>
                </c:pt>
                <c:pt idx="3">
                  <c:v>2.6358109426223959</c:v>
                </c:pt>
                <c:pt idx="4">
                  <c:v>1.7134410602148162</c:v>
                </c:pt>
                <c:pt idx="5">
                  <c:v>-5.7708509545761064</c:v>
                </c:pt>
                <c:pt idx="6">
                  <c:v>-2.2923653385556717</c:v>
                </c:pt>
                <c:pt idx="7">
                  <c:v>-1.5817930823645041</c:v>
                </c:pt>
                <c:pt idx="8">
                  <c:v>-0.46896121122711304</c:v>
                </c:pt>
                <c:pt idx="9" formatCode="0.0">
                  <c:v>-0.8841805383092346</c:v>
                </c:pt>
                <c:pt idx="10" formatCode="0.0">
                  <c:v>-0.97719269424505273</c:v>
                </c:pt>
                <c:pt idx="11" formatCode="0.0">
                  <c:v>-0.90572284091268063</c:v>
                </c:pt>
                <c:pt idx="12" formatCode="0.0">
                  <c:v>-1.0300053631219295</c:v>
                </c:pt>
              </c:numCache>
            </c:numRef>
          </c:val>
          <c:smooth val="0"/>
          <c:extLst>
            <c:ext xmlns:c16="http://schemas.microsoft.com/office/drawing/2014/chart" uri="{C3380CC4-5D6E-409C-BE32-E72D297353CC}">
              <c16:uniqueId val="{00000001-6836-47B6-A57B-919CB361F496}"/>
            </c:ext>
          </c:extLst>
        </c:ser>
        <c:dLbls>
          <c:showLegendKey val="0"/>
          <c:showVal val="0"/>
          <c:showCatName val="0"/>
          <c:showSerName val="0"/>
          <c:showPercent val="0"/>
          <c:showBubbleSize val="0"/>
        </c:dLbls>
        <c:smooth val="0"/>
        <c:axId val="519226144"/>
        <c:axId val="519226704"/>
      </c:lineChart>
      <c:catAx>
        <c:axId val="5192261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519226704"/>
        <c:crosses val="autoZero"/>
        <c:auto val="1"/>
        <c:lblAlgn val="ctr"/>
        <c:lblOffset val="100"/>
        <c:noMultiLvlLbl val="0"/>
      </c:catAx>
      <c:valAx>
        <c:axId val="519226704"/>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latin typeface="+mn-lt"/>
                  </a:rPr>
                  <a:t>% БДП</a:t>
                </a:r>
                <a:endParaRPr lang="en-US" sz="700">
                  <a:latin typeface="+mn-lt"/>
                </a:endParaRPr>
              </a:p>
            </c:rich>
          </c:tx>
          <c:layout>
            <c:manualLayout>
              <c:xMode val="edge"/>
              <c:yMode val="edge"/>
              <c:x val="6.9973402760528769E-2"/>
              <c:y val="0.47397448453271701"/>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19226144"/>
        <c:crosses val="autoZero"/>
        <c:crossBetween val="between"/>
      </c:valAx>
      <c:spPr>
        <a:noFill/>
        <a:ln>
          <a:noFill/>
        </a:ln>
        <a:effectLst/>
      </c:spPr>
    </c:plotArea>
    <c:legend>
      <c:legendPos val="r"/>
      <c:layout>
        <c:manualLayout>
          <c:xMode val="edge"/>
          <c:yMode val="edge"/>
          <c:x val="0.50348565649947374"/>
          <c:y val="4.4762640649801927E-2"/>
          <c:w val="0.49291803102994453"/>
          <c:h val="0.22263360322624778"/>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4587713337863218E-2"/>
          <c:y val="2.9912556166267597E-2"/>
          <c:w val="0.86739038330868545"/>
          <c:h val="0.75838633222079932"/>
        </c:manualLayout>
      </c:layout>
      <c:barChart>
        <c:barDir val="col"/>
        <c:grouping val="clustered"/>
        <c:varyColors val="0"/>
        <c:dLbls>
          <c:showLegendKey val="0"/>
          <c:showVal val="0"/>
          <c:showCatName val="0"/>
          <c:showSerName val="0"/>
          <c:showPercent val="0"/>
          <c:showBubbleSize val="0"/>
        </c:dLbls>
        <c:gapWidth val="200"/>
        <c:axId val="1433716128"/>
        <c:axId val="1433710720"/>
        <c:extLst>
          <c:ext xmlns:c15="http://schemas.microsoft.com/office/drawing/2012/chart" uri="{02D57815-91ED-43cb-92C2-25804820EDAC}">
            <c15:filteredBarSeries>
              <c15:ser>
                <c:idx val="4"/>
                <c:order val="4"/>
                <c:tx>
                  <c:strRef>
                    <c:extLst>
                      <c:ext uri="{02D57815-91ED-43cb-92C2-25804820EDAC}">
                        <c15:formulaRef>
                          <c15:sqref>'Сценарио 1'!$B$48</c15:sqref>
                        </c15:formulaRef>
                      </c:ext>
                    </c:extLst>
                    <c:strCache>
                      <c:ptCount val="1"/>
                      <c:pt idx="0">
                        <c:v>Основни сценарио (дефицит)</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c:ext uri="{02D57815-91ED-43cb-92C2-25804820EDAC}">
                        <c15:formulaRef>
                          <c15:sqref>'Сценарио 1'!$C$33:$J$33</c15:sqref>
                        </c15:formulaRef>
                      </c:ext>
                    </c:extLst>
                    <c:numCache>
                      <c:formatCode>General</c:formatCode>
                      <c:ptCount val="8"/>
                      <c:pt idx="0">
                        <c:v>2023</c:v>
                      </c:pt>
                      <c:pt idx="1">
                        <c:v>2024</c:v>
                      </c:pt>
                      <c:pt idx="2">
                        <c:v>2025</c:v>
                      </c:pt>
                      <c:pt idx="3">
                        <c:v>2026</c:v>
                      </c:pt>
                      <c:pt idx="4">
                        <c:v>2027</c:v>
                      </c:pt>
                      <c:pt idx="5">
                        <c:v>2028</c:v>
                      </c:pt>
                      <c:pt idx="6">
                        <c:v>2029</c:v>
                      </c:pt>
                      <c:pt idx="7">
                        <c:v>2030</c:v>
                      </c:pt>
                    </c:numCache>
                  </c:numRef>
                </c:cat>
                <c:val>
                  <c:numRef>
                    <c:extLst>
                      <c:ext uri="{02D57815-91ED-43cb-92C2-25804820EDAC}">
                        <c15:formulaRef>
                          <c15:sqref>'Сценарио 1'!$C$48:$J$48</c15:sqref>
                        </c15:formulaRef>
                      </c:ext>
                    </c:extLst>
                    <c:numCache>
                      <c:formatCode>General</c:formatCode>
                      <c:ptCount val="8"/>
                      <c:pt idx="0">
                        <c:v>2.0539999999999998</c:v>
                      </c:pt>
                      <c:pt idx="1">
                        <c:v>2.7</c:v>
                      </c:pt>
                      <c:pt idx="2">
                        <c:v>3</c:v>
                      </c:pt>
                      <c:pt idx="3">
                        <c:v>3</c:v>
                      </c:pt>
                      <c:pt idx="4">
                        <c:v>3</c:v>
                      </c:pt>
                      <c:pt idx="5">
                        <c:v>2.5</c:v>
                      </c:pt>
                      <c:pt idx="6">
                        <c:v>2.5</c:v>
                      </c:pt>
                      <c:pt idx="7">
                        <c:v>1.5</c:v>
                      </c:pt>
                    </c:numCache>
                  </c:numRef>
                </c:val>
                <c:extLst>
                  <c:ext xmlns:c16="http://schemas.microsoft.com/office/drawing/2014/chart" uri="{C3380CC4-5D6E-409C-BE32-E72D297353CC}">
                    <c16:uniqueId val="{00000039-05A1-4F29-B833-F9552996C1D0}"/>
                  </c:ext>
                </c:extLst>
              </c15:ser>
            </c15:filteredBarSeries>
            <c15:filteredBarSeries>
              <c15:ser>
                <c:idx val="5"/>
                <c:order val="5"/>
                <c:tx>
                  <c:strRef>
                    <c:extLst xmlns:c15="http://schemas.microsoft.com/office/drawing/2012/chart">
                      <c:ext xmlns:c15="http://schemas.microsoft.com/office/drawing/2012/chart" uri="{02D57815-91ED-43cb-92C2-25804820EDAC}">
                        <c15:formulaRef>
                          <c15:sqref>'Сценарио 1'!$B$49</c15:sqref>
                        </c15:formulaRef>
                      </c:ext>
                    </c:extLst>
                    <c:strCache>
                      <c:ptCount val="1"/>
                      <c:pt idx="0">
                        <c:v>Успорен раст након 2027. (дефицит)</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1'!$C$33:$J$33</c15:sqref>
                        </c15:formulaRef>
                      </c:ext>
                    </c:extLst>
                    <c:numCache>
                      <c:formatCode>General</c:formatCode>
                      <c:ptCount val="8"/>
                      <c:pt idx="0">
                        <c:v>2023</c:v>
                      </c:pt>
                      <c:pt idx="1">
                        <c:v>2024</c:v>
                      </c:pt>
                      <c:pt idx="2">
                        <c:v>2025</c:v>
                      </c:pt>
                      <c:pt idx="3">
                        <c:v>2026</c:v>
                      </c:pt>
                      <c:pt idx="4">
                        <c:v>2027</c:v>
                      </c:pt>
                      <c:pt idx="5">
                        <c:v>2028</c:v>
                      </c:pt>
                      <c:pt idx="6">
                        <c:v>2029</c:v>
                      </c:pt>
                      <c:pt idx="7">
                        <c:v>2030</c:v>
                      </c:pt>
                    </c:numCache>
                  </c:numRef>
                </c:cat>
                <c:val>
                  <c:numRef>
                    <c:extLst xmlns:c15="http://schemas.microsoft.com/office/drawing/2012/chart">
                      <c:ext xmlns:c15="http://schemas.microsoft.com/office/drawing/2012/chart" uri="{02D57815-91ED-43cb-92C2-25804820EDAC}">
                        <c15:formulaRef>
                          <c15:sqref>'Сценарио 1'!$C$49:$J$49</c15:sqref>
                        </c15:formulaRef>
                      </c:ext>
                    </c:extLst>
                    <c:numCache>
                      <c:formatCode>General</c:formatCode>
                      <c:ptCount val="8"/>
                      <c:pt idx="0">
                        <c:v>2.0539999999999998</c:v>
                      </c:pt>
                      <c:pt idx="1">
                        <c:v>2.7</c:v>
                      </c:pt>
                      <c:pt idx="2">
                        <c:v>3</c:v>
                      </c:pt>
                      <c:pt idx="3">
                        <c:v>3</c:v>
                      </c:pt>
                      <c:pt idx="4">
                        <c:v>3</c:v>
                      </c:pt>
                      <c:pt idx="5">
                        <c:v>2.5</c:v>
                      </c:pt>
                      <c:pt idx="6">
                        <c:v>1.5</c:v>
                      </c:pt>
                      <c:pt idx="7">
                        <c:v>1.5</c:v>
                      </c:pt>
                    </c:numCache>
                  </c:numRef>
                </c:val>
                <c:extLst xmlns:c15="http://schemas.microsoft.com/office/drawing/2012/chart">
                  <c:ext xmlns:c16="http://schemas.microsoft.com/office/drawing/2014/chart" uri="{C3380CC4-5D6E-409C-BE32-E72D297353CC}">
                    <c16:uniqueId val="{0000003A-05A1-4F29-B833-F9552996C1D0}"/>
                  </c:ext>
                </c:extLst>
              </c15:ser>
            </c15:filteredBarSeries>
            <c15:filteredBarSeries>
              <c15:ser>
                <c:idx val="6"/>
                <c:order val="6"/>
                <c:tx>
                  <c:strRef>
                    <c:extLst xmlns:c15="http://schemas.microsoft.com/office/drawing/2012/chart">
                      <c:ext xmlns:c15="http://schemas.microsoft.com/office/drawing/2012/chart" uri="{02D57815-91ED-43cb-92C2-25804820EDAC}">
                        <c15:formulaRef>
                          <c15:sqref>'Сценарио 1'!$B$50</c15:sqref>
                        </c15:formulaRef>
                      </c:ext>
                    </c:extLst>
                    <c:strCache>
                      <c:ptCount val="1"/>
                      <c:pt idx="0">
                        <c:v>Фискални шок након 2027. године (дефицит)</c:v>
                      </c:pt>
                    </c:strCache>
                  </c:strRef>
                </c:tx>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1'!$C$33:$J$33</c15:sqref>
                        </c15:formulaRef>
                      </c:ext>
                    </c:extLst>
                    <c:numCache>
                      <c:formatCode>General</c:formatCode>
                      <c:ptCount val="8"/>
                      <c:pt idx="0">
                        <c:v>2023</c:v>
                      </c:pt>
                      <c:pt idx="1">
                        <c:v>2024</c:v>
                      </c:pt>
                      <c:pt idx="2">
                        <c:v>2025</c:v>
                      </c:pt>
                      <c:pt idx="3">
                        <c:v>2026</c:v>
                      </c:pt>
                      <c:pt idx="4">
                        <c:v>2027</c:v>
                      </c:pt>
                      <c:pt idx="5">
                        <c:v>2028</c:v>
                      </c:pt>
                      <c:pt idx="6">
                        <c:v>2029</c:v>
                      </c:pt>
                      <c:pt idx="7">
                        <c:v>2030</c:v>
                      </c:pt>
                    </c:numCache>
                  </c:numRef>
                </c:cat>
                <c:val>
                  <c:numRef>
                    <c:extLst xmlns:c15="http://schemas.microsoft.com/office/drawing/2012/chart">
                      <c:ext xmlns:c15="http://schemas.microsoft.com/office/drawing/2012/chart" uri="{02D57815-91ED-43cb-92C2-25804820EDAC}">
                        <c15:formulaRef>
                          <c15:sqref>'Сценарио 1'!$C$50:$J$50</c15:sqref>
                        </c15:formulaRef>
                      </c:ext>
                    </c:extLst>
                    <c:numCache>
                      <c:formatCode>General</c:formatCode>
                      <c:ptCount val="8"/>
                      <c:pt idx="0">
                        <c:v>2.0539999999999998</c:v>
                      </c:pt>
                      <c:pt idx="1">
                        <c:v>2.7</c:v>
                      </c:pt>
                      <c:pt idx="2">
                        <c:v>3</c:v>
                      </c:pt>
                      <c:pt idx="3">
                        <c:v>3</c:v>
                      </c:pt>
                      <c:pt idx="4">
                        <c:v>3</c:v>
                      </c:pt>
                      <c:pt idx="5">
                        <c:v>9</c:v>
                      </c:pt>
                      <c:pt idx="6">
                        <c:v>2</c:v>
                      </c:pt>
                      <c:pt idx="7">
                        <c:v>0</c:v>
                      </c:pt>
                    </c:numCache>
                  </c:numRef>
                </c:val>
                <c:extLst xmlns:c15="http://schemas.microsoft.com/office/drawing/2012/chart">
                  <c:ext xmlns:c16="http://schemas.microsoft.com/office/drawing/2014/chart" uri="{C3380CC4-5D6E-409C-BE32-E72D297353CC}">
                    <c16:uniqueId val="{0000003B-05A1-4F29-B833-F9552996C1D0}"/>
                  </c:ext>
                </c:extLst>
              </c15:ser>
            </c15:filteredBarSeries>
          </c:ext>
        </c:extLst>
      </c:barChart>
      <c:lineChart>
        <c:grouping val="standard"/>
        <c:varyColors val="0"/>
        <c:ser>
          <c:idx val="2"/>
          <c:order val="1"/>
          <c:tx>
            <c:strRef>
              <c:f>'manji rast'!$B$33</c:f>
              <c:strCache>
                <c:ptCount val="1"/>
                <c:pt idx="0">
                  <c:v>Успорен раст након 2027</c:v>
                </c:pt>
              </c:strCache>
            </c:strRef>
          </c:tx>
          <c:spPr>
            <a:ln w="22225" cap="rnd">
              <a:solidFill>
                <a:schemeClr val="accent3"/>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05A1-4F29-B833-F9552996C1D0}"/>
                </c:ext>
              </c:extLst>
            </c:dLbl>
            <c:dLbl>
              <c:idx val="1"/>
              <c:delete val="1"/>
              <c:extLst>
                <c:ext xmlns:c15="http://schemas.microsoft.com/office/drawing/2012/chart" uri="{CE6537A1-D6FC-4f65-9D91-7224C49458BB}"/>
                <c:ext xmlns:c16="http://schemas.microsoft.com/office/drawing/2014/chart" uri="{C3380CC4-5D6E-409C-BE32-E72D297353CC}">
                  <c16:uniqueId val="{00000001-05A1-4F29-B833-F9552996C1D0}"/>
                </c:ext>
              </c:extLst>
            </c:dLbl>
            <c:dLbl>
              <c:idx val="2"/>
              <c:delete val="1"/>
              <c:extLst>
                <c:ext xmlns:c15="http://schemas.microsoft.com/office/drawing/2012/chart" uri="{CE6537A1-D6FC-4f65-9D91-7224C49458BB}"/>
                <c:ext xmlns:c16="http://schemas.microsoft.com/office/drawing/2014/chart" uri="{C3380CC4-5D6E-409C-BE32-E72D297353CC}">
                  <c16:uniqueId val="{00000002-05A1-4F29-B833-F9552996C1D0}"/>
                </c:ext>
              </c:extLst>
            </c:dLbl>
            <c:dLbl>
              <c:idx val="3"/>
              <c:delete val="1"/>
              <c:extLst>
                <c:ext xmlns:c15="http://schemas.microsoft.com/office/drawing/2012/chart" uri="{CE6537A1-D6FC-4f65-9D91-7224C49458BB}"/>
                <c:ext xmlns:c16="http://schemas.microsoft.com/office/drawing/2014/chart" uri="{C3380CC4-5D6E-409C-BE32-E72D297353CC}">
                  <c16:uniqueId val="{00000003-05A1-4F29-B833-F9552996C1D0}"/>
                </c:ext>
              </c:extLst>
            </c:dLbl>
            <c:dLbl>
              <c:idx val="4"/>
              <c:delete val="1"/>
              <c:extLst>
                <c:ext xmlns:c15="http://schemas.microsoft.com/office/drawing/2012/chart" uri="{CE6537A1-D6FC-4f65-9D91-7224C49458BB}"/>
                <c:ext xmlns:c16="http://schemas.microsoft.com/office/drawing/2014/chart" uri="{C3380CC4-5D6E-409C-BE32-E72D297353CC}">
                  <c16:uniqueId val="{00000004-05A1-4F29-B833-F9552996C1D0}"/>
                </c:ext>
              </c:extLst>
            </c:dLbl>
            <c:dLbl>
              <c:idx val="5"/>
              <c:delete val="1"/>
              <c:extLst>
                <c:ext xmlns:c15="http://schemas.microsoft.com/office/drawing/2012/chart" uri="{CE6537A1-D6FC-4f65-9D91-7224C49458BB}"/>
                <c:ext xmlns:c16="http://schemas.microsoft.com/office/drawing/2014/chart" uri="{C3380CC4-5D6E-409C-BE32-E72D297353CC}">
                  <c16:uniqueId val="{00000005-05A1-4F29-B833-F9552996C1D0}"/>
                </c:ext>
              </c:extLst>
            </c:dLbl>
            <c:dLbl>
              <c:idx val="6"/>
              <c:delete val="1"/>
              <c:extLst>
                <c:ext xmlns:c15="http://schemas.microsoft.com/office/drawing/2012/chart" uri="{CE6537A1-D6FC-4f65-9D91-7224C49458BB}"/>
                <c:ext xmlns:c16="http://schemas.microsoft.com/office/drawing/2014/chart" uri="{C3380CC4-5D6E-409C-BE32-E72D297353CC}">
                  <c16:uniqueId val="{00000006-05A1-4F29-B833-F9552996C1D0}"/>
                </c:ext>
              </c:extLst>
            </c:dLbl>
            <c:dLbl>
              <c:idx val="8"/>
              <c:delete val="1"/>
              <c:extLst>
                <c:ext xmlns:c15="http://schemas.microsoft.com/office/drawing/2012/chart" uri="{CE6537A1-D6FC-4f65-9D91-7224C49458BB}"/>
                <c:ext xmlns:c16="http://schemas.microsoft.com/office/drawing/2014/chart" uri="{C3380CC4-5D6E-409C-BE32-E72D297353CC}">
                  <c16:uniqueId val="{00000007-05A1-4F29-B833-F9552996C1D0}"/>
                </c:ext>
              </c:extLst>
            </c:dLbl>
            <c:dLbl>
              <c:idx val="9"/>
              <c:delete val="1"/>
              <c:extLst>
                <c:ext xmlns:c15="http://schemas.microsoft.com/office/drawing/2012/chart" uri="{CE6537A1-D6FC-4f65-9D91-7224C49458BB}"/>
                <c:ext xmlns:c16="http://schemas.microsoft.com/office/drawing/2014/chart" uri="{C3380CC4-5D6E-409C-BE32-E72D297353CC}">
                  <c16:uniqueId val="{00000008-05A1-4F29-B833-F9552996C1D0}"/>
                </c:ext>
              </c:extLst>
            </c:dLbl>
            <c:dLbl>
              <c:idx val="10"/>
              <c:layout>
                <c:manualLayout>
                  <c:x val="-2.0408163265306124E-3"/>
                  <c:y val="-4.89208411393684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5A1-4F29-B833-F9552996C1D0}"/>
                </c:ext>
              </c:extLst>
            </c:dLbl>
            <c:dLbl>
              <c:idx val="11"/>
              <c:delete val="1"/>
              <c:extLst>
                <c:ext xmlns:c15="http://schemas.microsoft.com/office/drawing/2012/chart" uri="{CE6537A1-D6FC-4f65-9D91-7224C49458BB}"/>
                <c:ext xmlns:c16="http://schemas.microsoft.com/office/drawing/2014/chart" uri="{C3380CC4-5D6E-409C-BE32-E72D297353CC}">
                  <c16:uniqueId val="{0000000A-05A1-4F29-B833-F9552996C1D0}"/>
                </c:ext>
              </c:extLst>
            </c:dLbl>
            <c:dLbl>
              <c:idx val="12"/>
              <c:delete val="1"/>
              <c:extLst>
                <c:ext xmlns:c15="http://schemas.microsoft.com/office/drawing/2012/chart" uri="{CE6537A1-D6FC-4f65-9D91-7224C49458BB}"/>
                <c:ext xmlns:c16="http://schemas.microsoft.com/office/drawing/2014/chart" uri="{C3380CC4-5D6E-409C-BE32-E72D297353CC}">
                  <c16:uniqueId val="{0000000B-05A1-4F29-B833-F9552996C1D0}"/>
                </c:ext>
              </c:extLst>
            </c:dLbl>
            <c:dLbl>
              <c:idx val="13"/>
              <c:layout>
                <c:manualLayout>
                  <c:x val="-7.4257428637148227E-3"/>
                  <c:y val="-8.61243694667635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5A1-4F29-B833-F9552996C1D0}"/>
                </c:ext>
              </c:extLst>
            </c:dLbl>
            <c:dLbl>
              <c:idx val="14"/>
              <c:layout>
                <c:manualLayout>
                  <c:x val="-1.7647064024988345E-2"/>
                  <c:y val="-4.81323602006020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5A1-4F29-B833-F9552996C1D0}"/>
                </c:ext>
              </c:extLst>
            </c:dLbl>
            <c:dLbl>
              <c:idx val="15"/>
              <c:delete val="1"/>
              <c:extLst>
                <c:ext xmlns:c15="http://schemas.microsoft.com/office/drawing/2012/chart" uri="{CE6537A1-D6FC-4f65-9D91-7224C49458BB}"/>
                <c:ext xmlns:c16="http://schemas.microsoft.com/office/drawing/2014/chart" uri="{C3380CC4-5D6E-409C-BE32-E72D297353CC}">
                  <c16:uniqueId val="{0000000E-05A1-4F29-B833-F9552996C1D0}"/>
                </c:ext>
              </c:extLst>
            </c:dLbl>
            <c:dLbl>
              <c:idx val="16"/>
              <c:delete val="1"/>
              <c:extLst>
                <c:ext xmlns:c15="http://schemas.microsoft.com/office/drawing/2012/chart" uri="{CE6537A1-D6FC-4f65-9D91-7224C49458BB}"/>
                <c:ext xmlns:c16="http://schemas.microsoft.com/office/drawing/2014/chart" uri="{C3380CC4-5D6E-409C-BE32-E72D297353CC}">
                  <c16:uniqueId val="{0000000F-05A1-4F29-B833-F9552996C1D0}"/>
                </c:ext>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05A1-4F29-B833-F9552996C1D0}"/>
                </c:ext>
              </c:extLst>
            </c:dLbl>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'manji rast'!$C$39:$J$39</c:f>
              <c:numCache>
                <c:formatCode>#,##0.0</c:formatCode>
                <c:ptCount val="8"/>
                <c:pt idx="0">
                  <c:v>48.386002589188038</c:v>
                </c:pt>
                <c:pt idx="1">
                  <c:v>47.858964621404702</c:v>
                </c:pt>
                <c:pt idx="2">
                  <c:v>47.497657706772344</c:v>
                </c:pt>
                <c:pt idx="3">
                  <c:v>46.960300779916849</c:v>
                </c:pt>
                <c:pt idx="4">
                  <c:v>46.539196865895306</c:v>
                </c:pt>
                <c:pt idx="5">
                  <c:v>47.389881026896383</c:v>
                </c:pt>
                <c:pt idx="6">
                  <c:v>48.436706745671742</c:v>
                </c:pt>
                <c:pt idx="7">
                  <c:v>48.685021574008971</c:v>
                </c:pt>
              </c:numCache>
            </c:numRef>
          </c:val>
          <c:smooth val="0"/>
          <c:extLst>
            <c:ext xmlns:c16="http://schemas.microsoft.com/office/drawing/2014/chart" uri="{C3380CC4-5D6E-409C-BE32-E72D297353CC}">
              <c16:uniqueId val="{00000011-05A1-4F29-B833-F9552996C1D0}"/>
            </c:ext>
          </c:extLst>
        </c:ser>
        <c:ser>
          <c:idx val="1"/>
          <c:order val="2"/>
          <c:tx>
            <c:strRef>
              <c:f>'ekstremni sok'!$B$33</c:f>
              <c:strCache>
                <c:ptCount val="1"/>
                <c:pt idx="0">
                  <c:v>Фискални шок након 2027. године</c:v>
                </c:pt>
              </c:strCache>
            </c:strRef>
          </c:tx>
          <c:spPr>
            <a:ln w="22225" cap="rnd">
              <a:solidFill>
                <a:schemeClr val="accent2"/>
              </a:solidFill>
              <a:round/>
            </a:ln>
            <a:effectLst/>
          </c:spPr>
          <c:marker>
            <c:symbol val="none"/>
          </c:marker>
          <c:dLbls>
            <c:dLbl>
              <c:idx val="7"/>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05A1-4F29-B833-F9552996C1D0}"/>
                </c:ext>
              </c:extLst>
            </c:dLbl>
            <c:dLbl>
              <c:idx val="10"/>
              <c:layout>
                <c:manualLayout>
                  <c:x val="2.0408163265306124E-3"/>
                  <c:y val="2.30215723008792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05A1-4F29-B833-F9552996C1D0}"/>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j-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'ekstremni sok'!$C$39:$J$39</c:f>
              <c:numCache>
                <c:formatCode>#,##0.0</c:formatCode>
                <c:ptCount val="8"/>
                <c:pt idx="0">
                  <c:v>48.386002589188038</c:v>
                </c:pt>
                <c:pt idx="1">
                  <c:v>47.858964621404702</c:v>
                </c:pt>
                <c:pt idx="2">
                  <c:v>47.497657706772344</c:v>
                </c:pt>
                <c:pt idx="3">
                  <c:v>46.960300779916849</c:v>
                </c:pt>
                <c:pt idx="4">
                  <c:v>46.539196865895306</c:v>
                </c:pt>
                <c:pt idx="5">
                  <c:v>56.215781598238166</c:v>
                </c:pt>
                <c:pt idx="6">
                  <c:v>57.036887537537247</c:v>
                </c:pt>
                <c:pt idx="7">
                  <c:v>55.562959370963206</c:v>
                </c:pt>
              </c:numCache>
            </c:numRef>
          </c:val>
          <c:smooth val="0"/>
          <c:extLst>
            <c:ext xmlns:c16="http://schemas.microsoft.com/office/drawing/2014/chart" uri="{C3380CC4-5D6E-409C-BE32-E72D297353CC}">
              <c16:uniqueId val="{00000014-05A1-4F29-B833-F9552996C1D0}"/>
            </c:ext>
          </c:extLst>
        </c:ser>
        <c:ser>
          <c:idx val="0"/>
          <c:order val="3"/>
          <c:tx>
            <c:strRef>
              <c:f>'Сценарио 1'!$B$33</c:f>
              <c:strCache>
                <c:ptCount val="1"/>
                <c:pt idx="0">
                  <c:v>Основни сценарио</c:v>
                </c:pt>
              </c:strCache>
            </c:strRef>
          </c:tx>
          <c:spPr>
            <a:ln w="22225" cap="rnd">
              <a:solidFill>
                <a:schemeClr val="accent1"/>
              </a:solidFill>
              <a:round/>
            </a:ln>
            <a:effectLst/>
          </c:spPr>
          <c:marker>
            <c:symbol val="none"/>
          </c:marker>
          <c:dLbls>
            <c:dLbl>
              <c:idx val="0"/>
              <c:layout>
                <c:manualLayout>
                  <c:x val="-3.694648067468724E-2"/>
                  <c:y val="2.65842512505517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05A1-4F29-B833-F9552996C1D0}"/>
                </c:ext>
              </c:extLst>
            </c:dLbl>
            <c:dLbl>
              <c:idx val="1"/>
              <c:layout>
                <c:manualLayout>
                  <c:x val="-5.1136446485855976E-2"/>
                  <c:y val="5.1323184601924761E-2"/>
                </c:manualLayout>
              </c:layout>
              <c:showLegendKey val="0"/>
              <c:showVal val="1"/>
              <c:showCatName val="0"/>
              <c:showSerName val="0"/>
              <c:showPercent val="0"/>
              <c:showBubbleSize val="0"/>
              <c:extLst>
                <c:ext xmlns:c15="http://schemas.microsoft.com/office/drawing/2012/chart" uri="{CE6537A1-D6FC-4f65-9D91-7224C49458BB}">
                  <c15:layout>
                    <c:manualLayout>
                      <c:w val="8.3737605715952165E-2"/>
                      <c:h val="8.3699737532808419E-2"/>
                    </c:manualLayout>
                  </c15:layout>
                </c:ext>
                <c:ext xmlns:c16="http://schemas.microsoft.com/office/drawing/2014/chart" uri="{C3380CC4-5D6E-409C-BE32-E72D297353CC}">
                  <c16:uniqueId val="{00000016-05A1-4F29-B833-F9552996C1D0}"/>
                </c:ext>
              </c:extLst>
            </c:dLbl>
            <c:dLbl>
              <c:idx val="2"/>
              <c:layout>
                <c:manualLayout>
                  <c:x val="-1.5837267033541045E-3"/>
                  <c:y val="4.79973432453149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05A1-4F29-B833-F9552996C1D0}"/>
                </c:ext>
              </c:extLst>
            </c:dLbl>
            <c:dLbl>
              <c:idx val="3"/>
              <c:layout>
                <c:manualLayout>
                  <c:x val="-1.1708710893877721E-2"/>
                  <c:y val="8.40665306706410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05A1-4F29-B833-F9552996C1D0}"/>
                </c:ext>
              </c:extLst>
            </c:dLbl>
            <c:dLbl>
              <c:idx val="4"/>
              <c:layout>
                <c:manualLayout>
                  <c:x val="-2.1608705161854851E-2"/>
                  <c:y val="9.5720968212306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05A1-4F29-B833-F9552996C1D0}"/>
                </c:ext>
              </c:extLst>
            </c:dLbl>
            <c:dLbl>
              <c:idx val="5"/>
              <c:layout>
                <c:manualLayout>
                  <c:x val="-1.4213327500729076E-2"/>
                  <c:y val="7.51939340915717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05A1-4F29-B833-F9552996C1D0}"/>
                </c:ext>
              </c:extLst>
            </c:dLbl>
            <c:dLbl>
              <c:idx val="6"/>
              <c:layout>
                <c:manualLayout>
                  <c:x val="-2.9563648293963254E-2"/>
                  <c:y val="7.86179060950714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05A1-4F29-B833-F9552996C1D0}"/>
                </c:ext>
              </c:extLst>
            </c:dLbl>
            <c:dLbl>
              <c:idx val="7"/>
              <c:layout>
                <c:manualLayout>
                  <c:x val="-3.8578680203045689E-2"/>
                  <c:y val="4.30621847333817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05A1-4F29-B833-F9552996C1D0}"/>
                </c:ext>
              </c:extLst>
            </c:dLbl>
            <c:dLbl>
              <c:idx val="8"/>
              <c:layout>
                <c:manualLayout>
                  <c:x val="-1.8871417722530877E-2"/>
                  <c:y val="5.2858662224065718E-2"/>
                </c:manualLayout>
              </c:layout>
              <c:numFmt formatCode="#,##0.0" sourceLinked="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05A1-4F29-B833-F9552996C1D0}"/>
                </c:ext>
              </c:extLst>
            </c:dLbl>
            <c:dLbl>
              <c:idx val="9"/>
              <c:layout>
                <c:manualLayout>
                  <c:x val="-1.2182741116751269E-2"/>
                  <c:y val="4.59329970489404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05A1-4F29-B833-F9552996C1D0}"/>
                </c:ext>
              </c:extLst>
            </c:dLbl>
            <c:dLbl>
              <c:idx val="11"/>
              <c:delete val="1"/>
              <c:extLst>
                <c:ext xmlns:c15="http://schemas.microsoft.com/office/drawing/2012/chart" uri="{CE6537A1-D6FC-4f65-9D91-7224C49458BB}"/>
                <c:ext xmlns:c16="http://schemas.microsoft.com/office/drawing/2014/chart" uri="{C3380CC4-5D6E-409C-BE32-E72D297353CC}">
                  <c16:uniqueId val="{0000001F-05A1-4F29-B833-F9552996C1D0}"/>
                </c:ext>
              </c:extLst>
            </c:dLbl>
            <c:dLbl>
              <c:idx val="12"/>
              <c:delete val="1"/>
              <c:extLst>
                <c:ext xmlns:c15="http://schemas.microsoft.com/office/drawing/2012/chart" uri="{CE6537A1-D6FC-4f65-9D91-7224C49458BB}"/>
                <c:ext xmlns:c16="http://schemas.microsoft.com/office/drawing/2014/chart" uri="{C3380CC4-5D6E-409C-BE32-E72D297353CC}">
                  <c16:uniqueId val="{00000020-05A1-4F29-B833-F9552996C1D0}"/>
                </c:ext>
              </c:extLst>
            </c:dLbl>
            <c:dLbl>
              <c:idx val="13"/>
              <c:layout>
                <c:manualLayout>
                  <c:x val="-1.1881188581944001E-2"/>
                  <c:y val="-2.29664985244702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1-05A1-4F29-B833-F9552996C1D0}"/>
                </c:ext>
              </c:extLst>
            </c:dLbl>
            <c:dLbl>
              <c:idx val="14"/>
              <c:layout>
                <c:manualLayout>
                  <c:x val="-2.2459899668166864E-2"/>
                  <c:y val="3.9107542662989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2-05A1-4F29-B833-F9552996C1D0}"/>
                </c:ext>
              </c:extLst>
            </c:dLbl>
            <c:dLbl>
              <c:idx val="15"/>
              <c:delete val="1"/>
              <c:extLst>
                <c:ext xmlns:c15="http://schemas.microsoft.com/office/drawing/2012/chart" uri="{CE6537A1-D6FC-4f65-9D91-7224C49458BB}"/>
                <c:ext xmlns:c16="http://schemas.microsoft.com/office/drawing/2014/chart" uri="{C3380CC4-5D6E-409C-BE32-E72D297353CC}">
                  <c16:uniqueId val="{00000023-05A1-4F29-B833-F9552996C1D0}"/>
                </c:ext>
              </c:extLst>
            </c:dLbl>
            <c:dLbl>
              <c:idx val="16"/>
              <c:delete val="1"/>
              <c:extLst>
                <c:ext xmlns:c15="http://schemas.microsoft.com/office/drawing/2012/chart" uri="{CE6537A1-D6FC-4f65-9D91-7224C49458BB}"/>
                <c:ext xmlns:c16="http://schemas.microsoft.com/office/drawing/2014/chart" uri="{C3380CC4-5D6E-409C-BE32-E72D297353CC}">
                  <c16:uniqueId val="{00000024-05A1-4F29-B833-F9552996C1D0}"/>
                </c:ext>
              </c:extLst>
            </c:dLbl>
            <c:dLbl>
              <c:idx val="17"/>
              <c:layout>
                <c:manualLayout>
                  <c:x val="-2.1327017401502765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5-05A1-4F29-B833-F9552996C1D0}"/>
                </c:ext>
              </c:extLst>
            </c:dLbl>
            <c:numFmt formatCode="#,##0.0" sourceLinked="0"/>
            <c:spPr>
              <a:noFill/>
              <a:ln>
                <a:noFill/>
              </a:ln>
              <a:effectLst/>
            </c:spPr>
            <c:txPr>
              <a:bodyPr rot="0" spcFirstLastPara="1" vertOverflow="ellipsis" vert="horz" wrap="square" anchor="ctr" anchorCtr="1"/>
              <a:lstStyle/>
              <a:p>
                <a:pPr>
                  <a:defRPr sz="6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'Сценарио 1'!$C$39:$J$39</c:f>
              <c:numCache>
                <c:formatCode>#,##0.0</c:formatCode>
                <c:ptCount val="8"/>
                <c:pt idx="0">
                  <c:v>48.386002589188038</c:v>
                </c:pt>
                <c:pt idx="1">
                  <c:v>47.858964621404702</c:v>
                </c:pt>
                <c:pt idx="2">
                  <c:v>47.497657706772344</c:v>
                </c:pt>
                <c:pt idx="3">
                  <c:v>46.960300779916849</c:v>
                </c:pt>
                <c:pt idx="4">
                  <c:v>46.539196865895306</c:v>
                </c:pt>
                <c:pt idx="5">
                  <c:v>46.284729837051238</c:v>
                </c:pt>
                <c:pt idx="6">
                  <c:v>46.045323683514034</c:v>
                </c:pt>
                <c:pt idx="7">
                  <c:v>44.820087012925164</c:v>
                </c:pt>
              </c:numCache>
            </c:numRef>
          </c:val>
          <c:smooth val="0"/>
          <c:extLst>
            <c:ext xmlns:c16="http://schemas.microsoft.com/office/drawing/2014/chart" uri="{C3380CC4-5D6E-409C-BE32-E72D297353CC}">
              <c16:uniqueId val="{00000026-05A1-4F29-B833-F9552996C1D0}"/>
            </c:ext>
          </c:extLst>
        </c:ser>
        <c:dLbls>
          <c:showLegendKey val="0"/>
          <c:showVal val="0"/>
          <c:showCatName val="0"/>
          <c:showSerName val="0"/>
          <c:showPercent val="0"/>
          <c:showBubbleSize val="0"/>
        </c:dLbls>
        <c:marker val="1"/>
        <c:smooth val="0"/>
        <c:axId val="248069424"/>
        <c:axId val="248068304"/>
        <c:extLst>
          <c:ext xmlns:c15="http://schemas.microsoft.com/office/drawing/2012/chart" uri="{02D57815-91ED-43cb-92C2-25804820EDAC}">
            <c15:filteredLineSeries>
              <c15:ser>
                <c:idx val="3"/>
                <c:order val="0"/>
                <c:tx>
                  <c:strRef>
                    <c:extLst>
                      <c:ext uri="{02D57815-91ED-43cb-92C2-25804820EDAC}">
                        <c15:formulaRef>
                          <c15:sqref>'manje prilg + manji rast'!$B$33</c15:sqref>
                        </c15:formulaRef>
                      </c:ext>
                    </c:extLst>
                    <c:strCache>
                      <c:ptCount val="1"/>
                      <c:pt idx="0">
                        <c:v>Успорен раст након 2027, фискална експанзија</c:v>
                      </c:pt>
                    </c:strCache>
                  </c:strRef>
                </c:tx>
                <c:spPr>
                  <a:ln w="34925"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a:solidFill>
                        <a:schemeClr val="accent4"/>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dLbls>
                  <c:dLbl>
                    <c:idx val="0"/>
                    <c:delete val="1"/>
                    <c:extLst>
                      <c:ext uri="{CE6537A1-D6FC-4f65-9D91-7224C49458BB}"/>
                      <c:ext xmlns:c16="http://schemas.microsoft.com/office/drawing/2014/chart" uri="{C3380CC4-5D6E-409C-BE32-E72D297353CC}">
                        <c16:uniqueId val="{00000027-05A1-4F29-B833-F9552996C1D0}"/>
                      </c:ext>
                    </c:extLst>
                  </c:dLbl>
                  <c:dLbl>
                    <c:idx val="1"/>
                    <c:delete val="1"/>
                    <c:extLst>
                      <c:ext uri="{CE6537A1-D6FC-4f65-9D91-7224C49458BB}"/>
                      <c:ext xmlns:c16="http://schemas.microsoft.com/office/drawing/2014/chart" uri="{C3380CC4-5D6E-409C-BE32-E72D297353CC}">
                        <c16:uniqueId val="{00000028-05A1-4F29-B833-F9552996C1D0}"/>
                      </c:ext>
                    </c:extLst>
                  </c:dLbl>
                  <c:dLbl>
                    <c:idx val="2"/>
                    <c:delete val="1"/>
                    <c:extLst>
                      <c:ext uri="{CE6537A1-D6FC-4f65-9D91-7224C49458BB}"/>
                      <c:ext xmlns:c16="http://schemas.microsoft.com/office/drawing/2014/chart" uri="{C3380CC4-5D6E-409C-BE32-E72D297353CC}">
                        <c16:uniqueId val="{00000029-05A1-4F29-B833-F9552996C1D0}"/>
                      </c:ext>
                    </c:extLst>
                  </c:dLbl>
                  <c:dLbl>
                    <c:idx val="3"/>
                    <c:delete val="1"/>
                    <c:extLst>
                      <c:ext uri="{CE6537A1-D6FC-4f65-9D91-7224C49458BB}"/>
                      <c:ext xmlns:c16="http://schemas.microsoft.com/office/drawing/2014/chart" uri="{C3380CC4-5D6E-409C-BE32-E72D297353CC}">
                        <c16:uniqueId val="{0000002A-05A1-4F29-B833-F9552996C1D0}"/>
                      </c:ext>
                    </c:extLst>
                  </c:dLbl>
                  <c:dLbl>
                    <c:idx val="4"/>
                    <c:delete val="1"/>
                    <c:extLst>
                      <c:ext uri="{CE6537A1-D6FC-4f65-9D91-7224C49458BB}"/>
                      <c:ext xmlns:c16="http://schemas.microsoft.com/office/drawing/2014/chart" uri="{C3380CC4-5D6E-409C-BE32-E72D297353CC}">
                        <c16:uniqueId val="{0000002B-05A1-4F29-B833-F9552996C1D0}"/>
                      </c:ext>
                    </c:extLst>
                  </c:dLbl>
                  <c:dLbl>
                    <c:idx val="5"/>
                    <c:delete val="1"/>
                    <c:extLst>
                      <c:ext uri="{CE6537A1-D6FC-4f65-9D91-7224C49458BB}"/>
                      <c:ext xmlns:c16="http://schemas.microsoft.com/office/drawing/2014/chart" uri="{C3380CC4-5D6E-409C-BE32-E72D297353CC}">
                        <c16:uniqueId val="{0000002C-05A1-4F29-B833-F9552996C1D0}"/>
                      </c:ext>
                    </c:extLst>
                  </c:dLbl>
                  <c:dLbl>
                    <c:idx val="6"/>
                    <c:delete val="1"/>
                    <c:extLst>
                      <c:ext uri="{CE6537A1-D6FC-4f65-9D91-7224C49458BB}"/>
                      <c:ext xmlns:c16="http://schemas.microsoft.com/office/drawing/2014/chart" uri="{C3380CC4-5D6E-409C-BE32-E72D297353CC}">
                        <c16:uniqueId val="{0000002D-05A1-4F29-B833-F9552996C1D0}"/>
                      </c:ext>
                    </c:extLst>
                  </c:dLbl>
                  <c:dLbl>
                    <c:idx val="7"/>
                    <c:delete val="1"/>
                    <c:extLst>
                      <c:ext uri="{CE6537A1-D6FC-4f65-9D91-7224C49458BB}"/>
                      <c:ext xmlns:c16="http://schemas.microsoft.com/office/drawing/2014/chart" uri="{C3380CC4-5D6E-409C-BE32-E72D297353CC}">
                        <c16:uniqueId val="{0000002E-05A1-4F29-B833-F9552996C1D0}"/>
                      </c:ext>
                    </c:extLst>
                  </c:dLbl>
                  <c:dLbl>
                    <c:idx val="8"/>
                    <c:delete val="1"/>
                    <c:extLst>
                      <c:ext uri="{CE6537A1-D6FC-4f65-9D91-7224C49458BB}"/>
                      <c:ext xmlns:c16="http://schemas.microsoft.com/office/drawing/2014/chart" uri="{C3380CC4-5D6E-409C-BE32-E72D297353CC}">
                        <c16:uniqueId val="{0000002F-05A1-4F29-B833-F9552996C1D0}"/>
                      </c:ext>
                    </c:extLst>
                  </c:dLbl>
                  <c:dLbl>
                    <c:idx val="9"/>
                    <c:layout>
                      <c:manualLayout>
                        <c:x val="-1.015228426395939E-2"/>
                        <c:y val="-4.3062184733381789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0-05A1-4F29-B833-F9552996C1D0}"/>
                      </c:ext>
                    </c:extLst>
                  </c:dLbl>
                  <c:dLbl>
                    <c:idx val="11"/>
                    <c:delete val="1"/>
                    <c:extLst>
                      <c:ext uri="{CE6537A1-D6FC-4f65-9D91-7224C49458BB}"/>
                      <c:ext xmlns:c16="http://schemas.microsoft.com/office/drawing/2014/chart" uri="{C3380CC4-5D6E-409C-BE32-E72D297353CC}">
                        <c16:uniqueId val="{00000031-05A1-4F29-B833-F9552996C1D0}"/>
                      </c:ext>
                    </c:extLst>
                  </c:dLbl>
                  <c:dLbl>
                    <c:idx val="12"/>
                    <c:delete val="1"/>
                    <c:extLst>
                      <c:ext uri="{CE6537A1-D6FC-4f65-9D91-7224C49458BB}"/>
                      <c:ext xmlns:c16="http://schemas.microsoft.com/office/drawing/2014/chart" uri="{C3380CC4-5D6E-409C-BE32-E72D297353CC}">
                        <c16:uniqueId val="{00000032-05A1-4F29-B833-F9552996C1D0}"/>
                      </c:ext>
                    </c:extLst>
                  </c:dLbl>
                  <c:dLbl>
                    <c:idx val="13"/>
                    <c:layout>
                      <c:manualLayout>
                        <c:x val="-7.4257428637148227E-3"/>
                        <c:y val="-5.7416246311176233E-3"/>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3-05A1-4F29-B833-F9552996C1D0}"/>
                      </c:ext>
                    </c:extLst>
                  </c:dLbl>
                  <c:dLbl>
                    <c:idx val="14"/>
                    <c:layout>
                      <c:manualLayout>
                        <c:x val="-1.6042785477262247E-2"/>
                        <c:y val="-3.609927015045152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4-05A1-4F29-B833-F9552996C1D0}"/>
                      </c:ext>
                    </c:extLst>
                  </c:dLbl>
                  <c:dLbl>
                    <c:idx val="15"/>
                    <c:delete val="1"/>
                    <c:extLst>
                      <c:ext uri="{CE6537A1-D6FC-4f65-9D91-7224C49458BB}"/>
                      <c:ext xmlns:c16="http://schemas.microsoft.com/office/drawing/2014/chart" uri="{C3380CC4-5D6E-409C-BE32-E72D297353CC}">
                        <c16:uniqueId val="{00000035-05A1-4F29-B833-F9552996C1D0}"/>
                      </c:ext>
                    </c:extLst>
                  </c:dLbl>
                  <c:dLbl>
                    <c:idx val="16"/>
                    <c:delete val="1"/>
                    <c:extLst>
                      <c:ext uri="{CE6537A1-D6FC-4f65-9D91-7224C49458BB}"/>
                      <c:ext xmlns:c16="http://schemas.microsoft.com/office/drawing/2014/chart" uri="{C3380CC4-5D6E-409C-BE32-E72D297353CC}">
                        <c16:uniqueId val="{00000036-05A1-4F29-B833-F9552996C1D0}"/>
                      </c:ext>
                    </c:extLst>
                  </c:dLbl>
                  <c:dLbl>
                    <c:idx val="17"/>
                    <c:layout>
                      <c:manualLayout>
                        <c:x val="-2.4170619721703136E-2"/>
                        <c:y val="-3.910754266298915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7-05A1-4F29-B833-F9552996C1D0}"/>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'Сценарио 1'!$C$33:$M$33</c15:sqref>
                        </c15:formulaRef>
                      </c:ext>
                    </c:extLst>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extLst>
                      <c:ext uri="{02D57815-91ED-43cb-92C2-25804820EDAC}">
                        <c15:formulaRef>
                          <c15:sqref>'manje prilg + manji rast'!$C$39:$J$39</c15:sqref>
                        </c15:formulaRef>
                      </c:ext>
                    </c:extLst>
                    <c:numCache>
                      <c:formatCode>#,##0.0</c:formatCode>
                      <c:ptCount val="8"/>
                      <c:pt idx="0">
                        <c:v>48.386002589188038</c:v>
                      </c:pt>
                      <c:pt idx="1">
                        <c:v>47.858964621404702</c:v>
                      </c:pt>
                      <c:pt idx="2">
                        <c:v>47.497657706772344</c:v>
                      </c:pt>
                      <c:pt idx="3">
                        <c:v>46.960300779916849</c:v>
                      </c:pt>
                      <c:pt idx="4">
                        <c:v>46.539196865895306</c:v>
                      </c:pt>
                      <c:pt idx="5">
                        <c:v>54.26381498229695</c:v>
                      </c:pt>
                      <c:pt idx="6">
                        <c:v>55.038015066807205</c:v>
                      </c:pt>
                      <c:pt idx="7">
                        <c:v>54.062361705964896</c:v>
                      </c:pt>
                    </c:numCache>
                  </c:numRef>
                </c:val>
                <c:smooth val="1"/>
                <c:extLst>
                  <c:ext xmlns:c16="http://schemas.microsoft.com/office/drawing/2014/chart" uri="{C3380CC4-5D6E-409C-BE32-E72D297353CC}">
                    <c16:uniqueId val="{00000038-05A1-4F29-B833-F9552996C1D0}"/>
                  </c:ext>
                </c:extLst>
              </c15:ser>
            </c15:filteredLineSeries>
          </c:ext>
        </c:extLst>
      </c:lineChart>
      <c:catAx>
        <c:axId val="248069424"/>
        <c:scaling>
          <c:orientation val="minMax"/>
        </c:scaling>
        <c:delete val="0"/>
        <c:axPos val="b"/>
        <c:majorGridlines>
          <c:spPr>
            <a:ln w="9525" cap="flat" cmpd="sng" algn="ctr">
              <a:noFill/>
              <a:round/>
            </a:ln>
            <a:effectLst/>
          </c:spPr>
        </c:maj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crossAx val="248068304"/>
        <c:crosses val="autoZero"/>
        <c:auto val="1"/>
        <c:lblAlgn val="ctr"/>
        <c:lblOffset val="100"/>
        <c:noMultiLvlLbl val="0"/>
      </c:catAx>
      <c:valAx>
        <c:axId val="248068304"/>
        <c:scaling>
          <c:orientation val="minMax"/>
          <c:max val="65"/>
          <c:min val="4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latin typeface="+mn-lt"/>
                  </a:rPr>
                  <a:t>% </a:t>
                </a:r>
                <a:r>
                  <a:rPr lang="en-US" sz="700">
                    <a:latin typeface="+mn-lt"/>
                  </a:rPr>
                  <a:t> </a:t>
                </a:r>
                <a:r>
                  <a:rPr lang="sr-Cyrl-RS" sz="700">
                    <a:latin typeface="+mn-lt"/>
                  </a:rPr>
                  <a:t>БДП </a:t>
                </a:r>
                <a:endParaRPr lang="en-US" sz="700">
                  <a:latin typeface="+mn-lt"/>
                </a:endParaRPr>
              </a:p>
            </c:rich>
          </c:tx>
          <c:layout>
            <c:manualLayout>
              <c:xMode val="edge"/>
              <c:yMode val="edge"/>
              <c:x val="7.0927748614756495E-2"/>
              <c:y val="0.40197795275590559"/>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248069424"/>
        <c:crosses val="autoZero"/>
        <c:crossBetween val="between"/>
        <c:majorUnit val="5"/>
      </c:valAx>
      <c:valAx>
        <c:axId val="1433710720"/>
        <c:scaling>
          <c:orientation val="minMax"/>
          <c:min val="0"/>
        </c:scaling>
        <c:delete val="1"/>
        <c:axPos val="r"/>
        <c:numFmt formatCode="#,##0.0" sourceLinked="1"/>
        <c:majorTickMark val="out"/>
        <c:minorTickMark val="none"/>
        <c:tickLblPos val="nextTo"/>
        <c:crossAx val="1433716128"/>
        <c:crosses val="max"/>
        <c:crossBetween val="between"/>
      </c:valAx>
      <c:catAx>
        <c:axId val="1433716128"/>
        <c:scaling>
          <c:orientation val="minMax"/>
        </c:scaling>
        <c:delete val="1"/>
        <c:axPos val="b"/>
        <c:numFmt formatCode="General" sourceLinked="1"/>
        <c:majorTickMark val="out"/>
        <c:minorTickMark val="none"/>
        <c:tickLblPos val="nextTo"/>
        <c:crossAx val="1433710720"/>
        <c:crosses val="autoZero"/>
        <c:auto val="1"/>
        <c:lblAlgn val="ctr"/>
        <c:lblOffset val="100"/>
        <c:noMultiLvlLbl val="0"/>
      </c:catAx>
      <c:spPr>
        <a:noFill/>
        <a:ln>
          <a:noFill/>
        </a:ln>
        <a:effectLst/>
      </c:spPr>
    </c:plotArea>
    <c:legend>
      <c:legendPos val="b"/>
      <c:layout>
        <c:manualLayout>
          <c:xMode val="edge"/>
          <c:yMode val="edge"/>
          <c:x val="7.7850593548902836E-2"/>
          <c:y val="0.85774184893554983"/>
          <c:w val="0.9"/>
          <c:h val="0.1255983668708078"/>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mj-lt"/>
        </a:defRPr>
      </a:pPr>
      <a:endParaRPr lang="sr-Latn-RS"/>
    </a:p>
  </c:txPr>
  <c:externalData r:id="rId4">
    <c:autoUpdate val="0"/>
  </c:externalData>
  <c:userShapes r:id="rId5"/>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252053796081997E-2"/>
          <c:y val="0"/>
          <c:w val="0.90916365972175073"/>
          <c:h val="0.66222099966761805"/>
        </c:manualLayout>
      </c:layout>
      <c:barChart>
        <c:barDir val="col"/>
        <c:grouping val="stacked"/>
        <c:varyColors val="0"/>
        <c:ser>
          <c:idx val="0"/>
          <c:order val="0"/>
          <c:tx>
            <c:strRef>
              <c:f>ucesce!$A$5</c:f>
              <c:strCache>
                <c:ptCount val="1"/>
                <c:pt idx="0">
                  <c:v>Директне обавезе</c:v>
                </c:pt>
              </c:strCache>
            </c:strRef>
          </c:tx>
          <c:spPr>
            <a:solidFill>
              <a:srgbClr val="10103C"/>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2024/VIII</c:v>
                </c:pt>
              </c:strCache>
            </c:strRef>
          </c:cat>
          <c:val>
            <c:numRef>
              <c:f>ucesce!$B$5:$E$5</c:f>
              <c:numCache>
                <c:formatCode>0.0%</c:formatCode>
                <c:ptCount val="4"/>
                <c:pt idx="0">
                  <c:v>0.51409816907463657</c:v>
                </c:pt>
                <c:pt idx="1">
                  <c:v>0.49988437039083106</c:v>
                </c:pt>
                <c:pt idx="2">
                  <c:v>0.45627787291838562</c:v>
                </c:pt>
                <c:pt idx="3">
                  <c:v>0.44238236749999998</c:v>
                </c:pt>
              </c:numCache>
            </c:numRef>
          </c:val>
          <c:extLst>
            <c:ext xmlns:c16="http://schemas.microsoft.com/office/drawing/2014/chart" uri="{C3380CC4-5D6E-409C-BE32-E72D297353CC}">
              <c16:uniqueId val="{00000000-6BA3-41ED-B582-D74DFDC85420}"/>
            </c:ext>
          </c:extLst>
        </c:ser>
        <c:ser>
          <c:idx val="1"/>
          <c:order val="1"/>
          <c:tx>
            <c:strRef>
              <c:f>ucesce!$A$6</c:f>
              <c:strCache>
                <c:ptCount val="1"/>
                <c:pt idx="0">
                  <c:v>Индиректне обавезе</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2024/VIII</c:v>
                </c:pt>
              </c:strCache>
            </c:strRef>
          </c:cat>
          <c:val>
            <c:numRef>
              <c:f>ucesce!$B$6:$E$6</c:f>
              <c:numCache>
                <c:formatCode>0.0%</c:formatCode>
                <c:ptCount val="4"/>
                <c:pt idx="0">
                  <c:v>2.4713810557896475E-2</c:v>
                </c:pt>
                <c:pt idx="1">
                  <c:v>2.431687002690424E-2</c:v>
                </c:pt>
                <c:pt idx="2">
                  <c:v>2.4132748215509627E-2</c:v>
                </c:pt>
                <c:pt idx="3">
                  <c:v>2.1416627399999999E-2</c:v>
                </c:pt>
              </c:numCache>
            </c:numRef>
          </c:val>
          <c:extLst>
            <c:ext xmlns:c16="http://schemas.microsoft.com/office/drawing/2014/chart" uri="{C3380CC4-5D6E-409C-BE32-E72D297353CC}">
              <c16:uniqueId val="{00000001-6BA3-41ED-B582-D74DFDC85420}"/>
            </c:ext>
          </c:extLst>
        </c:ser>
        <c:ser>
          <c:idx val="2"/>
          <c:order val="2"/>
          <c:tx>
            <c:strRef>
              <c:f>ucesce!$A$7</c:f>
              <c:strCache>
                <c:ptCount val="1"/>
                <c:pt idx="0">
                  <c:v>Негарантовани дуг јединица локалне самоуправе, ЈП Путеви Србије и Коридори Србије д.о.о.</c:v>
                </c:pt>
              </c:strCache>
            </c:strRef>
          </c:tx>
          <c:spPr>
            <a:solidFill>
              <a:srgbClr val="51BBE7">
                <a:alpha val="50000"/>
              </a:srgbClr>
            </a:solidFill>
            <a:ln>
              <a:noFill/>
            </a:ln>
            <a:effectLst/>
          </c:spPr>
          <c:invertIfNegative val="0"/>
          <c:dLbls>
            <c:dLbl>
              <c:idx val="0"/>
              <c:layout>
                <c:manualLayout>
                  <c:x val="-2.8032302694319029E-17"/>
                  <c:y val="-2.830189380030056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BA3-41ED-B582-D74DFDC85420}"/>
                </c:ext>
              </c:extLst>
            </c:dLbl>
            <c:dLbl>
              <c:idx val="1"/>
              <c:layout>
                <c:manualLayout>
                  <c:x val="-3.0581047119132925E-3"/>
                  <c:y val="-3.773585840040073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BA3-41ED-B582-D74DFDC85420}"/>
                </c:ext>
              </c:extLst>
            </c:dLbl>
            <c:dLbl>
              <c:idx val="2"/>
              <c:layout>
                <c:manualLayout>
                  <c:x val="0"/>
                  <c:y val="-3.144654866700061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BA3-41ED-B582-D74DFDC85420}"/>
                </c:ext>
              </c:extLst>
            </c:dLbl>
            <c:dLbl>
              <c:idx val="3"/>
              <c:layout>
                <c:manualLayout>
                  <c:x val="0"/>
                  <c:y val="-2.830189380030057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BA3-41ED-B582-D74DFDC85420}"/>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2"/>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2024/VIII</c:v>
                </c:pt>
              </c:strCache>
            </c:strRef>
          </c:cat>
          <c:val>
            <c:numRef>
              <c:f>ucesce!$B$7:$E$7</c:f>
              <c:numCache>
                <c:formatCode>0.0%</c:formatCode>
                <c:ptCount val="4"/>
                <c:pt idx="0">
                  <c:v>5.8583974426564414E-3</c:v>
                </c:pt>
                <c:pt idx="1">
                  <c:v>4.8149284076456217E-3</c:v>
                </c:pt>
                <c:pt idx="2">
                  <c:v>3.4494047579849882E-3</c:v>
                </c:pt>
                <c:pt idx="3">
                  <c:v>3.118451032394211E-3</c:v>
                </c:pt>
              </c:numCache>
            </c:numRef>
          </c:val>
          <c:extLst>
            <c:ext xmlns:c16="http://schemas.microsoft.com/office/drawing/2014/chart" uri="{C3380CC4-5D6E-409C-BE32-E72D297353CC}">
              <c16:uniqueId val="{00000006-6BA3-41ED-B582-D74DFDC85420}"/>
            </c:ext>
          </c:extLst>
        </c:ser>
        <c:dLbls>
          <c:dLblPos val="ctr"/>
          <c:showLegendKey val="0"/>
          <c:showVal val="1"/>
          <c:showCatName val="0"/>
          <c:showSerName val="0"/>
          <c:showPercent val="0"/>
          <c:showBubbleSize val="0"/>
        </c:dLbls>
        <c:gapWidth val="79"/>
        <c:overlap val="100"/>
        <c:axId val="244077856"/>
        <c:axId val="244088736"/>
      </c:barChart>
      <c:catAx>
        <c:axId val="24407785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rgbClr val="44546A"/>
                </a:solidFill>
                <a:latin typeface="+mn-lt"/>
                <a:ea typeface="+mn-ea"/>
                <a:cs typeface="+mn-cs"/>
              </a:defRPr>
            </a:pPr>
            <a:endParaRPr lang="sr-Latn-RS"/>
          </a:p>
        </c:txPr>
        <c:crossAx val="244088736"/>
        <c:crosses val="autoZero"/>
        <c:auto val="1"/>
        <c:lblAlgn val="ctr"/>
        <c:lblOffset val="100"/>
        <c:noMultiLvlLbl val="0"/>
      </c:catAx>
      <c:valAx>
        <c:axId val="244088736"/>
        <c:scaling>
          <c:orientation val="minMax"/>
          <c:max val="0.75000000000000011"/>
          <c:min val="0"/>
        </c:scaling>
        <c:delete val="1"/>
        <c:axPos val="l"/>
        <c:numFmt formatCode="0%" sourceLinked="0"/>
        <c:majorTickMark val="none"/>
        <c:minorTickMark val="none"/>
        <c:tickLblPos val="nextTo"/>
        <c:crossAx val="244077856"/>
        <c:crosses val="autoZero"/>
        <c:crossBetween val="between"/>
      </c:valAx>
      <c:spPr>
        <a:noFill/>
        <a:ln>
          <a:noFill/>
        </a:ln>
        <a:effectLst/>
      </c:spPr>
    </c:plotArea>
    <c:legend>
      <c:legendPos val="t"/>
      <c:layout>
        <c:manualLayout>
          <c:xMode val="edge"/>
          <c:yMode val="edge"/>
          <c:x val="0"/>
          <c:y val="0.76272897705968568"/>
          <c:w val="0.98266107645635203"/>
          <c:h val="0.20324201838114284"/>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289336635108885E-2"/>
          <c:y val="7.4689633864290325E-2"/>
          <c:w val="0.91606508156755739"/>
          <c:h val="0.71178888783480376"/>
        </c:manualLayout>
      </c:layout>
      <c:barChart>
        <c:barDir val="col"/>
        <c:grouping val="stacked"/>
        <c:varyColors val="0"/>
        <c:ser>
          <c:idx val="0"/>
          <c:order val="0"/>
          <c:tx>
            <c:strRef>
              <c:f>valutna!$A$5</c:f>
              <c:strCache>
                <c:ptCount val="1"/>
                <c:pt idx="0">
                  <c:v>EUR</c:v>
                </c:pt>
              </c:strCache>
            </c:strRef>
          </c:tx>
          <c:spPr>
            <a:solidFill>
              <a:srgbClr val="10103C"/>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2024/VIII</c:v>
                </c:pt>
              </c:strCache>
            </c:strRef>
          </c:cat>
          <c:val>
            <c:numRef>
              <c:f>valutna!$B$5:$E$5</c:f>
              <c:numCache>
                <c:formatCode>0.0%</c:formatCode>
                <c:ptCount val="4"/>
                <c:pt idx="0">
                  <c:v>0.58070343168642191</c:v>
                </c:pt>
                <c:pt idx="1">
                  <c:v>0.56122306338579264</c:v>
                </c:pt>
                <c:pt idx="2">
                  <c:v>0.57957374469545864</c:v>
                </c:pt>
                <c:pt idx="3">
                  <c:v>0.58664322819123782</c:v>
                </c:pt>
              </c:numCache>
            </c:numRef>
          </c:val>
          <c:extLst>
            <c:ext xmlns:c16="http://schemas.microsoft.com/office/drawing/2014/chart" uri="{C3380CC4-5D6E-409C-BE32-E72D297353CC}">
              <c16:uniqueId val="{00000000-B759-49BE-9635-F9DA70B28482}"/>
            </c:ext>
          </c:extLst>
        </c:ser>
        <c:ser>
          <c:idx val="1"/>
          <c:order val="1"/>
          <c:tx>
            <c:strRef>
              <c:f>valutna!$A$6</c:f>
              <c:strCache>
                <c:ptCount val="1"/>
                <c:pt idx="0">
                  <c:v>USD</c:v>
                </c:pt>
              </c:strCache>
            </c:strRef>
          </c:tx>
          <c:spPr>
            <a:solidFill>
              <a:srgbClr val="002060"/>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2024/VIII</c:v>
                </c:pt>
              </c:strCache>
            </c:strRef>
          </c:cat>
          <c:val>
            <c:numRef>
              <c:f>valutna!$B$6:$E$6</c:f>
              <c:numCache>
                <c:formatCode>0.0%</c:formatCode>
                <c:ptCount val="4"/>
                <c:pt idx="0">
                  <c:v>0.10724614446641026</c:v>
                </c:pt>
                <c:pt idx="1">
                  <c:v>0.14174924728991847</c:v>
                </c:pt>
                <c:pt idx="2">
                  <c:v>0.13312620372269271</c:v>
                </c:pt>
                <c:pt idx="3">
                  <c:v>0.12851311013585381</c:v>
                </c:pt>
              </c:numCache>
            </c:numRef>
          </c:val>
          <c:extLst>
            <c:ext xmlns:c16="http://schemas.microsoft.com/office/drawing/2014/chart" uri="{C3380CC4-5D6E-409C-BE32-E72D297353CC}">
              <c16:uniqueId val="{00000001-B759-49BE-9635-F9DA70B28482}"/>
            </c:ext>
          </c:extLst>
        </c:ser>
        <c:ser>
          <c:idx val="2"/>
          <c:order val="2"/>
          <c:tx>
            <c:strRef>
              <c:f>valutna!$A$7</c:f>
              <c:strCache>
                <c:ptCount val="1"/>
                <c:pt idx="0">
                  <c:v>RSD</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2024/VIII</c:v>
                </c:pt>
              </c:strCache>
            </c:strRef>
          </c:cat>
          <c:val>
            <c:numRef>
              <c:f>valutna!$B$7:$E$7</c:f>
              <c:numCache>
                <c:formatCode>0.0%</c:formatCode>
                <c:ptCount val="4"/>
                <c:pt idx="0">
                  <c:v>0.28279889544694981</c:v>
                </c:pt>
                <c:pt idx="1">
                  <c:v>0.24970540543766942</c:v>
                </c:pt>
                <c:pt idx="2">
                  <c:v>0.21547101425767157</c:v>
                </c:pt>
                <c:pt idx="3">
                  <c:v>0.21786405295424718</c:v>
                </c:pt>
              </c:numCache>
            </c:numRef>
          </c:val>
          <c:extLst>
            <c:ext xmlns:c16="http://schemas.microsoft.com/office/drawing/2014/chart" uri="{C3380CC4-5D6E-409C-BE32-E72D297353CC}">
              <c16:uniqueId val="{00000002-B759-49BE-9635-F9DA70B28482}"/>
            </c:ext>
          </c:extLst>
        </c:ser>
        <c:ser>
          <c:idx val="3"/>
          <c:order val="3"/>
          <c:tx>
            <c:strRef>
              <c:f>valutna!$A$8</c:f>
              <c:strCache>
                <c:ptCount val="1"/>
                <c:pt idx="0">
                  <c:v>SDR</c:v>
                </c:pt>
              </c:strCache>
            </c:strRef>
          </c:tx>
          <c:spPr>
            <a:solidFill>
              <a:srgbClr val="51BBE7"/>
            </a:solidFill>
            <a:ln>
              <a:noFill/>
            </a:ln>
            <a:effectLst/>
          </c:spPr>
          <c:invertIfNegative val="0"/>
          <c:dLbls>
            <c:dLbl>
              <c:idx val="1"/>
              <c:layout>
                <c:manualLayout>
                  <c:x val="0"/>
                  <c:y val="2.409638554216867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759-49BE-9635-F9DA70B28482}"/>
                </c:ext>
              </c:extLst>
            </c:dLbl>
            <c:dLbl>
              <c:idx val="2"/>
              <c:layout>
                <c:manualLayout>
                  <c:x val="4.5392646391283781E-3"/>
                  <c:y val="4.016064257028112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759-49BE-9635-F9DA70B28482}"/>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2021</c:v>
                </c:pt>
                <c:pt idx="1">
                  <c:v>2022</c:v>
                </c:pt>
                <c:pt idx="2">
                  <c:v>2023</c:v>
                </c:pt>
                <c:pt idx="3">
                  <c:v>2024/VIII</c:v>
                </c:pt>
              </c:strCache>
            </c:strRef>
          </c:cat>
          <c:val>
            <c:numRef>
              <c:f>valutna!$B$8:$E$8</c:f>
              <c:numCache>
                <c:formatCode>0.0%</c:formatCode>
                <c:ptCount val="4"/>
                <c:pt idx="0">
                  <c:v>1.9290279679134919E-2</c:v>
                </c:pt>
                <c:pt idx="1">
                  <c:v>3.9562422778152417E-2</c:v>
                </c:pt>
                <c:pt idx="2">
                  <c:v>6.6201702735121284E-2</c:v>
                </c:pt>
                <c:pt idx="3">
                  <c:v>6.2693485029577709E-2</c:v>
                </c:pt>
              </c:numCache>
            </c:numRef>
          </c:val>
          <c:extLst>
            <c:ext xmlns:c16="http://schemas.microsoft.com/office/drawing/2014/chart" uri="{C3380CC4-5D6E-409C-BE32-E72D297353CC}">
              <c16:uniqueId val="{00000005-B759-49BE-9635-F9DA70B28482}"/>
            </c:ext>
          </c:extLst>
        </c:ser>
        <c:ser>
          <c:idx val="4"/>
          <c:order val="4"/>
          <c:tx>
            <c:strRef>
              <c:f>valutna!$A$9</c:f>
              <c:strCache>
                <c:ptCount val="1"/>
                <c:pt idx="0">
                  <c:v>Остале валуте</c:v>
                </c:pt>
              </c:strCache>
            </c:strRef>
          </c:tx>
          <c:spPr>
            <a:solidFill>
              <a:srgbClr val="C9E4EB"/>
            </a:solidFill>
            <a:ln>
              <a:noFill/>
            </a:ln>
            <a:effectLst/>
          </c:spPr>
          <c:invertIfNegative val="0"/>
          <c:dLbls>
            <c:dLbl>
              <c:idx val="0"/>
              <c:numFmt formatCode="0.0%" sourceLinked="0"/>
              <c:spPr>
                <a:noFill/>
                <a:ln>
                  <a:noFill/>
                </a:ln>
                <a:effectLst/>
              </c:spPr>
              <c:txPr>
                <a:bodyPr rot="0" spcFirstLastPara="1" vertOverflow="ellipsis" horzOverflow="clip" vert="horz" wrap="square" lIns="38100" tIns="19050" rIns="38100" bIns="19050" anchor="ctr" anchorCtr="1">
                  <a:no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6-B759-49BE-9635-F9DA70B28482}"/>
                </c:ext>
              </c:extLst>
            </c:dLbl>
            <c:dLbl>
              <c:idx val="1"/>
              <c:layout>
                <c:manualLayout>
                  <c:x val="4.6296296296295869E-3"/>
                  <c:y val="-1.909992958197298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759-49BE-9635-F9DA70B28482}"/>
                </c:ext>
              </c:extLst>
            </c:dLbl>
            <c:dLbl>
              <c:idx val="2"/>
              <c:layout>
                <c:manualLayout>
                  <c:x val="-8.3218890365632274E-17"/>
                  <c:y val="-8.650033203680863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759-49BE-9635-F9DA70B28482}"/>
                </c:ext>
              </c:extLst>
            </c:dLbl>
            <c:dLbl>
              <c:idx val="3"/>
              <c:layout>
                <c:manualLayout>
                  <c:x val="-1.6643778073126455E-16"/>
                  <c:y val="-2.273598330329190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759-49BE-9635-F9DA70B28482}"/>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2021</c:v>
                </c:pt>
                <c:pt idx="1">
                  <c:v>2022</c:v>
                </c:pt>
                <c:pt idx="2">
                  <c:v>2023</c:v>
                </c:pt>
                <c:pt idx="3">
                  <c:v>2024/VIII</c:v>
                </c:pt>
              </c:strCache>
            </c:strRef>
          </c:cat>
          <c:val>
            <c:numRef>
              <c:f>valutna!$B$9:$E$9</c:f>
              <c:numCache>
                <c:formatCode>0.0%</c:formatCode>
                <c:ptCount val="4"/>
                <c:pt idx="0">
                  <c:v>9.9612487210832441E-3</c:v>
                </c:pt>
                <c:pt idx="1">
                  <c:v>7.7598611084669349E-3</c:v>
                </c:pt>
                <c:pt idx="2">
                  <c:v>5.6273345890558444E-3</c:v>
                </c:pt>
                <c:pt idx="3">
                  <c:v>4.2861236890834294E-3</c:v>
                </c:pt>
              </c:numCache>
            </c:numRef>
          </c:val>
          <c:extLst>
            <c:ext xmlns:c16="http://schemas.microsoft.com/office/drawing/2014/chart" uri="{C3380CC4-5D6E-409C-BE32-E72D297353CC}">
              <c16:uniqueId val="{0000000A-B759-49BE-9635-F9DA70B28482}"/>
            </c:ext>
          </c:extLst>
        </c:ser>
        <c:dLbls>
          <c:dLblPos val="ctr"/>
          <c:showLegendKey val="0"/>
          <c:showVal val="1"/>
          <c:showCatName val="0"/>
          <c:showSerName val="0"/>
          <c:showPercent val="0"/>
          <c:showBubbleSize val="0"/>
        </c:dLbls>
        <c:gapWidth val="79"/>
        <c:overlap val="100"/>
        <c:axId val="244059360"/>
        <c:axId val="244059904"/>
      </c:barChart>
      <c:catAx>
        <c:axId val="244059360"/>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2"/>
                </a:solidFill>
                <a:latin typeface="+mn-lt"/>
                <a:ea typeface="+mn-ea"/>
                <a:cs typeface="+mn-cs"/>
              </a:defRPr>
            </a:pPr>
            <a:endParaRPr lang="sr-Latn-RS"/>
          </a:p>
        </c:txPr>
        <c:crossAx val="244059904"/>
        <c:crosses val="autoZero"/>
        <c:auto val="1"/>
        <c:lblAlgn val="ctr"/>
        <c:lblOffset val="100"/>
        <c:noMultiLvlLbl val="0"/>
      </c:catAx>
      <c:valAx>
        <c:axId val="244059904"/>
        <c:scaling>
          <c:orientation val="minMax"/>
          <c:max val="1"/>
          <c:min val="0"/>
        </c:scaling>
        <c:delete val="1"/>
        <c:axPos val="l"/>
        <c:numFmt formatCode="0%" sourceLinked="0"/>
        <c:majorTickMark val="none"/>
        <c:minorTickMark val="none"/>
        <c:tickLblPos val="nextTo"/>
        <c:crossAx val="244059360"/>
        <c:crosses val="autoZero"/>
        <c:crossBetween val="between"/>
      </c:valAx>
      <c:spPr>
        <a:noFill/>
        <a:ln>
          <a:noFill/>
        </a:ln>
        <a:effectLst/>
      </c:spPr>
    </c:plotArea>
    <c:legend>
      <c:legendPos val="t"/>
      <c:layout>
        <c:manualLayout>
          <c:xMode val="edge"/>
          <c:yMode val="edge"/>
          <c:x val="0.20007148448250597"/>
          <c:y val="0.91044274071004283"/>
          <c:w val="0.69327573636628759"/>
          <c:h val="4.4164415256261261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137E-2"/>
          <c:y val="0.11697286155107009"/>
          <c:w val="0.92201738463599303"/>
          <c:h val="0.69105764014135107"/>
        </c:manualLayout>
      </c:layout>
      <c:barChart>
        <c:barDir val="col"/>
        <c:grouping val="stacked"/>
        <c:varyColors val="0"/>
        <c:ser>
          <c:idx val="0"/>
          <c:order val="0"/>
          <c:tx>
            <c:strRef>
              <c:f>kamatna!$A$5</c:f>
              <c:strCache>
                <c:ptCount val="1"/>
                <c:pt idx="0">
                  <c:v>Фиксне каматне стопе</c:v>
                </c:pt>
              </c:strCache>
            </c:strRef>
          </c:tx>
          <c:spPr>
            <a:solidFill>
              <a:srgbClr val="002060"/>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2021</c:v>
                </c:pt>
                <c:pt idx="1">
                  <c:v>2022</c:v>
                </c:pt>
                <c:pt idx="2">
                  <c:v>2023</c:v>
                </c:pt>
                <c:pt idx="3">
                  <c:v>2024/VIII</c:v>
                </c:pt>
              </c:strCache>
            </c:strRef>
          </c:cat>
          <c:val>
            <c:numRef>
              <c:f>kamatna!$B$5:$E$5</c:f>
              <c:numCache>
                <c:formatCode>0.0%</c:formatCode>
                <c:ptCount val="4"/>
                <c:pt idx="0">
                  <c:v>0.85813723844161272</c:v>
                </c:pt>
                <c:pt idx="1">
                  <c:v>0.81661435297172802</c:v>
                </c:pt>
                <c:pt idx="2">
                  <c:v>0.72240891395082141</c:v>
                </c:pt>
                <c:pt idx="3">
                  <c:v>0.72463475323025839</c:v>
                </c:pt>
              </c:numCache>
            </c:numRef>
          </c:val>
          <c:extLst>
            <c:ext xmlns:c16="http://schemas.microsoft.com/office/drawing/2014/chart" uri="{C3380CC4-5D6E-409C-BE32-E72D297353CC}">
              <c16:uniqueId val="{00000000-B323-4F54-B5FB-6047CCEB0ADB}"/>
            </c:ext>
          </c:extLst>
        </c:ser>
        <c:ser>
          <c:idx val="1"/>
          <c:order val="1"/>
          <c:tx>
            <c:strRef>
              <c:f>kamatna!$A$6</c:f>
              <c:strCache>
                <c:ptCount val="1"/>
                <c:pt idx="0">
                  <c:v>Варијабилне каматне стопе</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2021</c:v>
                </c:pt>
                <c:pt idx="1">
                  <c:v>2022</c:v>
                </c:pt>
                <c:pt idx="2">
                  <c:v>2023</c:v>
                </c:pt>
                <c:pt idx="3">
                  <c:v>2024/VIII</c:v>
                </c:pt>
              </c:strCache>
            </c:strRef>
          </c:cat>
          <c:val>
            <c:numRef>
              <c:f>kamatna!$B$6:$E$6</c:f>
              <c:numCache>
                <c:formatCode>0.0%</c:formatCode>
                <c:ptCount val="4"/>
                <c:pt idx="0">
                  <c:v>0.14186276155838728</c:v>
                </c:pt>
                <c:pt idx="1">
                  <c:v>0.18338564702827198</c:v>
                </c:pt>
                <c:pt idx="2">
                  <c:v>0.27759108604917854</c:v>
                </c:pt>
                <c:pt idx="3">
                  <c:v>0.27536524676974178</c:v>
                </c:pt>
              </c:numCache>
            </c:numRef>
          </c:val>
          <c:extLst>
            <c:ext xmlns:c16="http://schemas.microsoft.com/office/drawing/2014/chart" uri="{C3380CC4-5D6E-409C-BE32-E72D297353CC}">
              <c16:uniqueId val="{00000001-B323-4F54-B5FB-6047CCEB0ADB}"/>
            </c:ext>
          </c:extLst>
        </c:ser>
        <c:dLbls>
          <c:dLblPos val="ctr"/>
          <c:showLegendKey val="0"/>
          <c:showVal val="1"/>
          <c:showCatName val="0"/>
          <c:showSerName val="0"/>
          <c:showPercent val="0"/>
          <c:showBubbleSize val="0"/>
        </c:dLbls>
        <c:gapWidth val="79"/>
        <c:overlap val="100"/>
        <c:axId val="244061536"/>
        <c:axId val="244062080"/>
      </c:barChart>
      <c:catAx>
        <c:axId val="24406153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800" b="0" i="0" u="none" strike="noStrike" kern="1200" cap="all" spc="120" normalizeH="0" baseline="0">
                <a:solidFill>
                  <a:schemeClr val="tx2"/>
                </a:solidFill>
                <a:latin typeface="+mn-lt"/>
                <a:ea typeface="+mn-ea"/>
                <a:cs typeface="+mn-cs"/>
              </a:defRPr>
            </a:pPr>
            <a:endParaRPr lang="sr-Latn-RS"/>
          </a:p>
        </c:txPr>
        <c:crossAx val="244062080"/>
        <c:crosses val="autoZero"/>
        <c:auto val="1"/>
        <c:lblAlgn val="ctr"/>
        <c:lblOffset val="100"/>
        <c:noMultiLvlLbl val="0"/>
      </c:catAx>
      <c:valAx>
        <c:axId val="244062080"/>
        <c:scaling>
          <c:orientation val="minMax"/>
          <c:max val="1"/>
          <c:min val="0"/>
        </c:scaling>
        <c:delete val="1"/>
        <c:axPos val="l"/>
        <c:numFmt formatCode="0%" sourceLinked="0"/>
        <c:majorTickMark val="none"/>
        <c:minorTickMark val="none"/>
        <c:tickLblPos val="nextTo"/>
        <c:crossAx val="244061536"/>
        <c:crosses val="autoZero"/>
        <c:crossBetween val="between"/>
      </c:valAx>
      <c:spPr>
        <a:noFill/>
        <a:ln w="25400">
          <a:noFill/>
        </a:ln>
        <a:effectLst/>
      </c:spPr>
    </c:plotArea>
    <c:legend>
      <c:legendPos val="t"/>
      <c:layout>
        <c:manualLayout>
          <c:xMode val="edge"/>
          <c:yMode val="edge"/>
          <c:x val="7.915879265091863E-2"/>
          <c:y val="0.93890499194846999"/>
          <c:w val="0.8083490813648293"/>
          <c:h val="6.0789430306718906E-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47013702710755"/>
          <c:y val="0.1159364568431092"/>
          <c:w val="0.7124333482275842"/>
          <c:h val="0.65796894188418298"/>
        </c:manualLayout>
      </c:layout>
      <c:scatterChart>
        <c:scatterStyle val="lineMarker"/>
        <c:varyColors val="0"/>
        <c:ser>
          <c:idx val="0"/>
          <c:order val="0"/>
          <c:tx>
            <c:strRef>
              <c:f>'3Y_OUTPUT'!$C$123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4.2278996717422966E-3"/>
                  <c:y val="1.2394070391751676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CA91-43F6-9B0F-505FDDCED791}"/>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'3Y_OUTPUT'!$C$129</c:f>
              <c:numCache>
                <c:formatCode>0.0</c:formatCode>
                <c:ptCount val="1"/>
                <c:pt idx="0">
                  <c:v>5.1901983561213356</c:v>
                </c:pt>
              </c:numCache>
            </c:numRef>
          </c:xVal>
          <c:yVal>
            <c:numRef>
              <c:f>'3Y_OUTPUT'!$C$124</c:f>
              <c:numCache>
                <c:formatCode>0.0</c:formatCode>
                <c:ptCount val="1"/>
                <c:pt idx="0">
                  <c:v>46.027897070498234</c:v>
                </c:pt>
              </c:numCache>
            </c:numRef>
          </c:yVal>
          <c:smooth val="0"/>
          <c:extLst>
            <c:ext xmlns:c16="http://schemas.microsoft.com/office/drawing/2014/chart" uri="{C3380CC4-5D6E-409C-BE32-E72D297353CC}">
              <c16:uniqueId val="{00000001-CA91-43F6-9B0F-505FDDCED791}"/>
            </c:ext>
          </c:extLst>
        </c:ser>
        <c:ser>
          <c:idx val="1"/>
          <c:order val="1"/>
          <c:tx>
            <c:strRef>
              <c:f>'3Y_OUTPUT'!$D$123</c:f>
              <c:strCache>
                <c:ptCount val="1"/>
                <c:pt idx="0">
                  <c:v>C2</c:v>
                </c:pt>
              </c:strCache>
            </c:strRef>
          </c:tx>
          <c:spPr>
            <a:ln w="127000" cap="flat" cmpd="dbl" algn="ctr">
              <a:solidFill>
                <a:srgbClr val="00B050">
                  <a:alpha val="50000"/>
                </a:srgbClr>
              </a:solidFill>
              <a:round/>
            </a:ln>
            <a:effectLst/>
          </c:spPr>
          <c:marker>
            <c:symbol val="circle"/>
            <c:size val="10"/>
            <c:spPr>
              <a:solidFill>
                <a:srgbClr val="00B050"/>
              </a:solidFill>
              <a:ln w="9525" cap="flat" cmpd="dbl" algn="ctr">
                <a:solidFill>
                  <a:srgbClr val="00B05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'3Y_OUTPUT'!$D$129</c:f>
              <c:numCache>
                <c:formatCode>0.00</c:formatCode>
                <c:ptCount val="1"/>
                <c:pt idx="0">
                  <c:v>5.6565792889834583</c:v>
                </c:pt>
              </c:numCache>
            </c:numRef>
          </c:xVal>
          <c:yVal>
            <c:numRef>
              <c:f>'3Y_OUTPUT'!$D$124</c:f>
              <c:numCache>
                <c:formatCode>0.0</c:formatCode>
                <c:ptCount val="1"/>
                <c:pt idx="0">
                  <c:v>46.364125590351009</c:v>
                </c:pt>
              </c:numCache>
            </c:numRef>
          </c:yVal>
          <c:smooth val="0"/>
          <c:extLst>
            <c:ext xmlns:c16="http://schemas.microsoft.com/office/drawing/2014/chart" uri="{C3380CC4-5D6E-409C-BE32-E72D297353CC}">
              <c16:uniqueId val="{00000002-CA91-43F6-9B0F-505FDDCED791}"/>
            </c:ext>
          </c:extLst>
        </c:ser>
        <c:ser>
          <c:idx val="2"/>
          <c:order val="2"/>
          <c:tx>
            <c:strRef>
              <c:f>'3Y_OUTPUT'!$E$123</c:f>
              <c:strCache>
                <c:ptCount val="1"/>
                <c:pt idx="0">
                  <c:v>C3</c:v>
                </c:pt>
              </c:strCache>
            </c:strRef>
          </c:tx>
          <c:spPr>
            <a:ln w="127000" cap="flat" cmpd="dbl" algn="ctr">
              <a:solidFill>
                <a:srgbClr val="9BBB59">
                  <a:alpha val="50000"/>
                </a:srgbClr>
              </a:solidFill>
              <a:round/>
            </a:ln>
            <a:effectLst/>
          </c:spPr>
          <c:marker>
            <c:symbol val="circle"/>
            <c:size val="10"/>
            <c:spPr>
              <a:solidFill>
                <a:srgbClr val="7030A0"/>
              </a:solidFill>
              <a:ln w="9525" cap="flat" cmpd="dbl" algn="ctr">
                <a:solidFill>
                  <a:srgbClr val="7030A0">
                    <a:alpha val="70000"/>
                  </a:srgbClr>
                </a:solidFill>
                <a:round/>
              </a:ln>
              <a:effectLst/>
            </c:spPr>
          </c:marker>
          <c:dLbls>
            <c:dLbl>
              <c:idx val="0"/>
              <c:layout>
                <c:manualLayout>
                  <c:x val="1.8112480988097867E-4"/>
                  <c:y val="2.0671791853244248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3-CA91-43F6-9B0F-505FDDCED791}"/>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'3Y_OUTPUT'!$E$129</c:f>
              <c:numCache>
                <c:formatCode>0.00</c:formatCode>
                <c:ptCount val="1"/>
                <c:pt idx="0">
                  <c:v>5.6206336713145788</c:v>
                </c:pt>
              </c:numCache>
            </c:numRef>
          </c:xVal>
          <c:yVal>
            <c:numRef>
              <c:f>'3Y_OUTPUT'!$E$124</c:f>
              <c:numCache>
                <c:formatCode>0.0</c:formatCode>
                <c:ptCount val="1"/>
                <c:pt idx="0">
                  <c:v>46.098278708330739</c:v>
                </c:pt>
              </c:numCache>
            </c:numRef>
          </c:yVal>
          <c:smooth val="0"/>
          <c:extLst>
            <c:ext xmlns:c16="http://schemas.microsoft.com/office/drawing/2014/chart" uri="{C3380CC4-5D6E-409C-BE32-E72D297353CC}">
              <c16:uniqueId val="{00000004-CA91-43F6-9B0F-505FDDCED791}"/>
            </c:ext>
          </c:extLst>
        </c:ser>
        <c:ser>
          <c:idx val="3"/>
          <c:order val="3"/>
          <c:tx>
            <c:strRef>
              <c:f>'3Y_OUTPUT'!$F$123</c:f>
              <c:strCache>
                <c:ptCount val="1"/>
                <c:pt idx="0">
                  <c:v>C4</c:v>
                </c:pt>
              </c:strCache>
            </c:strRef>
          </c:tx>
          <c:spPr>
            <a:ln w="25400" cap="flat" cmpd="dbl" algn="ctr">
              <a:noFill/>
              <a:round/>
            </a:ln>
            <a:effectLst/>
          </c:spPr>
          <c:marker>
            <c:symbol val="circle"/>
            <c:size val="10"/>
            <c:spPr>
              <a:solidFill>
                <a:srgbClr val="1F497D">
                  <a:alpha val="98000"/>
                </a:srgbClr>
              </a:solidFill>
              <a:ln w="9525" cap="flat" cmpd="dbl" algn="ctr">
                <a:solidFill>
                  <a:srgbClr val="1F497D">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'3Y_OUTPUT'!$F$129</c:f>
              <c:numCache>
                <c:formatCode>0.0</c:formatCode>
                <c:ptCount val="1"/>
                <c:pt idx="0">
                  <c:v>4.5682438078709851</c:v>
                </c:pt>
              </c:numCache>
            </c:numRef>
          </c:xVal>
          <c:yVal>
            <c:numRef>
              <c:f>'3Y_OUTPUT'!$F$124</c:f>
              <c:numCache>
                <c:formatCode>0.0</c:formatCode>
                <c:ptCount val="1"/>
                <c:pt idx="0">
                  <c:v>46.180609376294584</c:v>
                </c:pt>
              </c:numCache>
            </c:numRef>
          </c:yVal>
          <c:smooth val="0"/>
          <c:extLst>
            <c:ext xmlns:c16="http://schemas.microsoft.com/office/drawing/2014/chart" uri="{C3380CC4-5D6E-409C-BE32-E72D297353CC}">
              <c16:uniqueId val="{00000005-CA91-43F6-9B0F-505FDDCED791}"/>
            </c:ext>
          </c:extLst>
        </c:ser>
        <c:dLbls>
          <c:showLegendKey val="0"/>
          <c:showVal val="0"/>
          <c:showCatName val="0"/>
          <c:showSerName val="0"/>
          <c:showPercent val="0"/>
          <c:showBubbleSize val="0"/>
        </c:dLbls>
        <c:axId val="253667200"/>
        <c:axId val="253681664"/>
      </c:scatterChart>
      <c:valAx>
        <c:axId val="253667200"/>
        <c:scaling>
          <c:orientation val="minMax"/>
          <c:max val="6"/>
          <c:min val="4.5"/>
        </c:scaling>
        <c:delete val="0"/>
        <c:axPos val="b"/>
        <c:majorGridlines>
          <c:spPr>
            <a:ln w="9525" cap="flat" cmpd="sng" algn="ctr">
              <a:noFill/>
              <a:round/>
            </a:ln>
            <a:effectLst/>
          </c:spPr>
        </c:majorGridlines>
        <c:minorGridlines>
          <c:spPr>
            <a:ln w="9525" cap="flat" cmpd="sng" algn="ctr">
              <a:noFill/>
              <a:round/>
            </a:ln>
            <a:effectLst/>
          </c:spPr>
        </c:minorGridlines>
        <c:title>
          <c:tx>
            <c:rich>
              <a:bodyPr rot="0" vert="horz"/>
              <a:lstStyle/>
              <a:p>
                <a:pPr>
                  <a:defRPr>
                    <a:solidFill>
                      <a:schemeClr val="accent1">
                        <a:lumMod val="75000"/>
                      </a:schemeClr>
                    </a:solidFill>
                    <a:latin typeface="Calibri" panose="020F0502020204030204" pitchFamily="34" charset="0"/>
                    <a:cs typeface="Calibri" panose="020F0502020204030204" pitchFamily="34" charset="0"/>
                  </a:defRPr>
                </a:pPr>
                <a:r>
                  <a:rPr lang="sr-Cyrl-BA">
                    <a:solidFill>
                      <a:schemeClr val="accent1">
                        <a:lumMod val="75000"/>
                      </a:schemeClr>
                    </a:solidFill>
                    <a:latin typeface="Calibri" panose="020F0502020204030204" pitchFamily="34" charset="0"/>
                    <a:cs typeface="Calibri" panose="020F0502020204030204" pitchFamily="34" charset="0"/>
                  </a:rPr>
                  <a:t>Ризик</a:t>
                </a:r>
              </a:p>
            </c:rich>
          </c:tx>
          <c:layout>
            <c:manualLayout>
              <c:xMode val="edge"/>
              <c:yMode val="edge"/>
              <c:x val="0.4712499835945263"/>
              <c:y val="0.935530611677861"/>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accent1">
                    <a:lumMod val="75000"/>
                  </a:schemeClr>
                </a:solidFill>
                <a:latin typeface="Calibri" panose="020F0502020204030204" pitchFamily="34" charset="0"/>
                <a:cs typeface="Calibri" panose="020F0502020204030204" pitchFamily="34" charset="0"/>
              </a:defRPr>
            </a:pPr>
            <a:endParaRPr lang="sr-Latn-RS"/>
          </a:p>
        </c:txPr>
        <c:crossAx val="253681664"/>
        <c:crosses val="autoZero"/>
        <c:crossBetween val="midCat"/>
        <c:majorUnit val="0.5"/>
        <c:minorUnit val="0.1"/>
      </c:valAx>
      <c:valAx>
        <c:axId val="253681664"/>
        <c:scaling>
          <c:orientation val="minMax"/>
          <c:max val="46.5"/>
          <c:min val="45.5"/>
        </c:scaling>
        <c:delete val="0"/>
        <c:axPos val="l"/>
        <c:majorGridlines>
          <c:spPr>
            <a:ln w="9525" cap="flat" cmpd="sng" algn="ctr">
              <a:noFill/>
              <a:round/>
            </a:ln>
            <a:effectLst/>
          </c:spPr>
        </c:majorGridlines>
        <c:minorGridlines>
          <c:spPr>
            <a:ln w="9525" cap="flat" cmpd="sng" algn="ctr">
              <a:noFill/>
              <a:round/>
            </a:ln>
            <a:effectLst/>
          </c:spPr>
        </c:minorGridlines>
        <c:title>
          <c:tx>
            <c:rich>
              <a:bodyPr rot="-5400000" vert="horz"/>
              <a:lstStyle/>
              <a:p>
                <a:pPr>
                  <a:defRPr>
                    <a:solidFill>
                      <a:schemeClr val="accent1">
                        <a:lumMod val="75000"/>
                      </a:schemeClr>
                    </a:solidFill>
                    <a:latin typeface="Calibri" panose="020F0502020204030204" pitchFamily="34" charset="0"/>
                    <a:cs typeface="Calibri" panose="020F0502020204030204" pitchFamily="34" charset="0"/>
                  </a:defRPr>
                </a:pPr>
                <a:r>
                  <a:rPr lang="sr-Cyrl-BA">
                    <a:solidFill>
                      <a:schemeClr val="accent1">
                        <a:lumMod val="75000"/>
                      </a:schemeClr>
                    </a:solidFill>
                    <a:latin typeface="Calibri" panose="020F0502020204030204" pitchFamily="34" charset="0"/>
                    <a:cs typeface="Calibri" panose="020F0502020204030204" pitchFamily="34" charset="0"/>
                  </a:rPr>
                  <a:t>Трошкови (%)</a:t>
                </a:r>
              </a:p>
            </c:rich>
          </c:tx>
          <c:layout>
            <c:manualLayout>
              <c:xMode val="edge"/>
              <c:yMode val="edge"/>
              <c:x val="4.2641600474437186E-3"/>
              <c:y val="0.32453201268393489"/>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accent1">
                    <a:lumMod val="75000"/>
                  </a:schemeClr>
                </a:solidFill>
                <a:latin typeface="Calibri" panose="020F0502020204030204" pitchFamily="34" charset="0"/>
                <a:cs typeface="Calibri" panose="020F0502020204030204" pitchFamily="34" charset="0"/>
              </a:defRPr>
            </a:pPr>
            <a:endParaRPr lang="sr-Latn-RS"/>
          </a:p>
        </c:txPr>
        <c:crossAx val="253667200"/>
        <c:crosses val="autoZero"/>
        <c:crossBetween val="midCat"/>
        <c:majorUnit val="0.5"/>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mbria" panose="02040503050406030204" pitchFamily="18" charset="0"/>
        </a:defRPr>
      </a:pPr>
      <a:endParaRPr lang="sr-Latn-RS"/>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632893952934166"/>
          <c:y val="8.3992045285606692E-2"/>
          <c:w val="0.73758452487339898"/>
          <c:h val="0.7112994754411065"/>
        </c:manualLayout>
      </c:layout>
      <c:scatterChart>
        <c:scatterStyle val="lineMarker"/>
        <c:varyColors val="0"/>
        <c:ser>
          <c:idx val="0"/>
          <c:order val="0"/>
          <c:tx>
            <c:strRef>
              <c:f>'3Y_OUTPUT'!$C$133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2.2716849319675124E-2"/>
                  <c:y val="0"/>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1637-4C81-91DA-0F325467E8B3}"/>
                </c:ext>
              </c:extLst>
            </c:dLbl>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'3Y_OUTPUT'!$C$139</c:f>
              <c:numCache>
                <c:formatCode>0.00</c:formatCode>
                <c:ptCount val="1"/>
                <c:pt idx="0">
                  <c:v>0.5916744569960386</c:v>
                </c:pt>
              </c:numCache>
            </c:numRef>
          </c:xVal>
          <c:yVal>
            <c:numRef>
              <c:f>'3Y_OUTPUT'!$C$134</c:f>
              <c:numCache>
                <c:formatCode>0.0</c:formatCode>
                <c:ptCount val="1"/>
                <c:pt idx="0">
                  <c:v>1.9510235157751183</c:v>
                </c:pt>
              </c:numCache>
            </c:numRef>
          </c:yVal>
          <c:smooth val="0"/>
          <c:extLst>
            <c:ext xmlns:c16="http://schemas.microsoft.com/office/drawing/2014/chart" uri="{C3380CC4-5D6E-409C-BE32-E72D297353CC}">
              <c16:uniqueId val="{00000001-1637-4C81-91DA-0F325467E8B3}"/>
            </c:ext>
          </c:extLst>
        </c:ser>
        <c:ser>
          <c:idx val="1"/>
          <c:order val="1"/>
          <c:tx>
            <c:strRef>
              <c:f>'3Y_OUTPUT'!$D$133</c:f>
              <c:strCache>
                <c:ptCount val="1"/>
                <c:pt idx="0">
                  <c:v>C2</c:v>
                </c:pt>
              </c:strCache>
            </c:strRef>
          </c:tx>
          <c:spPr>
            <a:ln w="25400" cap="flat" cmpd="dbl" algn="ctr">
              <a:noFill/>
              <a:round/>
            </a:ln>
            <a:effectLst/>
          </c:spPr>
          <c:marker>
            <c:symbol val="circle"/>
            <c:size val="10"/>
            <c:spPr>
              <a:solidFill>
                <a:srgbClr val="00B050"/>
              </a:solidFill>
              <a:ln w="34925" cap="flat" cmpd="dbl" algn="ctr">
                <a:no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'3Y_OUTPUT'!$D$139</c:f>
              <c:numCache>
                <c:formatCode>0.00</c:formatCode>
                <c:ptCount val="1"/>
                <c:pt idx="0">
                  <c:v>0.74322490090675464</c:v>
                </c:pt>
              </c:numCache>
            </c:numRef>
          </c:xVal>
          <c:yVal>
            <c:numRef>
              <c:f>'3Y_OUTPUT'!$D$134</c:f>
              <c:numCache>
                <c:formatCode>0.0</c:formatCode>
                <c:ptCount val="1"/>
                <c:pt idx="0">
                  <c:v>2.1842747615009173</c:v>
                </c:pt>
              </c:numCache>
            </c:numRef>
          </c:yVal>
          <c:smooth val="0"/>
          <c:extLst>
            <c:ext xmlns:c16="http://schemas.microsoft.com/office/drawing/2014/chart" uri="{C3380CC4-5D6E-409C-BE32-E72D297353CC}">
              <c16:uniqueId val="{00000002-1637-4C81-91DA-0F325467E8B3}"/>
            </c:ext>
          </c:extLst>
        </c:ser>
        <c:ser>
          <c:idx val="2"/>
          <c:order val="2"/>
          <c:tx>
            <c:strRef>
              <c:f>'3Y_OUTPUT'!$E$133</c:f>
              <c:strCache>
                <c:ptCount val="1"/>
                <c:pt idx="0">
                  <c:v>C3</c:v>
                </c:pt>
              </c:strCache>
            </c:strRef>
          </c:tx>
          <c:spPr>
            <a:ln w="25400" cap="flat" cmpd="dbl" algn="ctr">
              <a:solidFill>
                <a:schemeClr val="accent3">
                  <a:alpha val="50000"/>
                </a:schemeClr>
              </a:solidFill>
              <a:round/>
            </a:ln>
            <a:effectLst/>
          </c:spPr>
          <c:marker>
            <c:symbol val="circle"/>
            <c:size val="10"/>
            <c:spPr>
              <a:solidFill>
                <a:srgbClr val="7030A0"/>
              </a:solidFill>
              <a:ln w="9525" cap="flat" cmpd="dbl" algn="ctr">
                <a:solidFill>
                  <a:srgbClr val="7030A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'3Y_OUTPUT'!$E$139</c:f>
              <c:numCache>
                <c:formatCode>0.00</c:formatCode>
                <c:ptCount val="1"/>
                <c:pt idx="0">
                  <c:v>0.73545404491229638</c:v>
                </c:pt>
              </c:numCache>
            </c:numRef>
          </c:xVal>
          <c:yVal>
            <c:numRef>
              <c:f>'3Y_OUTPUT'!$E$134</c:f>
              <c:numCache>
                <c:formatCode>0.0</c:formatCode>
                <c:ptCount val="1"/>
                <c:pt idx="0">
                  <c:v>2.004699923292212</c:v>
                </c:pt>
              </c:numCache>
            </c:numRef>
          </c:yVal>
          <c:smooth val="0"/>
          <c:extLst>
            <c:ext xmlns:c16="http://schemas.microsoft.com/office/drawing/2014/chart" uri="{C3380CC4-5D6E-409C-BE32-E72D297353CC}">
              <c16:uniqueId val="{00000003-1637-4C81-91DA-0F325467E8B3}"/>
            </c:ext>
          </c:extLst>
        </c:ser>
        <c:ser>
          <c:idx val="3"/>
          <c:order val="3"/>
          <c:tx>
            <c:strRef>
              <c:f>'3Y_OUTPUT'!$F$133</c:f>
              <c:strCache>
                <c:ptCount val="1"/>
                <c:pt idx="0">
                  <c:v>C4</c:v>
                </c:pt>
              </c:strCache>
            </c:strRef>
          </c:tx>
          <c:spPr>
            <a:ln w="25400" cap="flat" cmpd="dbl" algn="ctr">
              <a:solidFill>
                <a:schemeClr val="accent4">
                  <a:alpha val="50000"/>
                </a:schemeClr>
              </a:solidFill>
              <a:round/>
            </a:ln>
            <a:effectLst/>
          </c:spPr>
          <c:marker>
            <c:symbol val="circle"/>
            <c:size val="10"/>
            <c:spPr>
              <a:solidFill>
                <a:srgbClr val="0070C0"/>
              </a:solidFill>
              <a:ln w="9525" cap="flat" cmpd="dbl" algn="ctr">
                <a:solidFill>
                  <a:srgbClr val="0070C0">
                    <a:alpha val="70000"/>
                  </a:srgbClr>
                </a:solidFill>
                <a:round/>
              </a:ln>
              <a:effectLst/>
            </c:spPr>
          </c:marker>
          <c:dLbls>
            <c:spPr>
              <a:noFill/>
              <a:ln>
                <a:noFill/>
              </a:ln>
              <a:effectLst/>
            </c:spPr>
            <c:txPr>
              <a:bodyPr rot="0" vert="horz"/>
              <a:lstStyle/>
              <a:p>
                <a:pPr>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'3Y_OUTPUT'!$F$139</c:f>
              <c:numCache>
                <c:formatCode>0.00</c:formatCode>
                <c:ptCount val="1"/>
                <c:pt idx="0">
                  <c:v>0.8969056113481626</c:v>
                </c:pt>
              </c:numCache>
            </c:numRef>
          </c:xVal>
          <c:yVal>
            <c:numRef>
              <c:f>'3Y_OUTPUT'!$F$134</c:f>
              <c:numCache>
                <c:formatCode>0.0</c:formatCode>
                <c:ptCount val="1"/>
                <c:pt idx="0">
                  <c:v>2.0509041729099549</c:v>
                </c:pt>
              </c:numCache>
            </c:numRef>
          </c:yVal>
          <c:smooth val="0"/>
          <c:extLst>
            <c:ext xmlns:c16="http://schemas.microsoft.com/office/drawing/2014/chart" uri="{C3380CC4-5D6E-409C-BE32-E72D297353CC}">
              <c16:uniqueId val="{00000004-1637-4C81-91DA-0F325467E8B3}"/>
            </c:ext>
          </c:extLst>
        </c:ser>
        <c:dLbls>
          <c:showLegendKey val="0"/>
          <c:showVal val="0"/>
          <c:showCatName val="0"/>
          <c:showSerName val="0"/>
          <c:showPercent val="0"/>
          <c:showBubbleSize val="0"/>
        </c:dLbls>
        <c:axId val="253612416"/>
        <c:axId val="253614336"/>
      </c:scatterChart>
      <c:valAx>
        <c:axId val="253612416"/>
        <c:scaling>
          <c:orientation val="minMax"/>
          <c:max val="0.95000000000000007"/>
          <c:min val="0.55000000000000004"/>
        </c:scaling>
        <c:delete val="0"/>
        <c:axPos val="b"/>
        <c:majorGridlines>
          <c:spPr>
            <a:ln w="9525" cap="flat" cmpd="sng" algn="ctr">
              <a:noFill/>
              <a:prstDash val="dash"/>
              <a:round/>
            </a:ln>
            <a:effectLst/>
          </c:spPr>
        </c:majorGridlines>
        <c:minorGridlines>
          <c:spPr>
            <a:ln w="9525" cap="flat" cmpd="sng" algn="ctr">
              <a:solidFill>
                <a:sysClr val="window" lastClr="FFFFFF"/>
              </a:solidFill>
              <a:round/>
            </a:ln>
            <a:effectLst/>
          </c:spPr>
        </c:minorGridlines>
        <c:title>
          <c:tx>
            <c:rich>
              <a:bodyPr rot="0" vert="horz"/>
              <a:lstStyle/>
              <a:p>
                <a:pPr>
                  <a:defRPr>
                    <a:solidFill>
                      <a:schemeClr val="accent1">
                        <a:lumMod val="75000"/>
                      </a:schemeClr>
                    </a:solidFill>
                  </a:defRPr>
                </a:pPr>
                <a:r>
                  <a:rPr lang="sr-Cyrl-RS">
                    <a:solidFill>
                      <a:schemeClr val="accent1">
                        <a:lumMod val="75000"/>
                      </a:schemeClr>
                    </a:solidFill>
                  </a:rPr>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accent1">
                    <a:lumMod val="75000"/>
                  </a:schemeClr>
                </a:solidFill>
              </a:defRPr>
            </a:pPr>
            <a:endParaRPr lang="sr-Latn-RS"/>
          </a:p>
        </c:txPr>
        <c:crossAx val="253614336"/>
        <c:crosses val="autoZero"/>
        <c:crossBetween val="midCat"/>
      </c:valAx>
      <c:valAx>
        <c:axId val="253614336"/>
        <c:scaling>
          <c:orientation val="minMax"/>
          <c:max val="2.4"/>
          <c:min val="1.7500000000000002"/>
        </c:scaling>
        <c:delete val="0"/>
        <c:axPos val="l"/>
        <c:majorGridlines>
          <c:spPr>
            <a:ln w="9525" cap="flat" cmpd="sng" algn="ctr">
              <a:noFill/>
              <a:prstDash val="dash"/>
              <a:round/>
            </a:ln>
            <a:effectLst/>
          </c:spPr>
        </c:majorGridlines>
        <c:minorGridlines>
          <c:spPr>
            <a:ln w="9525" cap="flat" cmpd="sng" algn="ctr">
              <a:noFill/>
              <a:round/>
            </a:ln>
            <a:effectLst/>
          </c:spPr>
        </c:minorGridlines>
        <c:title>
          <c:tx>
            <c:rich>
              <a:bodyPr rot="-5400000" vert="horz"/>
              <a:lstStyle/>
              <a:p>
                <a:pPr>
                  <a:defRPr>
                    <a:solidFill>
                      <a:schemeClr val="accent5">
                        <a:lumMod val="50000"/>
                      </a:schemeClr>
                    </a:solidFill>
                  </a:defRPr>
                </a:pPr>
                <a:r>
                  <a:rPr lang="sr-Cyrl-CS">
                    <a:solidFill>
                      <a:schemeClr val="accent5">
                        <a:lumMod val="50000"/>
                      </a:schemeClr>
                    </a:solidFill>
                  </a:rPr>
                  <a:t>Трошкови (%)</a:t>
                </a:r>
              </a:p>
            </c:rich>
          </c:tx>
          <c:layout>
            <c:manualLayout>
              <c:xMode val="edge"/>
              <c:yMode val="edge"/>
              <c:x val="5.5101280905570449E-3"/>
              <c:y val="0.26999821173104432"/>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accent1">
                    <a:lumMod val="75000"/>
                  </a:schemeClr>
                </a:solidFill>
              </a:defRPr>
            </a:pPr>
            <a:endParaRPr lang="sr-Latn-RS"/>
          </a:p>
        </c:txPr>
        <c:crossAx val="253612416"/>
        <c:crosses val="autoZero"/>
        <c:crossBetween val="midCat"/>
        <c:majorUnit val="0.2"/>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libri" panose="020F0502020204030204" pitchFamily="34" charset="0"/>
          <a:cs typeface="Calibri" panose="020F0502020204030204" pitchFamily="34" charset="0"/>
        </a:defRPr>
      </a:pPr>
      <a:endParaRPr lang="sr-Latn-RS"/>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spPr>
            <a:ln w="28575" cap="rnd" cmpd="sng" algn="ctr">
              <a:solidFill>
                <a:schemeClr val="accent1">
                  <a:shade val="40000"/>
                  <a:shade val="95000"/>
                  <a:satMod val="105000"/>
                </a:schemeClr>
              </a:solidFill>
              <a:prstDash val="solid"/>
              <a:round/>
            </a:ln>
            <a:effectLst/>
          </c:spPr>
          <c:marker>
            <c:spPr>
              <a:solidFill>
                <a:schemeClr val="accent1">
                  <a:shade val="38000"/>
                </a:schemeClr>
              </a:solidFill>
              <a:ln w="9525" cap="flat" cmpd="sng" algn="ctr">
                <a:solidFill>
                  <a:schemeClr val="accent1">
                    <a:shade val="38000"/>
                    <a:shade val="95000"/>
                    <a:satMod val="105000"/>
                  </a:schemeClr>
                </a:solidFill>
                <a:prstDash val="solid"/>
                <a:round/>
              </a:ln>
              <a:effectLst/>
            </c:spPr>
          </c:marker>
          <c:dLbls>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kursa'!$H$50:$Q$50</c:f>
              <c:numCache>
                <c:formatCode>General</c:formatCode>
                <c:ptCount val="10"/>
                <c:pt idx="0">
                  <c:v>2017</c:v>
                </c:pt>
                <c:pt idx="1">
                  <c:v>2018</c:v>
                </c:pt>
                <c:pt idx="2">
                  <c:v>2019</c:v>
                </c:pt>
                <c:pt idx="3">
                  <c:v>2020</c:v>
                </c:pt>
                <c:pt idx="4">
                  <c:v>2021</c:v>
                </c:pt>
                <c:pt idx="5">
                  <c:v>2022</c:v>
                </c:pt>
                <c:pt idx="6">
                  <c:v>2023</c:v>
                </c:pt>
                <c:pt idx="7">
                  <c:v>2024</c:v>
                </c:pt>
                <c:pt idx="8">
                  <c:v>2025</c:v>
                </c:pt>
                <c:pt idx="9">
                  <c:v>2026</c:v>
                </c:pt>
              </c:numCache>
            </c:numRef>
          </c:val>
          <c:smooth val="0"/>
          <c:extLst>
            <c:ext xmlns:c16="http://schemas.microsoft.com/office/drawing/2014/chart" uri="{C3380CC4-5D6E-409C-BE32-E72D297353CC}">
              <c16:uniqueId val="{00000000-460B-4D39-989D-A1F224ABE93A}"/>
            </c:ext>
          </c:extLst>
        </c:ser>
        <c:ser>
          <c:idx val="1"/>
          <c:order val="1"/>
          <c:spPr>
            <a:ln w="28575" cap="rnd" cmpd="sng" algn="ctr">
              <a:solidFill>
                <a:schemeClr val="accent1">
                  <a:shade val="51000"/>
                  <a:shade val="95000"/>
                  <a:satMod val="105000"/>
                </a:schemeClr>
              </a:solidFill>
              <a:prstDash val="solid"/>
              <a:round/>
            </a:ln>
            <a:effectLst/>
          </c:spPr>
          <c:marker>
            <c:symbol val="diamond"/>
            <c:size val="10"/>
            <c:spPr>
              <a:solidFill>
                <a:schemeClr val="accent1">
                  <a:shade val="45000"/>
                </a:schemeClr>
              </a:solidFill>
              <a:ln w="9525" cap="flat" cmpd="sng" algn="ctr">
                <a:solidFill>
                  <a:schemeClr val="accent1">
                    <a:shade val="45000"/>
                    <a:shade val="95000"/>
                    <a:satMod val="105000"/>
                  </a:schemeClr>
                </a:solidFill>
                <a:prstDash val="solid"/>
                <a:round/>
              </a:ln>
              <a:effectLst/>
            </c:spPr>
          </c:marker>
          <c:dLbls>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kursa'!$H$51:$R$51</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47.458964621404704</c:v>
                </c:pt>
                <c:pt idx="8">
                  <c:v>46.997657706772344</c:v>
                </c:pt>
                <c:pt idx="9">
                  <c:v>46.460300779916849</c:v>
                </c:pt>
                <c:pt idx="10">
                  <c:v>46.039196865895306</c:v>
                </c:pt>
              </c:numCache>
            </c:numRef>
          </c:val>
          <c:smooth val="0"/>
          <c:extLst>
            <c:ext xmlns:c16="http://schemas.microsoft.com/office/drawing/2014/chart" uri="{C3380CC4-5D6E-409C-BE32-E72D297353CC}">
              <c16:uniqueId val="{00000001-460B-4D39-989D-A1F224ABE93A}"/>
            </c:ext>
          </c:extLst>
        </c:ser>
        <c:ser>
          <c:idx val="2"/>
          <c:order val="2"/>
          <c:spPr>
            <a:ln w="28575" cap="rnd" cmpd="sng" algn="ctr">
              <a:solidFill>
                <a:schemeClr val="accent1">
                  <a:shade val="62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kursa'!$H$52:$R$52</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48.208816262422893</c:v>
                </c:pt>
                <c:pt idx="8">
                  <c:v>47.749620230080701</c:v>
                </c:pt>
                <c:pt idx="9">
                  <c:v>47.203665592395524</c:v>
                </c:pt>
                <c:pt idx="10">
                  <c:v>46.766616176376445</c:v>
                </c:pt>
              </c:numCache>
            </c:numRef>
          </c:val>
          <c:smooth val="0"/>
          <c:extLst>
            <c:ext xmlns:c16="http://schemas.microsoft.com/office/drawing/2014/chart" uri="{C3380CC4-5D6E-409C-BE32-E72D297353CC}">
              <c16:uniqueId val="{00000002-460B-4D39-989D-A1F224ABE93A}"/>
            </c:ext>
          </c:extLst>
        </c:ser>
        <c:ser>
          <c:idx val="3"/>
          <c:order val="3"/>
          <c:spPr>
            <a:ln w="28575" cap="rnd" cmpd="sng" algn="ctr">
              <a:solidFill>
                <a:schemeClr val="accent1">
                  <a:shade val="7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kursa'!$H$53:$R$53</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48.958667903441096</c:v>
                </c:pt>
                <c:pt idx="8">
                  <c:v>48.501582753389059</c:v>
                </c:pt>
                <c:pt idx="9">
                  <c:v>47.947030404874191</c:v>
                </c:pt>
                <c:pt idx="10">
                  <c:v>47.494035486857591</c:v>
                </c:pt>
              </c:numCache>
            </c:numRef>
          </c:val>
          <c:smooth val="0"/>
          <c:extLst>
            <c:ext xmlns:c16="http://schemas.microsoft.com/office/drawing/2014/chart" uri="{C3380CC4-5D6E-409C-BE32-E72D297353CC}">
              <c16:uniqueId val="{00000003-460B-4D39-989D-A1F224ABE93A}"/>
            </c:ext>
          </c:extLst>
        </c:ser>
        <c:ser>
          <c:idx val="4"/>
          <c:order val="4"/>
          <c:spPr>
            <a:ln w="28575" cap="rnd" cmpd="sng" algn="ctr">
              <a:solidFill>
                <a:schemeClr val="accent1">
                  <a:shade val="8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kursa'!$H$54:$R$54</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49.708519544459293</c:v>
                </c:pt>
                <c:pt idx="8">
                  <c:v>49.253545276697416</c:v>
                </c:pt>
                <c:pt idx="9">
                  <c:v>48.690395217352858</c:v>
                </c:pt>
                <c:pt idx="10">
                  <c:v>48.221454797338751</c:v>
                </c:pt>
              </c:numCache>
            </c:numRef>
          </c:val>
          <c:smooth val="0"/>
          <c:extLst>
            <c:ext xmlns:c16="http://schemas.microsoft.com/office/drawing/2014/chart" uri="{C3380CC4-5D6E-409C-BE32-E72D297353CC}">
              <c16:uniqueId val="{00000004-460B-4D39-989D-A1F224ABE93A}"/>
            </c:ext>
          </c:extLst>
        </c:ser>
        <c:ser>
          <c:idx val="5"/>
          <c:order val="5"/>
          <c:spPr>
            <a:ln w="28575" cap="rnd" cmpd="sng" algn="ctr">
              <a:solidFill>
                <a:schemeClr val="accent1">
                  <a:shade val="9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kursa'!$H$55:$R$55</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50.458371185477482</c:v>
                </c:pt>
                <c:pt idx="8">
                  <c:v>50.00550780000578</c:v>
                </c:pt>
                <c:pt idx="9">
                  <c:v>49.433760029831539</c:v>
                </c:pt>
                <c:pt idx="10">
                  <c:v>48.94887410781989</c:v>
                </c:pt>
              </c:numCache>
            </c:numRef>
          </c:val>
          <c:smooth val="0"/>
          <c:extLst>
            <c:ext xmlns:c16="http://schemas.microsoft.com/office/drawing/2014/chart" uri="{C3380CC4-5D6E-409C-BE32-E72D297353CC}">
              <c16:uniqueId val="{00000005-460B-4D39-989D-A1F224ABE93A}"/>
            </c:ext>
          </c:extLst>
        </c:ser>
        <c:ser>
          <c:idx val="6"/>
          <c:order val="6"/>
          <c:spPr>
            <a:ln w="28575" cap="rnd" cmpd="sng" algn="ctr">
              <a:solidFill>
                <a:schemeClr val="accent1">
                  <a:tint val="95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6-460B-4D39-989D-A1F224ABE93A}"/>
                </c:ext>
              </c:extLst>
            </c:dLbl>
            <c:dLbl>
              <c:idx val="1"/>
              <c:delete val="1"/>
              <c:extLst>
                <c:ext xmlns:c15="http://schemas.microsoft.com/office/drawing/2012/chart" uri="{CE6537A1-D6FC-4f65-9D91-7224C49458BB}"/>
                <c:ext xmlns:c16="http://schemas.microsoft.com/office/drawing/2014/chart" uri="{C3380CC4-5D6E-409C-BE32-E72D297353CC}">
                  <c16:uniqueId val="{00000007-460B-4D39-989D-A1F224ABE93A}"/>
                </c:ext>
              </c:extLst>
            </c:dLbl>
            <c:dLbl>
              <c:idx val="2"/>
              <c:delete val="1"/>
              <c:extLst>
                <c:ext xmlns:c15="http://schemas.microsoft.com/office/drawing/2012/chart" uri="{CE6537A1-D6FC-4f65-9D91-7224C49458BB}"/>
                <c:ext xmlns:c16="http://schemas.microsoft.com/office/drawing/2014/chart" uri="{C3380CC4-5D6E-409C-BE32-E72D297353CC}">
                  <c16:uniqueId val="{00000008-460B-4D39-989D-A1F224ABE93A}"/>
                </c:ext>
              </c:extLst>
            </c:dLbl>
            <c:dLbl>
              <c:idx val="3"/>
              <c:delete val="1"/>
              <c:extLst>
                <c:ext xmlns:c15="http://schemas.microsoft.com/office/drawing/2012/chart" uri="{CE6537A1-D6FC-4f65-9D91-7224C49458BB}"/>
                <c:ext xmlns:c16="http://schemas.microsoft.com/office/drawing/2014/chart" uri="{C3380CC4-5D6E-409C-BE32-E72D297353CC}">
                  <c16:uniqueId val="{00000009-460B-4D39-989D-A1F224ABE93A}"/>
                </c:ext>
              </c:extLst>
            </c:dLbl>
            <c:dLbl>
              <c:idx val="4"/>
              <c:delete val="1"/>
              <c:extLst>
                <c:ext xmlns:c15="http://schemas.microsoft.com/office/drawing/2012/chart" uri="{CE6537A1-D6FC-4f65-9D91-7224C49458BB}"/>
                <c:ext xmlns:c16="http://schemas.microsoft.com/office/drawing/2014/chart" uri="{C3380CC4-5D6E-409C-BE32-E72D297353CC}">
                  <c16:uniqueId val="{0000000A-460B-4D39-989D-A1F224ABE93A}"/>
                </c:ext>
              </c:extLst>
            </c:dLbl>
            <c:dLbl>
              <c:idx val="5"/>
              <c:delete val="1"/>
              <c:extLst>
                <c:ext xmlns:c15="http://schemas.microsoft.com/office/drawing/2012/chart" uri="{CE6537A1-D6FC-4f65-9D91-7224C49458BB}"/>
                <c:ext xmlns:c16="http://schemas.microsoft.com/office/drawing/2014/chart" uri="{C3380CC4-5D6E-409C-BE32-E72D297353CC}">
                  <c16:uniqueId val="{0000000B-460B-4D39-989D-A1F224ABE93A}"/>
                </c:ext>
              </c:extLst>
            </c:dLbl>
            <c:dLbl>
              <c:idx val="6"/>
              <c:delete val="1"/>
              <c:extLst>
                <c:ext xmlns:c15="http://schemas.microsoft.com/office/drawing/2012/chart" uri="{CE6537A1-D6FC-4f65-9D91-7224C49458BB}"/>
                <c:ext xmlns:c16="http://schemas.microsoft.com/office/drawing/2014/chart" uri="{C3380CC4-5D6E-409C-BE32-E72D297353CC}">
                  <c16:uniqueId val="{0000000C-460B-4D39-989D-A1F224ABE93A}"/>
                </c:ext>
              </c:extLst>
            </c:dLbl>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kursa'!$H$56:$R$56</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51.208222826495678</c:v>
                </c:pt>
                <c:pt idx="8">
                  <c:v>50.757470323314138</c:v>
                </c:pt>
                <c:pt idx="9">
                  <c:v>50.177124842310214</c:v>
                </c:pt>
                <c:pt idx="10">
                  <c:v>49.676293418301029</c:v>
                </c:pt>
              </c:numCache>
            </c:numRef>
          </c:val>
          <c:smooth val="0"/>
          <c:extLst>
            <c:ext xmlns:c16="http://schemas.microsoft.com/office/drawing/2014/chart" uri="{C3380CC4-5D6E-409C-BE32-E72D297353CC}">
              <c16:uniqueId val="{0000000D-460B-4D39-989D-A1F224ABE93A}"/>
            </c:ext>
          </c:extLst>
        </c:ser>
        <c:ser>
          <c:idx val="7"/>
          <c:order val="7"/>
          <c:spPr>
            <a:ln w="28575" cap="rnd" cmpd="sng" algn="ctr">
              <a:solidFill>
                <a:schemeClr val="accent1">
                  <a:tint val="8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kursa'!$H$57:$R$57</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46.709112980386507</c:v>
                </c:pt>
                <c:pt idx="8">
                  <c:v>46.245695183463987</c:v>
                </c:pt>
                <c:pt idx="9">
                  <c:v>45.716935967438182</c:v>
                </c:pt>
                <c:pt idx="10">
                  <c:v>45.31177755541416</c:v>
                </c:pt>
              </c:numCache>
            </c:numRef>
          </c:val>
          <c:smooth val="0"/>
          <c:extLst>
            <c:ext xmlns:c16="http://schemas.microsoft.com/office/drawing/2014/chart" uri="{C3380CC4-5D6E-409C-BE32-E72D297353CC}">
              <c16:uniqueId val="{0000000E-460B-4D39-989D-A1F224ABE93A}"/>
            </c:ext>
          </c:extLst>
        </c:ser>
        <c:ser>
          <c:idx val="8"/>
          <c:order val="8"/>
          <c:spPr>
            <a:ln w="28575" cap="rnd" cmpd="sng" algn="ctr">
              <a:solidFill>
                <a:schemeClr val="accent1">
                  <a:tint val="7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kursa'!$H$58:$R$58</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45.959261339368304</c:v>
                </c:pt>
                <c:pt idx="8">
                  <c:v>45.493732660155629</c:v>
                </c:pt>
                <c:pt idx="9">
                  <c:v>44.973571154959515</c:v>
                </c:pt>
                <c:pt idx="10">
                  <c:v>44.584358244933007</c:v>
                </c:pt>
              </c:numCache>
            </c:numRef>
          </c:val>
          <c:smooth val="0"/>
          <c:extLst>
            <c:ext xmlns:c16="http://schemas.microsoft.com/office/drawing/2014/chart" uri="{C3380CC4-5D6E-409C-BE32-E72D297353CC}">
              <c16:uniqueId val="{0000000F-460B-4D39-989D-A1F224ABE93A}"/>
            </c:ext>
          </c:extLst>
        </c:ser>
        <c:ser>
          <c:idx val="9"/>
          <c:order val="9"/>
          <c:spPr>
            <a:ln w="28575" cap="rnd" cmpd="sng" algn="ctr">
              <a:solidFill>
                <a:schemeClr val="accent1">
                  <a:tint val="6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kursa'!$H$59:$R$59</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45.209409698350115</c:v>
                </c:pt>
                <c:pt idx="8">
                  <c:v>44.741770136847272</c:v>
                </c:pt>
                <c:pt idx="9">
                  <c:v>44.230206342480841</c:v>
                </c:pt>
                <c:pt idx="10">
                  <c:v>43.856938934451854</c:v>
                </c:pt>
              </c:numCache>
            </c:numRef>
          </c:val>
          <c:smooth val="0"/>
          <c:extLst>
            <c:ext xmlns:c16="http://schemas.microsoft.com/office/drawing/2014/chart" uri="{C3380CC4-5D6E-409C-BE32-E72D297353CC}">
              <c16:uniqueId val="{00000010-460B-4D39-989D-A1F224ABE93A}"/>
            </c:ext>
          </c:extLst>
        </c:ser>
        <c:ser>
          <c:idx val="10"/>
          <c:order val="10"/>
          <c:spPr>
            <a:ln w="28575" cap="rnd" cmpd="sng" algn="ctr">
              <a:solidFill>
                <a:schemeClr val="accent1">
                  <a:tint val="52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kursa'!$H$60:$R$60</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44.459558057331918</c:v>
                </c:pt>
                <c:pt idx="8">
                  <c:v>43.989807613538922</c:v>
                </c:pt>
                <c:pt idx="9">
                  <c:v>43.486841530002181</c:v>
                </c:pt>
                <c:pt idx="10">
                  <c:v>43.129519623970715</c:v>
                </c:pt>
              </c:numCache>
            </c:numRef>
          </c:val>
          <c:smooth val="0"/>
          <c:extLst>
            <c:ext xmlns:c16="http://schemas.microsoft.com/office/drawing/2014/chart" uri="{C3380CC4-5D6E-409C-BE32-E72D297353CC}">
              <c16:uniqueId val="{00000011-460B-4D39-989D-A1F224ABE93A}"/>
            </c:ext>
          </c:extLst>
        </c:ser>
        <c:ser>
          <c:idx val="11"/>
          <c:order val="11"/>
          <c:spPr>
            <a:ln w="28575" cap="rnd" cmpd="sng" algn="ctr">
              <a:solidFill>
                <a:schemeClr val="accent1">
                  <a:tint val="41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2-460B-4D39-989D-A1F224ABE93A}"/>
                </c:ext>
              </c:extLst>
            </c:dLbl>
            <c:dLbl>
              <c:idx val="1"/>
              <c:delete val="1"/>
              <c:extLst>
                <c:ext xmlns:c15="http://schemas.microsoft.com/office/drawing/2012/chart" uri="{CE6537A1-D6FC-4f65-9D91-7224C49458BB}"/>
                <c:ext xmlns:c16="http://schemas.microsoft.com/office/drawing/2014/chart" uri="{C3380CC4-5D6E-409C-BE32-E72D297353CC}">
                  <c16:uniqueId val="{00000013-460B-4D39-989D-A1F224ABE93A}"/>
                </c:ext>
              </c:extLst>
            </c:dLbl>
            <c:dLbl>
              <c:idx val="2"/>
              <c:delete val="1"/>
              <c:extLst>
                <c:ext xmlns:c15="http://schemas.microsoft.com/office/drawing/2012/chart" uri="{CE6537A1-D6FC-4f65-9D91-7224C49458BB}"/>
                <c:ext xmlns:c16="http://schemas.microsoft.com/office/drawing/2014/chart" uri="{C3380CC4-5D6E-409C-BE32-E72D297353CC}">
                  <c16:uniqueId val="{00000014-460B-4D39-989D-A1F224ABE93A}"/>
                </c:ext>
              </c:extLst>
            </c:dLbl>
            <c:dLbl>
              <c:idx val="3"/>
              <c:delete val="1"/>
              <c:extLst>
                <c:ext xmlns:c15="http://schemas.microsoft.com/office/drawing/2012/chart" uri="{CE6537A1-D6FC-4f65-9D91-7224C49458BB}"/>
                <c:ext xmlns:c16="http://schemas.microsoft.com/office/drawing/2014/chart" uri="{C3380CC4-5D6E-409C-BE32-E72D297353CC}">
                  <c16:uniqueId val="{00000015-460B-4D39-989D-A1F224ABE93A}"/>
                </c:ext>
              </c:extLst>
            </c:dLbl>
            <c:dLbl>
              <c:idx val="4"/>
              <c:delete val="1"/>
              <c:extLst>
                <c:ext xmlns:c15="http://schemas.microsoft.com/office/drawing/2012/chart" uri="{CE6537A1-D6FC-4f65-9D91-7224C49458BB}"/>
                <c:ext xmlns:c16="http://schemas.microsoft.com/office/drawing/2014/chart" uri="{C3380CC4-5D6E-409C-BE32-E72D297353CC}">
                  <c16:uniqueId val="{00000016-460B-4D39-989D-A1F224ABE93A}"/>
                </c:ext>
              </c:extLst>
            </c:dLbl>
            <c:dLbl>
              <c:idx val="5"/>
              <c:delete val="1"/>
              <c:extLst>
                <c:ext xmlns:c15="http://schemas.microsoft.com/office/drawing/2012/chart" uri="{CE6537A1-D6FC-4f65-9D91-7224C49458BB}"/>
                <c:ext xmlns:c16="http://schemas.microsoft.com/office/drawing/2014/chart" uri="{C3380CC4-5D6E-409C-BE32-E72D297353CC}">
                  <c16:uniqueId val="{00000017-460B-4D39-989D-A1F224ABE93A}"/>
                </c:ext>
              </c:extLst>
            </c:dLbl>
            <c:dLbl>
              <c:idx val="6"/>
              <c:delete val="1"/>
              <c:extLst>
                <c:ext xmlns:c15="http://schemas.microsoft.com/office/drawing/2012/chart" uri="{CE6537A1-D6FC-4f65-9D91-7224C49458BB}"/>
                <c:ext xmlns:c16="http://schemas.microsoft.com/office/drawing/2014/chart" uri="{C3380CC4-5D6E-409C-BE32-E72D297353CC}">
                  <c16:uniqueId val="{00000018-460B-4D39-989D-A1F224ABE93A}"/>
                </c:ext>
              </c:extLst>
            </c:dLbl>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kursa'!$H$61:$R$61</c:f>
              <c:numCache>
                <c:formatCode>#,##0.0</c:formatCode>
                <c:ptCount val="11"/>
                <c:pt idx="0">
                  <c:v>55.53345468353281</c:v>
                </c:pt>
                <c:pt idx="1">
                  <c:v>51.441092072350671</c:v>
                </c:pt>
                <c:pt idx="2">
                  <c:v>49.66530402514654</c:v>
                </c:pt>
                <c:pt idx="3">
                  <c:v>54.401541878454651</c:v>
                </c:pt>
                <c:pt idx="4">
                  <c:v>53.881197963213388</c:v>
                </c:pt>
                <c:pt idx="5">
                  <c:v>52.420124041721209</c:v>
                </c:pt>
                <c:pt idx="6">
                  <c:v>48.041062113397061</c:v>
                </c:pt>
                <c:pt idx="7">
                  <c:v>43.709706416313729</c:v>
                </c:pt>
                <c:pt idx="8">
                  <c:v>43.23784509023055</c:v>
                </c:pt>
                <c:pt idx="9">
                  <c:v>42.743476717523507</c:v>
                </c:pt>
                <c:pt idx="10">
                  <c:v>42.402100313489569</c:v>
                </c:pt>
              </c:numCache>
            </c:numRef>
          </c:val>
          <c:smooth val="0"/>
          <c:extLst>
            <c:ext xmlns:c16="http://schemas.microsoft.com/office/drawing/2014/chart" uri="{C3380CC4-5D6E-409C-BE32-E72D297353CC}">
              <c16:uniqueId val="{00000019-460B-4D39-989D-A1F224ABE93A}"/>
            </c:ext>
          </c:extLst>
        </c:ser>
        <c:dLbls>
          <c:showLegendKey val="0"/>
          <c:showVal val="0"/>
          <c:showCatName val="0"/>
          <c:showSerName val="0"/>
          <c:showPercent val="0"/>
          <c:showBubbleSize val="0"/>
        </c:dLbls>
        <c:marker val="1"/>
        <c:smooth val="0"/>
        <c:axId val="75069312"/>
        <c:axId val="75070848"/>
      </c:lineChart>
      <c:catAx>
        <c:axId val="75069312"/>
        <c:scaling>
          <c:orientation val="minMax"/>
        </c:scaling>
        <c:delete val="0"/>
        <c:axPos val="b"/>
        <c:majorGridlines>
          <c:spPr>
            <a:ln w="9525" cap="flat" cmpd="sng" algn="ctr">
              <a:noFill/>
              <a:prstDash val="solid"/>
              <a:round/>
            </a:ln>
            <a:effectLst/>
          </c:spPr>
        </c:majorGridlines>
        <c:minorGridlines>
          <c:spPr>
            <a:ln w="9525" cap="flat" cmpd="sng" algn="ctr">
              <a:noFill/>
              <a:prstDash val="solid"/>
              <a:round/>
            </a:ln>
            <a:effectLst/>
          </c:spPr>
        </c:min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5400000" spcFirstLastPara="1" vertOverflow="ellipsis" wrap="square" anchor="ctr" anchorCtr="1"/>
          <a:lstStyle/>
          <a:p>
            <a:pPr>
              <a:defRPr sz="700" b="0" i="0" u="none" strike="noStrike" kern="1200" baseline="0">
                <a:solidFill>
                  <a:schemeClr val="tx1"/>
                </a:solidFill>
                <a:latin typeface="+mn-lt"/>
                <a:ea typeface="+mn-ea"/>
                <a:cs typeface="+mn-cs"/>
              </a:defRPr>
            </a:pPr>
            <a:endParaRPr lang="sr-Latn-RS"/>
          </a:p>
        </c:txPr>
        <c:crossAx val="75070848"/>
        <c:crosses val="autoZero"/>
        <c:auto val="0"/>
        <c:lblAlgn val="ctr"/>
        <c:lblOffset val="100"/>
        <c:noMultiLvlLbl val="0"/>
      </c:catAx>
      <c:valAx>
        <c:axId val="75070848"/>
        <c:scaling>
          <c:orientation val="minMax"/>
          <c:max val="60"/>
          <c:min val="40"/>
        </c:scaling>
        <c:delete val="0"/>
        <c:axPos val="l"/>
        <c:majorGridlines>
          <c:spPr>
            <a:ln w="9525" cap="flat" cmpd="sng" algn="ctr">
              <a:noFill/>
              <a:prstDash val="solid"/>
              <a:round/>
            </a:ln>
            <a:effectLst/>
          </c:spPr>
        </c:majorGridlines>
        <c:numFmt formatCode="#,##0.0"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crossAx val="75069312"/>
        <c:crosses val="autoZero"/>
        <c:crossBetween val="between"/>
        <c:majorUnit val="5"/>
        <c:minorUnit val="2"/>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rot="5400000" vert="horz"/>
    <a:lstStyle/>
    <a:p>
      <a:pPr>
        <a:defRPr sz="700"/>
      </a:pPr>
      <a:endParaRPr lang="sr-Latn-R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withinLinear" id="14">
  <a:schemeClr val="accent1"/>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9.xml><?xml version="1.0" encoding="utf-8"?>
<cs:colorStyle xmlns:cs="http://schemas.microsoft.com/office/drawing/2012/chartStyle" xmlns:a="http://schemas.openxmlformats.org/drawingml/2006/main" meth="withinLinear" id="16">
  <a:schemeClr val="accent3"/>
</cs:colorStyle>
</file>

<file path=word/charts/colors60.xml><?xml version="1.0" encoding="utf-8"?>
<cs:colorStyle xmlns:cs="http://schemas.microsoft.com/office/drawing/2012/chartStyle" xmlns:a="http://schemas.openxmlformats.org/drawingml/2006/main" meth="withinLinear" id="16">
  <a:schemeClr val="accent3"/>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4.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5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6.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9.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60.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6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3.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64.xml><?xml version="1.0" encoding="utf-8"?>
<cs:chartStyle xmlns:cs="http://schemas.microsoft.com/office/drawing/2012/chartStyle" xmlns:a="http://schemas.openxmlformats.org/drawingml/2006/main" id="10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0.08102</cdr:x>
      <cdr:y>0.76088</cdr:y>
    </cdr:from>
    <cdr:to>
      <cdr:x>0.90625</cdr:x>
      <cdr:y>0.97807</cdr:y>
    </cdr:to>
    <cdr:grpSp>
      <cdr:nvGrpSpPr>
        <cdr:cNvPr id="9" name="Group 8">
          <a:extLst xmlns:a="http://schemas.openxmlformats.org/drawingml/2006/main">
            <a:ext uri="{FF2B5EF4-FFF2-40B4-BE49-F238E27FC236}">
              <a16:creationId xmlns:a16="http://schemas.microsoft.com/office/drawing/2014/main" id="{D826C8D3-8C33-4439-AE96-2E607EE03160}"/>
            </a:ext>
          </a:extLst>
        </cdr:cNvPr>
        <cdr:cNvGrpSpPr/>
      </cdr:nvGrpSpPr>
      <cdr:grpSpPr>
        <a:xfrm xmlns:a="http://schemas.openxmlformats.org/drawingml/2006/main">
          <a:off x="222254" y="1652403"/>
          <a:ext cx="2263771" cy="471672"/>
          <a:chOff x="-19080" y="-213509"/>
          <a:chExt cx="2267555" cy="556713"/>
        </a:xfrm>
      </cdr:grpSpPr>
      <cdr:grpSp>
        <cdr:nvGrpSpPr>
          <cdr:cNvPr id="10" name="Group 9">
            <a:extLst xmlns:a="http://schemas.openxmlformats.org/drawingml/2006/main">
              <a:ext uri="{FF2B5EF4-FFF2-40B4-BE49-F238E27FC236}">
                <a16:creationId xmlns:a16="http://schemas.microsoft.com/office/drawing/2014/main" id="{7907F2C1-0652-4BF0-87FC-B9FFA921F61E}"/>
              </a:ext>
            </a:extLst>
          </cdr:cNvPr>
          <cdr:cNvGrpSpPr/>
        </cdr:nvGrpSpPr>
        <cdr:grpSpPr>
          <a:xfrm xmlns:a="http://schemas.openxmlformats.org/drawingml/2006/main">
            <a:off x="683767" y="-213509"/>
            <a:ext cx="1564708" cy="295284"/>
            <a:chOff x="682627" y="-213502"/>
            <a:chExt cx="1562100" cy="295273"/>
          </a:xfrm>
        </cdr:grpSpPr>
        <cdr:sp macro="" textlink="">
          <cdr:nvSpPr>
            <cdr:cNvPr id="13" name="TextBox 5"/>
            <cdr:cNvSpPr txBox="1"/>
          </cdr:nvSpPr>
          <cdr:spPr>
            <a:xfrm xmlns:a="http://schemas.openxmlformats.org/drawingml/2006/main">
              <a:off x="682627" y="-156096"/>
              <a:ext cx="469049" cy="180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A651"/>
                  </a:solidFill>
                </a:rPr>
                <a:t>Храна</a:t>
              </a:r>
              <a:endParaRPr lang="en-GB" sz="700" b="0">
                <a:solidFill>
                  <a:srgbClr val="00A651"/>
                </a:solidFill>
              </a:endParaRPr>
            </a:p>
          </cdr:txBody>
        </cdr:sp>
        <cdr:sp macro="" textlink="">
          <cdr:nvSpPr>
            <cdr:cNvPr id="14" name="TextBox 1"/>
            <cdr:cNvSpPr txBox="1"/>
          </cdr:nvSpPr>
          <cdr:spPr>
            <a:xfrm xmlns:a="http://schemas.openxmlformats.org/drawingml/2006/main">
              <a:off x="1128485" y="-174156"/>
              <a:ext cx="576965" cy="2165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EC008C"/>
                  </a:solidFill>
                </a:rPr>
                <a:t>Метали</a:t>
              </a:r>
              <a:endParaRPr lang="en-GB" sz="700" b="0">
                <a:solidFill>
                  <a:srgbClr val="EC008C"/>
                </a:solidFill>
              </a:endParaRPr>
            </a:p>
          </cdr:txBody>
        </cdr:sp>
        <cdr:sp macro="" textlink="">
          <cdr:nvSpPr>
            <cdr:cNvPr id="15" name="TextBox 1"/>
            <cdr:cNvSpPr txBox="1"/>
          </cdr:nvSpPr>
          <cdr:spPr>
            <a:xfrm xmlns:a="http://schemas.openxmlformats.org/drawingml/2006/main">
              <a:off x="1622678" y="-213502"/>
              <a:ext cx="622049" cy="29527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3891"/>
                  </a:solidFill>
                </a:rPr>
                <a:t>Просечна цена нафте</a:t>
              </a:r>
              <a:endParaRPr lang="en-GB" sz="700" b="0">
                <a:solidFill>
                  <a:srgbClr val="003891"/>
                </a:solidFill>
              </a:endParaRPr>
            </a:p>
          </cdr:txBody>
        </cdr:sp>
      </cdr:grpSp>
      <cdr:sp macro="" textlink="">
        <cdr:nvSpPr>
          <cdr:cNvPr id="11" name="TextBox 1"/>
          <cdr:cNvSpPr txBox="1"/>
        </cdr:nvSpPr>
        <cdr:spPr>
          <a:xfrm xmlns:a="http://schemas.openxmlformats.org/drawingml/2006/main">
            <a:off x="-19080" y="20467"/>
            <a:ext cx="794653" cy="16609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апр.</a:t>
            </a:r>
            <a:r>
              <a:rPr lang="sr-Cyrl-RS" sz="700" b="0" baseline="0">
                <a:solidFill>
                  <a:schemeClr val="tx2"/>
                </a:solidFill>
              </a:rPr>
              <a:t> 2024</a:t>
            </a:r>
            <a:endParaRPr lang="en-GB" sz="700" b="0">
              <a:solidFill>
                <a:schemeClr val="tx2"/>
              </a:solidFill>
            </a:endParaRPr>
          </a:p>
        </cdr:txBody>
      </cdr:sp>
      <cdr:sp macro="" textlink="">
        <cdr:nvSpPr>
          <cdr:cNvPr id="12" name="TextBox 1"/>
          <cdr:cNvSpPr txBox="1"/>
        </cdr:nvSpPr>
        <cdr:spPr>
          <a:xfrm xmlns:a="http://schemas.openxmlformats.org/drawingml/2006/main">
            <a:off x="-19080" y="179742"/>
            <a:ext cx="794653" cy="163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окт</a:t>
            </a:r>
            <a:r>
              <a:rPr lang="en-GB" sz="700" b="0">
                <a:solidFill>
                  <a:schemeClr val="tx2"/>
                </a:solidFill>
              </a:rPr>
              <a:t>.</a:t>
            </a:r>
            <a:r>
              <a:rPr lang="sr-Cyrl-RS" sz="700" b="0" baseline="0">
                <a:solidFill>
                  <a:schemeClr val="tx2"/>
                </a:solidFill>
              </a:rPr>
              <a:t> 2024.</a:t>
            </a:r>
            <a:endParaRPr lang="en-GB" sz="700" b="0">
              <a:solidFill>
                <a:schemeClr val="tx2"/>
              </a:solidFill>
            </a:endParaRPr>
          </a:p>
        </cdr:txBody>
      </cdr:sp>
    </cdr:grpSp>
  </cdr:relSizeAnchor>
</c:userShapes>
</file>

<file path=word/drawings/drawing2.xml><?xml version="1.0" encoding="utf-8"?>
<c:userShapes xmlns:c="http://schemas.openxmlformats.org/drawingml/2006/chart">
  <cdr:relSizeAnchor xmlns:cdr="http://schemas.openxmlformats.org/drawingml/2006/chartDrawing">
    <cdr:from>
      <cdr:x>0.05959</cdr:x>
      <cdr:y>0.61594</cdr:y>
    </cdr:from>
    <cdr:to>
      <cdr:x>0.46719</cdr:x>
      <cdr:y>0.85192</cdr:y>
    </cdr:to>
    <cdr:sp macro="" textlink="">
      <cdr:nvSpPr>
        <cdr:cNvPr id="2" name="TextBox 1"/>
        <cdr:cNvSpPr txBox="1"/>
      </cdr:nvSpPr>
      <cdr:spPr>
        <a:xfrm xmlns:a="http://schemas.openxmlformats.org/drawingml/2006/main">
          <a:off x="79373" y="753914"/>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0.60816</cdr:y>
    </cdr:from>
    <cdr:to>
      <cdr:x>0.91769</cdr:x>
      <cdr:y>0.84414</cdr:y>
    </cdr:to>
    <cdr:sp macro="" textlink="">
      <cdr:nvSpPr>
        <cdr:cNvPr id="3" name="TextBox 1"/>
        <cdr:cNvSpPr txBox="1"/>
      </cdr:nvSpPr>
      <cdr:spPr>
        <a:xfrm xmlns:a="http://schemas.openxmlformats.org/drawingml/2006/main">
          <a:off x="679452" y="744389"/>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3.xml><?xml version="1.0" encoding="utf-8"?>
<c:userShapes xmlns:c="http://schemas.openxmlformats.org/drawingml/2006/chart">
  <cdr:relSizeAnchor xmlns:cdr="http://schemas.openxmlformats.org/drawingml/2006/chartDrawing">
    <cdr:from>
      <cdr:x>0.06674</cdr:x>
      <cdr:y>0.6149</cdr:y>
    </cdr:from>
    <cdr:to>
      <cdr:x>0.47434</cdr:x>
      <cdr:y>0.85088</cdr:y>
    </cdr:to>
    <cdr:sp macro="" textlink="">
      <cdr:nvSpPr>
        <cdr:cNvPr id="2" name="TextBox 1"/>
        <cdr:cNvSpPr txBox="1"/>
      </cdr:nvSpPr>
      <cdr:spPr>
        <a:xfrm xmlns:a="http://schemas.openxmlformats.org/drawingml/2006/main">
          <a:off x="88899" y="752639"/>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0.61895</cdr:y>
    </cdr:from>
    <cdr:to>
      <cdr:x>0.92484</cdr:x>
      <cdr:y>0.85493</cdr:y>
    </cdr:to>
    <cdr:sp macro="" textlink="">
      <cdr:nvSpPr>
        <cdr:cNvPr id="3" name="TextBox 1"/>
        <cdr:cNvSpPr txBox="1"/>
      </cdr:nvSpPr>
      <cdr:spPr>
        <a:xfrm xmlns:a="http://schemas.openxmlformats.org/drawingml/2006/main">
          <a:off x="688978" y="757596"/>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4.xml><?xml version="1.0" encoding="utf-8"?>
<c:userShapes xmlns:c="http://schemas.openxmlformats.org/drawingml/2006/chart">
  <cdr:relSizeAnchor xmlns:cdr="http://schemas.openxmlformats.org/drawingml/2006/chartDrawing">
    <cdr:from>
      <cdr:x>0.05959</cdr:x>
      <cdr:y>0.18641</cdr:y>
    </cdr:from>
    <cdr:to>
      <cdr:x>0.46719</cdr:x>
      <cdr:y>0.42239</cdr:y>
    </cdr:to>
    <cdr:sp macro="" textlink="">
      <cdr:nvSpPr>
        <cdr:cNvPr id="2" name="TextBox 1"/>
        <cdr:cNvSpPr txBox="1"/>
      </cdr:nvSpPr>
      <cdr:spPr>
        <a:xfrm xmlns:a="http://schemas.openxmlformats.org/drawingml/2006/main">
          <a:off x="79374" y="228171"/>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0.1863</cdr:y>
    </cdr:from>
    <cdr:to>
      <cdr:x>0.91769</cdr:x>
      <cdr:y>0.42228</cdr:y>
    </cdr:to>
    <cdr:sp macro="" textlink="">
      <cdr:nvSpPr>
        <cdr:cNvPr id="3" name="TextBox 1"/>
        <cdr:cNvSpPr txBox="1"/>
      </cdr:nvSpPr>
      <cdr:spPr>
        <a:xfrm xmlns:a="http://schemas.openxmlformats.org/drawingml/2006/main">
          <a:off x="679452" y="22803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5.xml><?xml version="1.0" encoding="utf-8"?>
<c:userShapes xmlns:c="http://schemas.openxmlformats.org/drawingml/2006/chart">
  <cdr:relSizeAnchor xmlns:cdr="http://schemas.openxmlformats.org/drawingml/2006/chartDrawing">
    <cdr:from>
      <cdr:x>0.05959</cdr:x>
      <cdr:y>0.17863</cdr:y>
    </cdr:from>
    <cdr:to>
      <cdr:x>0.46719</cdr:x>
      <cdr:y>0.41461</cdr:y>
    </cdr:to>
    <cdr:sp macro="" textlink="">
      <cdr:nvSpPr>
        <cdr:cNvPr id="2" name="TextBox 1"/>
        <cdr:cNvSpPr txBox="1"/>
      </cdr:nvSpPr>
      <cdr:spPr>
        <a:xfrm xmlns:a="http://schemas.openxmlformats.org/drawingml/2006/main">
          <a:off x="79374" y="218646"/>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0.178</cdr:y>
    </cdr:from>
    <cdr:to>
      <cdr:x>0.92484</cdr:x>
      <cdr:y>0.41398</cdr:y>
    </cdr:to>
    <cdr:sp macro="" textlink="">
      <cdr:nvSpPr>
        <cdr:cNvPr id="3" name="TextBox 1"/>
        <cdr:cNvSpPr txBox="1"/>
      </cdr:nvSpPr>
      <cdr:spPr>
        <a:xfrm xmlns:a="http://schemas.openxmlformats.org/drawingml/2006/main">
          <a:off x="688977" y="217873"/>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6.xml><?xml version="1.0" encoding="utf-8"?>
<c:userShapes xmlns:c="http://schemas.openxmlformats.org/drawingml/2006/chart">
  <cdr:relSizeAnchor xmlns:cdr="http://schemas.openxmlformats.org/drawingml/2006/chartDrawing">
    <cdr:from>
      <cdr:x>0.06674</cdr:x>
      <cdr:y>0.55531</cdr:y>
    </cdr:from>
    <cdr:to>
      <cdr:x>0.47434</cdr:x>
      <cdr:y>0.79129</cdr:y>
    </cdr:to>
    <cdr:sp macro="" textlink="">
      <cdr:nvSpPr>
        <cdr:cNvPr id="2" name="TextBox 1"/>
        <cdr:cNvSpPr txBox="1"/>
      </cdr:nvSpPr>
      <cdr:spPr>
        <a:xfrm xmlns:a="http://schemas.openxmlformats.org/drawingml/2006/main">
          <a:off x="88899" y="559751"/>
          <a:ext cx="542923"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0.54531</cdr:y>
    </cdr:from>
    <cdr:to>
      <cdr:x>0.92484</cdr:x>
      <cdr:y>0.78129</cdr:y>
    </cdr:to>
    <cdr:sp macro="" textlink="">
      <cdr:nvSpPr>
        <cdr:cNvPr id="3" name="TextBox 1"/>
        <cdr:cNvSpPr txBox="1"/>
      </cdr:nvSpPr>
      <cdr:spPr>
        <a:xfrm xmlns:a="http://schemas.openxmlformats.org/drawingml/2006/main">
          <a:off x="688977" y="549672"/>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7.xml><?xml version="1.0" encoding="utf-8"?>
<c:userShapes xmlns:c="http://schemas.openxmlformats.org/drawingml/2006/chart">
  <cdr:relSizeAnchor xmlns:cdr="http://schemas.openxmlformats.org/drawingml/2006/chartDrawing">
    <cdr:from>
      <cdr:x>0.05959</cdr:x>
      <cdr:y>0.55752</cdr:y>
    </cdr:from>
    <cdr:to>
      <cdr:x>0.47911</cdr:x>
      <cdr:y>0.84798</cdr:y>
    </cdr:to>
    <cdr:sp macro="" textlink="">
      <cdr:nvSpPr>
        <cdr:cNvPr id="2" name="TextBox 1"/>
        <cdr:cNvSpPr txBox="1"/>
      </cdr:nvSpPr>
      <cdr:spPr>
        <a:xfrm xmlns:a="http://schemas.openxmlformats.org/drawingml/2006/main">
          <a:off x="79374" y="561977"/>
          <a:ext cx="558801" cy="292783"/>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0.55538</cdr:y>
    </cdr:from>
    <cdr:to>
      <cdr:x>0.92484</cdr:x>
      <cdr:y>0.79136</cdr:y>
    </cdr:to>
    <cdr:sp macro="" textlink="">
      <cdr:nvSpPr>
        <cdr:cNvPr id="3" name="TextBox 1"/>
        <cdr:cNvSpPr txBox="1"/>
      </cdr:nvSpPr>
      <cdr:spPr>
        <a:xfrm xmlns:a="http://schemas.openxmlformats.org/drawingml/2006/main">
          <a:off x="688977" y="559824"/>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8.xml><?xml version="1.0" encoding="utf-8"?>
<c:userShapes xmlns:c="http://schemas.openxmlformats.org/drawingml/2006/chart">
  <cdr:relSizeAnchor xmlns:cdr="http://schemas.openxmlformats.org/drawingml/2006/chartDrawing">
    <cdr:from>
      <cdr:x>0.05959</cdr:x>
      <cdr:y>0.16348</cdr:y>
    </cdr:from>
    <cdr:to>
      <cdr:x>0.46719</cdr:x>
      <cdr:y>0.39947</cdr:y>
    </cdr:to>
    <cdr:sp macro="" textlink="">
      <cdr:nvSpPr>
        <cdr:cNvPr id="2" name="TextBox 1"/>
        <cdr:cNvSpPr txBox="1"/>
      </cdr:nvSpPr>
      <cdr:spPr>
        <a:xfrm xmlns:a="http://schemas.openxmlformats.org/drawingml/2006/main">
          <a:off x="79374" y="200105"/>
          <a:ext cx="542923" cy="28885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0.16474</cdr:y>
    </cdr:from>
    <cdr:to>
      <cdr:x>0.92484</cdr:x>
      <cdr:y>0.40072</cdr:y>
    </cdr:to>
    <cdr:sp macro="" textlink="">
      <cdr:nvSpPr>
        <cdr:cNvPr id="3" name="TextBox 1"/>
        <cdr:cNvSpPr txBox="1"/>
      </cdr:nvSpPr>
      <cdr:spPr>
        <a:xfrm xmlns:a="http://schemas.openxmlformats.org/drawingml/2006/main">
          <a:off x="688978" y="201647"/>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9.xml><?xml version="1.0" encoding="utf-8"?>
<c:userShapes xmlns:c="http://schemas.openxmlformats.org/drawingml/2006/chart">
  <cdr:relSizeAnchor xmlns:cdr="http://schemas.openxmlformats.org/drawingml/2006/chartDrawing">
    <cdr:from>
      <cdr:x>0.06436</cdr:x>
      <cdr:y>0.15241</cdr:y>
    </cdr:from>
    <cdr:to>
      <cdr:x>0.47196</cdr:x>
      <cdr:y>0.38838</cdr:y>
    </cdr:to>
    <cdr:sp macro="" textlink="">
      <cdr:nvSpPr>
        <cdr:cNvPr id="2" name="TextBox 1"/>
        <cdr:cNvSpPr txBox="1"/>
      </cdr:nvSpPr>
      <cdr:spPr>
        <a:xfrm xmlns:a="http://schemas.openxmlformats.org/drawingml/2006/main">
          <a:off x="85700" y="186497"/>
          <a:ext cx="542758" cy="288744"/>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0.15508</cdr:y>
    </cdr:from>
    <cdr:to>
      <cdr:x>0.92484</cdr:x>
      <cdr:y>0.39106</cdr:y>
    </cdr:to>
    <cdr:sp macro="" textlink="">
      <cdr:nvSpPr>
        <cdr:cNvPr id="3" name="TextBox 1"/>
        <cdr:cNvSpPr txBox="1"/>
      </cdr:nvSpPr>
      <cdr:spPr>
        <a:xfrm xmlns:a="http://schemas.openxmlformats.org/drawingml/2006/main">
          <a:off x="688977" y="18981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0.xml><?xml version="1.0" encoding="utf-8"?>
<c:userShapes xmlns:c="http://schemas.openxmlformats.org/drawingml/2006/chart">
  <cdr:relSizeAnchor xmlns:cdr="http://schemas.openxmlformats.org/drawingml/2006/chartDrawing">
    <cdr:from>
      <cdr:x>0.05959</cdr:x>
      <cdr:y>0.63166</cdr:y>
    </cdr:from>
    <cdr:to>
      <cdr:x>0.46719</cdr:x>
      <cdr:y>0.86764</cdr:y>
    </cdr:to>
    <cdr:sp macro="" textlink="">
      <cdr:nvSpPr>
        <cdr:cNvPr id="2" name="TextBox 1"/>
        <cdr:cNvSpPr txBox="1"/>
      </cdr:nvSpPr>
      <cdr:spPr>
        <a:xfrm xmlns:a="http://schemas.openxmlformats.org/drawingml/2006/main">
          <a:off x="79374" y="773152"/>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0.63166</cdr:y>
    </cdr:from>
    <cdr:to>
      <cdr:x>0.92484</cdr:x>
      <cdr:y>0.86764</cdr:y>
    </cdr:to>
    <cdr:sp macro="" textlink="">
      <cdr:nvSpPr>
        <cdr:cNvPr id="3" name="TextBox 1"/>
        <cdr:cNvSpPr txBox="1"/>
      </cdr:nvSpPr>
      <cdr:spPr>
        <a:xfrm xmlns:a="http://schemas.openxmlformats.org/drawingml/2006/main">
          <a:off x="688976" y="773152"/>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1.xml><?xml version="1.0" encoding="utf-8"?>
<c:userShapes xmlns:c="http://schemas.openxmlformats.org/drawingml/2006/chart">
  <cdr:relSizeAnchor xmlns:cdr="http://schemas.openxmlformats.org/drawingml/2006/chartDrawing">
    <cdr:from>
      <cdr:x>0.06674</cdr:x>
      <cdr:y>0.62451</cdr:y>
    </cdr:from>
    <cdr:to>
      <cdr:x>0.47434</cdr:x>
      <cdr:y>0.86049</cdr:y>
    </cdr:to>
    <cdr:sp macro="" textlink="">
      <cdr:nvSpPr>
        <cdr:cNvPr id="2" name="TextBox 1"/>
        <cdr:cNvSpPr txBox="1"/>
      </cdr:nvSpPr>
      <cdr:spPr>
        <a:xfrm xmlns:a="http://schemas.openxmlformats.org/drawingml/2006/main">
          <a:off x="88899" y="764400"/>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0.62451</cdr:y>
    </cdr:from>
    <cdr:to>
      <cdr:x>0.92484</cdr:x>
      <cdr:y>0.86049</cdr:y>
    </cdr:to>
    <cdr:sp macro="" textlink="">
      <cdr:nvSpPr>
        <cdr:cNvPr id="3" name="TextBox 1"/>
        <cdr:cNvSpPr txBox="1"/>
      </cdr:nvSpPr>
      <cdr:spPr>
        <a:xfrm xmlns:a="http://schemas.openxmlformats.org/drawingml/2006/main">
          <a:off x="688976" y="764400"/>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2.xml><?xml version="1.0" encoding="utf-8"?>
<c:userShapes xmlns:c="http://schemas.openxmlformats.org/drawingml/2006/chart">
  <cdr:relSizeAnchor xmlns:cdr="http://schemas.openxmlformats.org/drawingml/2006/chartDrawing">
    <cdr:from>
      <cdr:x>0.71039</cdr:x>
      <cdr:y>0</cdr:y>
    </cdr:from>
    <cdr:to>
      <cdr:x>0.97226</cdr:x>
      <cdr:y>0.21296</cdr:y>
    </cdr:to>
    <cdr:sp macro="" textlink="">
      <cdr:nvSpPr>
        <cdr:cNvPr id="2" name="TextBox 1"/>
        <cdr:cNvSpPr txBox="1"/>
      </cdr:nvSpPr>
      <cdr:spPr>
        <a:xfrm xmlns:a="http://schemas.openxmlformats.org/drawingml/2006/main">
          <a:off x="1944080" y="0"/>
          <a:ext cx="716641" cy="309922"/>
        </a:xfrm>
        <a:prstGeom xmlns:a="http://schemas.openxmlformats.org/drawingml/2006/main" prst="rect">
          <a:avLst/>
        </a:prstGeom>
      </cdr:spPr>
      <cdr:txBody>
        <a:bodyPr xmlns:a="http://schemas.openxmlformats.org/drawingml/2006/main" vertOverflow="clip" wrap="square" lIns="0" tIns="0" rIns="0" bIns="0" rtlCol="0" anchor="ctr"/>
        <a:lstStyle xmlns:a="http://schemas.openxmlformats.org/drawingml/2006/main"/>
        <a:p xmlns:a="http://schemas.openxmlformats.org/drawingml/2006/main">
          <a:pPr algn="ctr"/>
          <a:r>
            <a:rPr lang="en-GB" sz="650" u="sng">
              <a:solidFill>
                <a:schemeClr val="tx2"/>
              </a:solidFill>
            </a:rPr>
            <a:t>Q1-Q2 </a:t>
          </a:r>
          <a:r>
            <a:rPr lang="sr-Latn-RS" sz="650" u="sng">
              <a:solidFill>
                <a:schemeClr val="tx2"/>
              </a:solidFill>
            </a:rPr>
            <a:t>20</a:t>
          </a:r>
          <a:r>
            <a:rPr lang="en-GB" sz="650" u="sng">
              <a:solidFill>
                <a:schemeClr val="tx2"/>
              </a:solidFill>
            </a:rPr>
            <a:t>24</a:t>
          </a:r>
          <a:endParaRPr lang="sr-Latn-RS" sz="650" u="none">
            <a:solidFill>
              <a:schemeClr val="tx2"/>
            </a:solidFill>
          </a:endParaRPr>
        </a:p>
        <a:p xmlns:a="http://schemas.openxmlformats.org/drawingml/2006/main">
          <a:pPr algn="ctr"/>
          <a:r>
            <a:rPr lang="en-GB" sz="650">
              <a:solidFill>
                <a:schemeClr val="tx2"/>
              </a:solidFill>
            </a:rPr>
            <a:t>Q1-Q2 </a:t>
          </a:r>
          <a:r>
            <a:rPr lang="sr-Latn-RS" sz="650">
              <a:solidFill>
                <a:schemeClr val="tx2"/>
              </a:solidFill>
            </a:rPr>
            <a:t>20</a:t>
          </a:r>
          <a:r>
            <a:rPr lang="en-GB" sz="650">
              <a:solidFill>
                <a:schemeClr val="tx2"/>
              </a:solidFill>
            </a:rPr>
            <a:t>23 </a:t>
          </a:r>
          <a:endParaRPr lang="sr-Latn-RS" sz="650">
            <a:solidFill>
              <a:schemeClr val="tx2"/>
            </a:solidFill>
          </a:endParaRPr>
        </a:p>
        <a:p xmlns:a="http://schemas.openxmlformats.org/drawingml/2006/main">
          <a:pPr algn="ctr"/>
          <a:r>
            <a:rPr lang="sr-Cyrl-RS" sz="650">
              <a:solidFill>
                <a:schemeClr val="tx2"/>
              </a:solidFill>
            </a:rPr>
            <a:t>индекси</a:t>
          </a:r>
        </a:p>
      </cdr:txBody>
    </cdr:sp>
  </cdr:relSizeAnchor>
</c:userShapes>
</file>

<file path=word/drawings/drawing13.xml><?xml version="1.0" encoding="utf-8"?>
<c:userShapes xmlns:c="http://schemas.openxmlformats.org/drawingml/2006/chart">
  <cdr:relSizeAnchor xmlns:cdr="http://schemas.openxmlformats.org/drawingml/2006/chartDrawing">
    <cdr:from>
      <cdr:x>0.5885</cdr:x>
      <cdr:y>0</cdr:y>
    </cdr:from>
    <cdr:to>
      <cdr:x>0.98231</cdr:x>
      <cdr:y>0.73936</cdr:y>
    </cdr:to>
    <cdr:sp macro="" textlink="">
      <cdr:nvSpPr>
        <cdr:cNvPr id="3" name="TextBox 2"/>
        <cdr:cNvSpPr txBox="1"/>
      </cdr:nvSpPr>
      <cdr:spPr>
        <a:xfrm xmlns:a="http://schemas.openxmlformats.org/drawingml/2006/main">
          <a:off x="1689101" y="0"/>
          <a:ext cx="1130326" cy="154897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0.58333</cdr:x>
      <cdr:y>0</cdr:y>
    </cdr:from>
    <cdr:to>
      <cdr:x>0.97619</cdr:x>
      <cdr:y>0.73863</cdr:y>
    </cdr:to>
    <cdr:sp macro="" textlink="">
      <cdr:nvSpPr>
        <cdr:cNvPr id="3" name="TextBox 2"/>
        <cdr:cNvSpPr txBox="1"/>
      </cdr:nvSpPr>
      <cdr:spPr>
        <a:xfrm xmlns:a="http://schemas.openxmlformats.org/drawingml/2006/main">
          <a:off x="1600200" y="0"/>
          <a:ext cx="1077684" cy="156087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0.424</cdr:x>
      <cdr:y>0.00827</cdr:y>
    </cdr:from>
    <cdr:to>
      <cdr:x>0.96515</cdr:x>
      <cdr:y>0.76895</cdr:y>
    </cdr:to>
    <cdr:sp macro="" textlink="">
      <cdr:nvSpPr>
        <cdr:cNvPr id="3" name="TextBox 2"/>
        <cdr:cNvSpPr txBox="1"/>
      </cdr:nvSpPr>
      <cdr:spPr>
        <a:xfrm xmlns:a="http://schemas.openxmlformats.org/drawingml/2006/main">
          <a:off x="1163118" y="19052"/>
          <a:ext cx="1484482" cy="175244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6.xml><?xml version="1.0" encoding="utf-8"?>
<c:userShapes xmlns:c="http://schemas.openxmlformats.org/drawingml/2006/chart">
  <cdr:relSizeAnchor xmlns:cdr="http://schemas.openxmlformats.org/drawingml/2006/chartDrawing">
    <cdr:from>
      <cdr:x>0.66671</cdr:x>
      <cdr:y>0</cdr:y>
    </cdr:from>
    <cdr:to>
      <cdr:x>1</cdr:x>
      <cdr:y>0.15397</cdr:y>
    </cdr:to>
    <cdr:sp macro="" textlink="">
      <cdr:nvSpPr>
        <cdr:cNvPr id="2" name="TextBox 1">
          <a:extLst xmlns:a="http://schemas.openxmlformats.org/drawingml/2006/main">
            <a:ext uri="{FF2B5EF4-FFF2-40B4-BE49-F238E27FC236}">
              <a16:creationId xmlns:a16="http://schemas.microsoft.com/office/drawing/2014/main" id="{EEBA72B3-E404-4722-5BD3-9A173FE23DD3}"/>
            </a:ext>
          </a:extLst>
        </cdr:cNvPr>
        <cdr:cNvSpPr txBox="1"/>
      </cdr:nvSpPr>
      <cdr:spPr>
        <a:xfrm xmlns:a="http://schemas.openxmlformats.org/drawingml/2006/main">
          <a:off x="1828915" y="0"/>
          <a:ext cx="914285" cy="27588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a:solidFill>
                <a:schemeClr val="tx2"/>
              </a:solidFill>
            </a:rPr>
            <a:t>Стопа становништва ван радне снаге</a:t>
          </a:r>
          <a:endParaRPr lang="en-US" sz="750">
            <a:solidFill>
              <a:schemeClr val="tx2"/>
            </a:solidFill>
          </a:endParaRPr>
        </a:p>
      </cdr:txBody>
    </cdr:sp>
  </cdr:relSizeAnchor>
  <cdr:relSizeAnchor xmlns:cdr="http://schemas.openxmlformats.org/drawingml/2006/chartDrawing">
    <cdr:from>
      <cdr:x>0.35123</cdr:x>
      <cdr:y>0</cdr:y>
    </cdr:from>
    <cdr:to>
      <cdr:x>0.65307</cdr:x>
      <cdr:y>0.08</cdr:y>
    </cdr:to>
    <cdr:sp macro="" textlink="">
      <cdr:nvSpPr>
        <cdr:cNvPr id="3" name="TextBox 1">
          <a:extLst xmlns:a="http://schemas.openxmlformats.org/drawingml/2006/main">
            <a:ext uri="{FF2B5EF4-FFF2-40B4-BE49-F238E27FC236}">
              <a16:creationId xmlns:a16="http://schemas.microsoft.com/office/drawing/2014/main" id="{D63F64B9-2A3E-9C8E-FD5C-33974146D41E}"/>
            </a:ext>
          </a:extLst>
        </cdr:cNvPr>
        <cdr:cNvSpPr txBox="1"/>
      </cdr:nvSpPr>
      <cdr:spPr>
        <a:xfrm xmlns:a="http://schemas.openxmlformats.org/drawingml/2006/main">
          <a:off x="963501" y="0"/>
          <a:ext cx="828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a:solidFill>
                <a:schemeClr val="tx2"/>
              </a:solidFill>
            </a:rPr>
            <a:t>Стопа запослености</a:t>
          </a:r>
          <a:endParaRPr lang="en-US" sz="750">
            <a:solidFill>
              <a:schemeClr val="tx2"/>
            </a:solidFill>
          </a:endParaRPr>
        </a:p>
      </cdr:txBody>
    </cdr:sp>
  </cdr:relSizeAnchor>
  <cdr:relSizeAnchor xmlns:cdr="http://schemas.openxmlformats.org/drawingml/2006/chartDrawing">
    <cdr:from>
      <cdr:x>0</cdr:x>
      <cdr:y>0</cdr:y>
    </cdr:from>
    <cdr:to>
      <cdr:x>0.34121</cdr:x>
      <cdr:y>0.08</cdr:y>
    </cdr:to>
    <cdr:sp macro="" textlink="">
      <cdr:nvSpPr>
        <cdr:cNvPr id="4" name="TextBox 1">
          <a:extLst xmlns:a="http://schemas.openxmlformats.org/drawingml/2006/main">
            <a:ext uri="{FF2B5EF4-FFF2-40B4-BE49-F238E27FC236}">
              <a16:creationId xmlns:a16="http://schemas.microsoft.com/office/drawing/2014/main" id="{FD5E4A56-9597-87E6-88AD-15B99CCAA48D}"/>
            </a:ext>
          </a:extLst>
        </cdr:cNvPr>
        <cdr:cNvSpPr txBox="1"/>
      </cdr:nvSpPr>
      <cdr:spPr>
        <a:xfrm xmlns:a="http://schemas.openxmlformats.org/drawingml/2006/main">
          <a:off x="0" y="0"/>
          <a:ext cx="936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sr-Cyrl-RS" sz="750">
              <a:solidFill>
                <a:schemeClr val="tx2"/>
              </a:solidFill>
            </a:rPr>
            <a:t>Стопа незапослености</a:t>
          </a:r>
          <a:endParaRPr lang="en-US" sz="750">
            <a:solidFill>
              <a:schemeClr val="tx2"/>
            </a:solidFill>
          </a:endParaRPr>
        </a:p>
      </cdr:txBody>
    </cdr:sp>
  </cdr:relSizeAnchor>
</c:userShapes>
</file>

<file path=word/drawings/drawing17.xml><?xml version="1.0" encoding="utf-8"?>
<c:userShapes xmlns:c="http://schemas.openxmlformats.org/drawingml/2006/chart">
  <cdr:relSizeAnchor xmlns:cdr="http://schemas.openxmlformats.org/drawingml/2006/chartDrawing">
    <cdr:from>
      <cdr:x>0.0878</cdr:x>
      <cdr:y>0.72193</cdr:y>
    </cdr:from>
    <cdr:to>
      <cdr:x>0.95377</cdr:x>
      <cdr:y>0.72193</cdr:y>
    </cdr:to>
    <cdr:cxnSp macro="">
      <cdr:nvCxnSpPr>
        <cdr:cNvPr id="3" name="Straight Connector 2">
          <a:extLst xmlns:a="http://schemas.openxmlformats.org/drawingml/2006/main">
            <a:ext uri="{FF2B5EF4-FFF2-40B4-BE49-F238E27FC236}">
              <a16:creationId xmlns:a16="http://schemas.microsoft.com/office/drawing/2014/main" id="{92170C42-51AD-40FC-A279-09E604F64C1D}"/>
            </a:ext>
          </a:extLst>
        </cdr:cNvPr>
        <cdr:cNvCxnSpPr/>
      </cdr:nvCxnSpPr>
      <cdr:spPr>
        <a:xfrm xmlns:a="http://schemas.openxmlformats.org/drawingml/2006/main" flipV="1">
          <a:off x="240520" y="1305002"/>
          <a:ext cx="2372307" cy="0"/>
        </a:xfrm>
        <a:prstGeom xmlns:a="http://schemas.openxmlformats.org/drawingml/2006/main" prst="line">
          <a:avLst/>
        </a:prstGeom>
        <a:ln xmlns:a="http://schemas.openxmlformats.org/drawingml/2006/main" w="31750">
          <a:solidFill>
            <a:schemeClr val="bg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8.xml><?xml version="1.0" encoding="utf-8"?>
<c:userShapes xmlns:c="http://schemas.openxmlformats.org/drawingml/2006/chart">
  <cdr:relSizeAnchor xmlns:cdr="http://schemas.openxmlformats.org/drawingml/2006/chartDrawing">
    <cdr:from>
      <cdr:x>0.7037</cdr:x>
      <cdr:y>0.00469</cdr:y>
    </cdr:from>
    <cdr:to>
      <cdr:x>0.94885</cdr:x>
      <cdr:y>0.71454</cdr:y>
    </cdr:to>
    <cdr:sp macro="" textlink="">
      <cdr:nvSpPr>
        <cdr:cNvPr id="2" name="TextBox 1"/>
        <cdr:cNvSpPr txBox="1"/>
      </cdr:nvSpPr>
      <cdr:spPr>
        <a:xfrm xmlns:a="http://schemas.openxmlformats.org/drawingml/2006/main">
          <a:off x="1930400" y="9619"/>
          <a:ext cx="672485" cy="1455938"/>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1">
              <a:solidFill>
                <a:schemeClr val="tx2"/>
              </a:solidFill>
              <a:latin typeface="+mn-lt"/>
              <a:cs typeface="Arial" panose="020B0604020202020204" pitchFamily="34" charset="0"/>
            </a:rPr>
            <a:t>ПРОЈЕКЦИЈА</a:t>
          </a:r>
        </a:p>
      </cdr:txBody>
    </cdr:sp>
  </cdr:relSizeAnchor>
</c:userShapes>
</file>

<file path=word/drawings/drawing19.xml><?xml version="1.0" encoding="utf-8"?>
<c:userShapes xmlns:c="http://schemas.openxmlformats.org/drawingml/2006/chart">
  <cdr:relSizeAnchor xmlns:cdr="http://schemas.openxmlformats.org/drawingml/2006/chartDrawing">
    <cdr:from>
      <cdr:x>0.59869</cdr:x>
      <cdr:y>0</cdr:y>
    </cdr:from>
    <cdr:to>
      <cdr:x>0.9881</cdr:x>
      <cdr:y>0.76585</cdr:y>
    </cdr:to>
    <cdr:sp macro="" textlink="">
      <cdr:nvSpPr>
        <cdr:cNvPr id="2" name="TextBox 1"/>
        <cdr:cNvSpPr txBox="1"/>
      </cdr:nvSpPr>
      <cdr:spPr>
        <a:xfrm xmlns:a="http://schemas.openxmlformats.org/drawingml/2006/main">
          <a:off x="1648327" y="0"/>
          <a:ext cx="1072136" cy="16392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0.xml><?xml version="1.0" encoding="utf-8"?>
<c:userShapes xmlns:c="http://schemas.openxmlformats.org/drawingml/2006/chart">
  <cdr:relSizeAnchor xmlns:cdr="http://schemas.openxmlformats.org/drawingml/2006/chartDrawing">
    <cdr:from>
      <cdr:x>0.63371</cdr:x>
      <cdr:y>0.01417</cdr:y>
    </cdr:from>
    <cdr:to>
      <cdr:x>0.98264</cdr:x>
      <cdr:y>0.75123</cdr:y>
    </cdr:to>
    <cdr:sp macro="" textlink="">
      <cdr:nvSpPr>
        <cdr:cNvPr id="2" name="TextBox 1"/>
        <cdr:cNvSpPr txBox="1"/>
      </cdr:nvSpPr>
      <cdr:spPr>
        <a:xfrm xmlns:a="http://schemas.openxmlformats.org/drawingml/2006/main">
          <a:off x="1738396" y="28890"/>
          <a:ext cx="957180" cy="15027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1.xml><?xml version="1.0" encoding="utf-8"?>
<c:userShapes xmlns:c="http://schemas.openxmlformats.org/drawingml/2006/chart">
  <cdr:relSizeAnchor xmlns:cdr="http://schemas.openxmlformats.org/drawingml/2006/chartDrawing">
    <cdr:from>
      <cdr:x>0.54172</cdr:x>
      <cdr:y>0.08091</cdr:y>
    </cdr:from>
    <cdr:to>
      <cdr:x>0.80075</cdr:x>
      <cdr:y>0.12157</cdr:y>
    </cdr:to>
    <cdr:sp macro="" textlink="">
      <cdr:nvSpPr>
        <cdr:cNvPr id="4" name="Text Box 94"/>
        <cdr:cNvSpPr txBox="1"/>
      </cdr:nvSpPr>
      <cdr:spPr>
        <a:xfrm xmlns:a="http://schemas.openxmlformats.org/drawingml/2006/main">
          <a:off x="3625439" y="417046"/>
          <a:ext cx="1733550" cy="20955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фискалног подиндекса (0,36)</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0.511</cdr:x>
      <cdr:y>0.11032</cdr:y>
    </cdr:from>
    <cdr:to>
      <cdr:x>0.53947</cdr:x>
      <cdr:y>0.12696</cdr:y>
    </cdr:to>
    <cdr:cxnSp macro="">
      <cdr:nvCxnSpPr>
        <cdr:cNvPr id="5" name="Straight Arrow Connector 4"/>
        <cdr:cNvCxnSpPr/>
      </cdr:nvCxnSpPr>
      <cdr:spPr>
        <a:xfrm xmlns:a="http://schemas.openxmlformats.org/drawingml/2006/main" flipV="1">
          <a:off x="3419886" y="568624"/>
          <a:ext cx="190500" cy="85725"/>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0.70246</cdr:x>
      <cdr:y>0.26085</cdr:y>
    </cdr:from>
    <cdr:to>
      <cdr:x>0.96149</cdr:x>
      <cdr:y>0.30151</cdr:y>
    </cdr:to>
    <cdr:sp macro="" textlink="">
      <cdr:nvSpPr>
        <cdr:cNvPr id="6" name="Text Box 96"/>
        <cdr:cNvSpPr txBox="1"/>
      </cdr:nvSpPr>
      <cdr:spPr>
        <a:xfrm xmlns:a="http://schemas.openxmlformats.org/drawingml/2006/main">
          <a:off x="4701205" y="1344481"/>
          <a:ext cx="1733550" cy="20955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финансијског подиндекса (0,49)</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0.91728</cdr:x>
      <cdr:y>0.24173</cdr:y>
    </cdr:from>
    <cdr:to>
      <cdr:x>0.94693</cdr:x>
      <cdr:y>0.26079</cdr:y>
    </cdr:to>
    <cdr:cxnSp macro="">
      <cdr:nvCxnSpPr>
        <cdr:cNvPr id="8" name="Straight Arrow Connector 7"/>
        <cdr:cNvCxnSpPr/>
      </cdr:nvCxnSpPr>
      <cdr:spPr>
        <a:xfrm xmlns:a="http://schemas.openxmlformats.org/drawingml/2006/main" flipH="1">
          <a:off x="6138919" y="1245908"/>
          <a:ext cx="198381" cy="98237"/>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2.xml><?xml version="1.0" encoding="utf-8"?>
<c:userShapes xmlns:c="http://schemas.openxmlformats.org/drawingml/2006/chart">
  <cdr:relSizeAnchor xmlns:cdr="http://schemas.openxmlformats.org/drawingml/2006/chartDrawing">
    <cdr:from>
      <cdr:x>0.5994</cdr:x>
      <cdr:y>0.31197</cdr:y>
    </cdr:from>
    <cdr:to>
      <cdr:x>0.5994</cdr:x>
      <cdr:y>0.34818</cdr:y>
    </cdr:to>
    <cdr:cxnSp macro="">
      <cdr:nvCxnSpPr>
        <cdr:cNvPr id="3" name="Straight Arrow Connector 2"/>
        <cdr:cNvCxnSpPr/>
      </cdr:nvCxnSpPr>
      <cdr:spPr>
        <a:xfrm xmlns:a="http://schemas.openxmlformats.org/drawingml/2006/main" flipV="1">
          <a:off x="3927978" y="1066789"/>
          <a:ext cx="0" cy="123819"/>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3.xml><?xml version="1.0" encoding="utf-8"?>
<c:userShapes xmlns:c="http://schemas.openxmlformats.org/drawingml/2006/chart">
  <cdr:relSizeAnchor xmlns:cdr="http://schemas.openxmlformats.org/drawingml/2006/chartDrawing">
    <cdr:from>
      <cdr:x>0.83237</cdr:x>
      <cdr:y>0.04452</cdr:y>
    </cdr:from>
    <cdr:to>
      <cdr:x>0.96904</cdr:x>
      <cdr:y>0.10408</cdr:y>
    </cdr:to>
    <cdr:sp macro="" textlink="">
      <cdr:nvSpPr>
        <cdr:cNvPr id="2" name="TextBox 1"/>
        <cdr:cNvSpPr txBox="1"/>
      </cdr:nvSpPr>
      <cdr:spPr>
        <a:xfrm xmlns:a="http://schemas.openxmlformats.org/drawingml/2006/main">
          <a:off x="5378606" y="170300"/>
          <a:ext cx="883129" cy="227845"/>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latin typeface="+mj-lt"/>
          </a:endParaRPr>
        </a:p>
      </cdr:txBody>
    </cdr:sp>
  </cdr:relSizeAnchor>
</c:userShapes>
</file>

<file path=word/drawings/drawing24.xml><?xml version="1.0" encoding="utf-8"?>
<c:userShapes xmlns:c="http://schemas.openxmlformats.org/drawingml/2006/chart">
  <cdr:relSizeAnchor xmlns:cdr="http://schemas.openxmlformats.org/drawingml/2006/chartDrawing">
    <cdr:from>
      <cdr:x>0.67384</cdr:x>
      <cdr:y>0.0624</cdr:y>
    </cdr:from>
    <cdr:to>
      <cdr:x>0.98996</cdr:x>
      <cdr:y>0.13557</cdr:y>
    </cdr:to>
    <cdr:sp macro="" textlink="">
      <cdr:nvSpPr>
        <cdr:cNvPr id="3" name="TextBox 1"/>
        <cdr:cNvSpPr txBox="1"/>
      </cdr:nvSpPr>
      <cdr:spPr>
        <a:xfrm xmlns:a="http://schemas.openxmlformats.org/drawingml/2006/main">
          <a:off x="1848478" y="153900"/>
          <a:ext cx="867180" cy="180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sr-Cyrl-RS" sz="800">
              <a:solidFill>
                <a:schemeClr val="accent1">
                  <a:lumMod val="50000"/>
                </a:schemeClr>
              </a:solidFill>
            </a:rPr>
            <a:t>у милионима динара</a:t>
          </a:r>
          <a:endParaRPr lang="en-US" sz="800">
            <a:solidFill>
              <a:schemeClr val="accent1">
                <a:lumMod val="50000"/>
              </a:schemeClr>
            </a:solidFill>
          </a:endParaRPr>
        </a:p>
      </cdr:txBody>
    </cdr:sp>
  </cdr:relSizeAnchor>
</c:userShapes>
</file>

<file path=word/drawings/drawing25.xml><?xml version="1.0" encoding="utf-8"?>
<c:userShapes xmlns:c="http://schemas.openxmlformats.org/drawingml/2006/chart">
  <cdr:relSizeAnchor xmlns:cdr="http://schemas.openxmlformats.org/drawingml/2006/chartDrawing">
    <cdr:from>
      <cdr:x>0.81932</cdr:x>
      <cdr:y>0.0769</cdr:y>
    </cdr:from>
    <cdr:to>
      <cdr:x>0.82058</cdr:x>
      <cdr:y>0.9015</cdr:y>
    </cdr:to>
    <cdr:cxnSp macro="">
      <cdr:nvCxnSpPr>
        <cdr:cNvPr id="3" name="Straight Connector 2"/>
        <cdr:cNvCxnSpPr/>
      </cdr:nvCxnSpPr>
      <cdr:spPr>
        <a:xfrm xmlns:a="http://schemas.openxmlformats.org/drawingml/2006/main">
          <a:off x="6231367" y="342471"/>
          <a:ext cx="9583" cy="3672244"/>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6.xml><?xml version="1.0" encoding="utf-8"?>
<c:userShapes xmlns:c="http://schemas.openxmlformats.org/drawingml/2006/chart">
  <cdr:relSizeAnchor xmlns:cdr="http://schemas.openxmlformats.org/drawingml/2006/chartDrawing">
    <cdr:from>
      <cdr:x>0.105</cdr:x>
      <cdr:y>0.17764</cdr:y>
    </cdr:from>
    <cdr:to>
      <cdr:x>0.3287</cdr:x>
      <cdr:y>0.5815</cdr:y>
    </cdr:to>
    <cdr:sp macro="" textlink="">
      <cdr:nvSpPr>
        <cdr:cNvPr id="11" name="Oval 10"/>
        <cdr:cNvSpPr/>
      </cdr:nvSpPr>
      <cdr:spPr>
        <a:xfrm xmlns:a="http://schemas.openxmlformats.org/drawingml/2006/main">
          <a:off x="289560" y="424697"/>
          <a:ext cx="616931" cy="965539"/>
        </a:xfrm>
        <a:prstGeom xmlns:a="http://schemas.openxmlformats.org/drawingml/2006/main" prst="ellipse">
          <a:avLst/>
        </a:prstGeom>
        <a:solidFill xmlns:a="http://schemas.openxmlformats.org/drawingml/2006/main">
          <a:srgbClr val="51BBE7">
            <a:alpha val="16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0.04835</cdr:x>
      <cdr:y>0.10757</cdr:y>
    </cdr:from>
    <cdr:to>
      <cdr:x>0.26918</cdr:x>
      <cdr:y>0.18693</cdr:y>
    </cdr:to>
    <cdr:sp macro="" textlink="">
      <cdr:nvSpPr>
        <cdr:cNvPr id="6" name="TextBox 5"/>
        <cdr:cNvSpPr txBox="1"/>
      </cdr:nvSpPr>
      <cdr:spPr>
        <a:xfrm xmlns:a="http://schemas.openxmlformats.org/drawingml/2006/main">
          <a:off x="133350" y="257175"/>
          <a:ext cx="608997" cy="18973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0.34193</cdr:x>
      <cdr:y>0.71315</cdr:y>
    </cdr:from>
    <cdr:to>
      <cdr:x>0.59941</cdr:x>
      <cdr:y>0.79283</cdr:y>
    </cdr:to>
    <cdr:sp macro="" textlink="">
      <cdr:nvSpPr>
        <cdr:cNvPr id="7" name="TextBox 6"/>
        <cdr:cNvSpPr txBox="1"/>
      </cdr:nvSpPr>
      <cdr:spPr>
        <a:xfrm xmlns:a="http://schemas.openxmlformats.org/drawingml/2006/main">
          <a:off x="942975" y="1704975"/>
          <a:ext cx="710094" cy="1904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Рестриктивна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0.3287</cdr:x>
      <cdr:y>0.24444</cdr:y>
    </cdr:from>
    <cdr:to>
      <cdr:x>0.41157</cdr:x>
      <cdr:y>0.61707</cdr:y>
    </cdr:to>
    <cdr:sp macro="" textlink="">
      <cdr:nvSpPr>
        <cdr:cNvPr id="12" name="Oval 11"/>
        <cdr:cNvSpPr/>
      </cdr:nvSpPr>
      <cdr:spPr>
        <a:xfrm xmlns:a="http://schemas.openxmlformats.org/drawingml/2006/main">
          <a:off x="2304576" y="1115251"/>
          <a:ext cx="581025" cy="1700115"/>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0.09671</cdr:x>
      <cdr:y>0.23506</cdr:y>
    </cdr:from>
    <cdr:to>
      <cdr:x>0.37136</cdr:x>
      <cdr:y>0.33226</cdr:y>
    </cdr:to>
    <cdr:sp macro="" textlink="">
      <cdr:nvSpPr>
        <cdr:cNvPr id="18" name="TextBox 17"/>
        <cdr:cNvSpPr txBox="1"/>
      </cdr:nvSpPr>
      <cdr:spPr>
        <a:xfrm xmlns:a="http://schemas.openxmlformats.org/drawingml/2006/main">
          <a:off x="266700" y="561975"/>
          <a:ext cx="757426" cy="23238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Проциклична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0.23141</cdr:x>
      <cdr:y>0.5317</cdr:y>
    </cdr:from>
    <cdr:to>
      <cdr:x>0.5388</cdr:x>
      <cdr:y>0.62549</cdr:y>
    </cdr:to>
    <cdr:sp macro="" textlink="">
      <cdr:nvSpPr>
        <cdr:cNvPr id="19" name="TextBox 18"/>
        <cdr:cNvSpPr txBox="1"/>
      </cdr:nvSpPr>
      <cdr:spPr>
        <a:xfrm xmlns:a="http://schemas.openxmlformats.org/drawingml/2006/main">
          <a:off x="638177" y="1271183"/>
          <a:ext cx="847722" cy="22423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Контрациклична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0.41429</cdr:x>
      <cdr:y>0.1902</cdr:y>
    </cdr:from>
    <cdr:to>
      <cdr:x>0.58393</cdr:x>
      <cdr:y>0.7217</cdr:y>
    </cdr:to>
    <cdr:sp macro="" textlink="">
      <cdr:nvSpPr>
        <cdr:cNvPr id="10" name="Oval 9"/>
        <cdr:cNvSpPr/>
      </cdr:nvSpPr>
      <cdr:spPr>
        <a:xfrm xmlns:a="http://schemas.openxmlformats.org/drawingml/2006/main">
          <a:off x="1142531" y="454725"/>
          <a:ext cx="467829" cy="1270697"/>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chemeClr val="accent1">
              <a:shade val="50000"/>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0.39028</cdr:x>
      <cdr:y>0.3004</cdr:y>
    </cdr:from>
    <cdr:to>
      <cdr:x>0.62169</cdr:x>
      <cdr:y>0.38645</cdr:y>
    </cdr:to>
    <cdr:sp macro="" textlink="">
      <cdr:nvSpPr>
        <cdr:cNvPr id="13" name="TextBox 12"/>
        <cdr:cNvSpPr txBox="1"/>
      </cdr:nvSpPr>
      <cdr:spPr>
        <a:xfrm xmlns:a="http://schemas.openxmlformats.org/drawingml/2006/main">
          <a:off x="1076325" y="718199"/>
          <a:ext cx="638175" cy="20572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0" baseline="0">
              <a:solidFill>
                <a:srgbClr val="44546A"/>
              </a:solidFill>
              <a:latin typeface="+mn-lt"/>
            </a:rPr>
            <a:t>Проциклична</a:t>
          </a:r>
          <a:endParaRPr lang="en-US" sz="600" b="0" baseline="0">
            <a:solidFill>
              <a:srgbClr val="44546A"/>
            </a:solidFill>
            <a:latin typeface="+mn-lt"/>
          </a:endParaRPr>
        </a:p>
      </cdr:txBody>
    </cdr:sp>
  </cdr:relSizeAnchor>
  <cdr:relSizeAnchor xmlns:cdr="http://schemas.openxmlformats.org/drawingml/2006/chartDrawing">
    <cdr:from>
      <cdr:x>0.52838</cdr:x>
      <cdr:y>0.08367</cdr:y>
    </cdr:from>
    <cdr:to>
      <cdr:x>0.79093</cdr:x>
      <cdr:y>0.11404</cdr:y>
    </cdr:to>
    <cdr:sp macro="" textlink="">
      <cdr:nvSpPr>
        <cdr:cNvPr id="15" name="TextBox 1"/>
        <cdr:cNvSpPr txBox="1"/>
      </cdr:nvSpPr>
      <cdr:spPr>
        <a:xfrm xmlns:a="http://schemas.openxmlformats.org/drawingml/2006/main">
          <a:off x="1457163" y="200025"/>
          <a:ext cx="724062" cy="7262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0"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0.58761</cdr:x>
      <cdr:y>0.09391</cdr:y>
    </cdr:from>
    <cdr:to>
      <cdr:x>0.85102</cdr:x>
      <cdr:y>0.75514</cdr:y>
    </cdr:to>
    <cdr:sp macro="" textlink="">
      <cdr:nvSpPr>
        <cdr:cNvPr id="16" name="Oval 15"/>
        <cdr:cNvSpPr/>
      </cdr:nvSpPr>
      <cdr:spPr>
        <a:xfrm xmlns:a="http://schemas.openxmlformats.org/drawingml/2006/main">
          <a:off x="1620521" y="224518"/>
          <a:ext cx="726439" cy="1580852"/>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effectLst/>
          </a:endParaRPr>
        </a:p>
      </cdr:txBody>
    </cdr:sp>
  </cdr:relSizeAnchor>
  <cdr:relSizeAnchor xmlns:cdr="http://schemas.openxmlformats.org/drawingml/2006/chartDrawing">
    <cdr:from>
      <cdr:x>0.59406</cdr:x>
      <cdr:y>0.60242</cdr:y>
    </cdr:from>
    <cdr:to>
      <cdr:x>0.88418</cdr:x>
      <cdr:y>0.66932</cdr:y>
    </cdr:to>
    <cdr:sp macro="" textlink="">
      <cdr:nvSpPr>
        <cdr:cNvPr id="20" name="TextBox 1"/>
        <cdr:cNvSpPr txBox="1"/>
      </cdr:nvSpPr>
      <cdr:spPr>
        <a:xfrm xmlns:a="http://schemas.openxmlformats.org/drawingml/2006/main">
          <a:off x="1638300" y="1440252"/>
          <a:ext cx="800099" cy="15994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0" baseline="0">
              <a:solidFill>
                <a:srgbClr val="44546A"/>
              </a:solidFill>
              <a:latin typeface="+mn-lt"/>
              <a:cs typeface="Times New Roman" pitchFamily="18" charset="0"/>
            </a:rPr>
            <a:t>Контрациклична</a:t>
          </a:r>
          <a:endParaRPr lang="en-US" sz="600" b="0" baseline="0">
            <a:solidFill>
              <a:srgbClr val="44546A"/>
            </a:solidFill>
            <a:latin typeface="+mn-lt"/>
            <a:cs typeface="Times New Roman" pitchFamily="18" charset="0"/>
          </a:endParaRPr>
        </a:p>
      </cdr:txBody>
    </cdr:sp>
  </cdr:relSizeAnchor>
</c:userShapes>
</file>

<file path=word/drawings/drawing27.xml><?xml version="1.0" encoding="utf-8"?>
<c:userShapes xmlns:c="http://schemas.openxmlformats.org/drawingml/2006/chart">
  <cdr:relSizeAnchor xmlns:cdr="http://schemas.openxmlformats.org/drawingml/2006/chartDrawing">
    <cdr:from>
      <cdr:x>0.04375</cdr:x>
      <cdr:y>0.88368</cdr:y>
    </cdr:from>
    <cdr:to>
      <cdr:x>0.16667</cdr:x>
      <cdr:y>0.93576</cdr:y>
    </cdr:to>
    <cdr:sp macro="" textlink="">
      <cdr:nvSpPr>
        <cdr:cNvPr id="2"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0.04792</cdr:x>
      <cdr:y>0.73785</cdr:y>
    </cdr:from>
    <cdr:to>
      <cdr:x>0.24167</cdr:x>
      <cdr:y>0.86979</cdr:y>
    </cdr:to>
    <cdr:sp macro="" textlink="">
      <cdr:nvSpPr>
        <cdr:cNvPr id="3" name="TextBox 2"/>
        <cdr:cNvSpPr txBox="1"/>
      </cdr:nvSpPr>
      <cdr:spPr>
        <a:xfrm xmlns:a="http://schemas.openxmlformats.org/drawingml/2006/main">
          <a:off x="228061" y="2482144"/>
          <a:ext cx="922095" cy="4438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800">
            <a:latin typeface="+mj-lt"/>
          </a:endParaRPr>
        </a:p>
      </cdr:txBody>
    </cdr:sp>
  </cdr:relSizeAnchor>
  <cdr:relSizeAnchor xmlns:cdr="http://schemas.openxmlformats.org/drawingml/2006/chartDrawing">
    <cdr:from>
      <cdr:x>0.66875</cdr:x>
      <cdr:y>0.74826</cdr:y>
    </cdr:from>
    <cdr:to>
      <cdr:x>0.9125</cdr:x>
      <cdr:y>0.84549</cdr:y>
    </cdr:to>
    <cdr:sp macro="" textlink="">
      <cdr:nvSpPr>
        <cdr:cNvPr id="4"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0.76703</cdr:x>
      <cdr:y>0.16819</cdr:y>
    </cdr:from>
    <cdr:to>
      <cdr:x>0.98856</cdr:x>
      <cdr:y>0.2903</cdr:y>
    </cdr:to>
    <cdr:sp macro="" textlink="">
      <cdr:nvSpPr>
        <cdr:cNvPr id="5" name="TextBox 1"/>
        <cdr:cNvSpPr txBox="1"/>
      </cdr:nvSpPr>
      <cdr:spPr>
        <a:xfrm xmlns:a="http://schemas.openxmlformats.org/drawingml/2006/main">
          <a:off x="3650440" y="565780"/>
          <a:ext cx="1054306"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0.73125</cdr:x>
      <cdr:y>0.8206</cdr:y>
    </cdr:from>
    <cdr:to>
      <cdr:x>0.95417</cdr:x>
      <cdr:y>0.94271</cdr:y>
    </cdr:to>
    <cdr:sp macro="" textlink="">
      <cdr:nvSpPr>
        <cdr:cNvPr id="6" name="TextBox 1"/>
        <cdr:cNvSpPr txBox="1"/>
      </cdr:nvSpPr>
      <cdr:spPr>
        <a:xfrm xmlns:a="http://schemas.openxmlformats.org/drawingml/2006/main">
          <a:off x="3480164" y="2760516"/>
          <a:ext cx="1060921"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0.04928</cdr:x>
      <cdr:y>0.22036</cdr:y>
    </cdr:from>
    <cdr:to>
      <cdr:x>0.27219</cdr:x>
      <cdr:y>0.34247</cdr:y>
    </cdr:to>
    <cdr:sp macro="" textlink="">
      <cdr:nvSpPr>
        <cdr:cNvPr id="7" name="TextBox 1"/>
        <cdr:cNvSpPr txBox="1"/>
      </cdr:nvSpPr>
      <cdr:spPr>
        <a:xfrm xmlns:a="http://schemas.openxmlformats.org/drawingml/2006/main">
          <a:off x="234530" y="741312"/>
          <a:ext cx="1060873" cy="410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Cambria" panose="02040503050406030204" pitchFamily="18" charset="0"/>
          </a:endParaRPr>
        </a:p>
      </cdr:txBody>
    </cdr:sp>
  </cdr:relSizeAnchor>
  <cdr:relSizeAnchor xmlns:cdr="http://schemas.openxmlformats.org/drawingml/2006/chartDrawing">
    <cdr:from>
      <cdr:x>0.04375</cdr:x>
      <cdr:y>0.88368</cdr:y>
    </cdr:from>
    <cdr:to>
      <cdr:x>0.16667</cdr:x>
      <cdr:y>0.93576</cdr:y>
    </cdr:to>
    <cdr:sp macro="" textlink="">
      <cdr:nvSpPr>
        <cdr:cNvPr id="14"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cdr:x>
      <cdr:y>0.90228</cdr:y>
    </cdr:from>
    <cdr:to>
      <cdr:x>0.32492</cdr:x>
      <cdr:y>1</cdr:y>
    </cdr:to>
    <cdr:sp macro="" textlink="">
      <cdr:nvSpPr>
        <cdr:cNvPr id="15" name="TextBox 2"/>
        <cdr:cNvSpPr txBox="1"/>
      </cdr:nvSpPr>
      <cdr:spPr>
        <a:xfrm xmlns:a="http://schemas.openxmlformats.org/drawingml/2006/main">
          <a:off x="-4114800" y="3042353"/>
          <a:ext cx="923920" cy="32949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0">
              <a:solidFill>
                <a:srgbClr val="44546A"/>
              </a:solidFill>
              <a:latin typeface="Calibri" panose="020F0502020204030204" pitchFamily="34" charset="0"/>
            </a:rPr>
            <a:t>проциклично</a:t>
          </a:r>
          <a:r>
            <a:rPr lang="sr-Cyrl-CS" sz="600" b="0" baseline="0">
              <a:solidFill>
                <a:srgbClr val="44546A"/>
              </a:solidFill>
              <a:latin typeface="Calibri" panose="020F0502020204030204" pitchFamily="34" charset="0"/>
            </a:rPr>
            <a:t> - рестриктивна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0.66875</cdr:x>
      <cdr:y>0.74826</cdr:y>
    </cdr:from>
    <cdr:to>
      <cdr:x>0.9125</cdr:x>
      <cdr:y>0.84549</cdr:y>
    </cdr:to>
    <cdr:sp macro="" textlink="">
      <cdr:nvSpPr>
        <cdr:cNvPr id="16"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0.76038</cdr:x>
      <cdr:y>0</cdr:y>
    </cdr:from>
    <cdr:to>
      <cdr:x>1</cdr:x>
      <cdr:y>0.09594</cdr:y>
    </cdr:to>
    <cdr:sp macro="" textlink="">
      <cdr:nvSpPr>
        <cdr:cNvPr id="17" name="TextBox 1"/>
        <cdr:cNvSpPr txBox="1"/>
      </cdr:nvSpPr>
      <cdr:spPr>
        <a:xfrm xmlns:a="http://schemas.openxmlformats.org/drawingml/2006/main">
          <a:off x="2162175" y="-4562475"/>
          <a:ext cx="681355" cy="32349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проциклично</a:t>
          </a:r>
          <a:r>
            <a:rPr lang="sr-Cyrl-CS" sz="600" b="0" baseline="0">
              <a:solidFill>
                <a:srgbClr val="44546A"/>
              </a:solidFill>
              <a:latin typeface="Calibri" panose="020F0502020204030204" pitchFamily="34" charset="0"/>
            </a:rPr>
            <a:t> - експанзивна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0.71149</cdr:x>
      <cdr:y>0.90748</cdr:y>
    </cdr:from>
    <cdr:to>
      <cdr:x>1</cdr:x>
      <cdr:y>1</cdr:y>
    </cdr:to>
    <cdr:sp macro="" textlink="">
      <cdr:nvSpPr>
        <cdr:cNvPr id="18" name="TextBox 1"/>
        <cdr:cNvSpPr txBox="1"/>
      </cdr:nvSpPr>
      <cdr:spPr>
        <a:xfrm xmlns:a="http://schemas.openxmlformats.org/drawingml/2006/main">
          <a:off x="2023143" y="3059887"/>
          <a:ext cx="820387" cy="31196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контрациклично</a:t>
          </a:r>
          <a:r>
            <a:rPr lang="sr-Cyrl-CS" sz="600" b="0" baseline="0">
              <a:solidFill>
                <a:srgbClr val="44546A"/>
              </a:solidFill>
              <a:latin typeface="Calibri" panose="020F0502020204030204" pitchFamily="34" charset="0"/>
            </a:rPr>
            <a:t> - рестриктивна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cdr:x>
      <cdr:y>0</cdr:y>
    </cdr:from>
    <cdr:to>
      <cdr:x>0.35172</cdr:x>
      <cdr:y>0.0791</cdr:y>
    </cdr:to>
    <cdr:sp macro="" textlink="">
      <cdr:nvSpPr>
        <cdr:cNvPr id="19" name="TextBox 1"/>
        <cdr:cNvSpPr txBox="1"/>
      </cdr:nvSpPr>
      <cdr:spPr>
        <a:xfrm xmlns:a="http://schemas.openxmlformats.org/drawingml/2006/main">
          <a:off x="-4114800" y="-4562475"/>
          <a:ext cx="1000125" cy="2667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контрациклично</a:t>
          </a:r>
          <a:r>
            <a:rPr lang="sr-Cyrl-CS" sz="600" b="1" baseline="0">
              <a:solidFill>
                <a:srgbClr val="44546A"/>
              </a:solidFill>
              <a:latin typeface="Calibri" panose="020F0502020204030204" pitchFamily="34" charset="0"/>
            </a:rPr>
            <a:t> - експанзивна</a:t>
          </a:r>
          <a:endParaRPr lang="sr-Cyrl-CS" sz="600" b="1">
            <a:solidFill>
              <a:srgbClr val="44546A"/>
            </a:solidFill>
            <a:latin typeface="Calibri" panose="020F0502020204030204" pitchFamily="34" charset="0"/>
          </a:endParaRPr>
        </a:p>
      </cdr:txBody>
    </cdr:sp>
  </cdr:relSizeAnchor>
</c:userShapes>
</file>

<file path=word/drawings/drawing28.xml><?xml version="1.0" encoding="utf-8"?>
<c:userShapes xmlns:c="http://schemas.openxmlformats.org/drawingml/2006/chart">
  <cdr:relSizeAnchor xmlns:cdr="http://schemas.openxmlformats.org/drawingml/2006/chartDrawing">
    <cdr:from>
      <cdr:x>0.0846</cdr:x>
      <cdr:y>0.63549</cdr:y>
    </cdr:from>
    <cdr:to>
      <cdr:x>0.9665</cdr:x>
      <cdr:y>0.63845</cdr:y>
    </cdr:to>
    <cdr:sp macro="" textlink="">
      <cdr:nvSpPr>
        <cdr:cNvPr id="3" name="Straight Connector 2"/>
        <cdr:cNvSpPr/>
      </cdr:nvSpPr>
      <cdr:spPr>
        <a:xfrm xmlns:a="http://schemas.openxmlformats.org/drawingml/2006/main">
          <a:off x="529167" y="2804584"/>
          <a:ext cx="5516061" cy="13054"/>
        </a:xfrm>
        <a:prstGeom xmlns:a="http://schemas.openxmlformats.org/drawingml/2006/main" prst="line">
          <a:avLst/>
        </a:prstGeom>
        <a:ln xmlns:a="http://schemas.openxmlformats.org/drawingml/2006/main" w="15875">
          <a:solidFill>
            <a:schemeClr val="dk1">
              <a:shade val="95000"/>
              <a:satMod val="10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0.07445</cdr:x>
      <cdr:y>0.17658</cdr:y>
    </cdr:from>
    <cdr:to>
      <cdr:x>0.97329</cdr:x>
      <cdr:y>0.18192</cdr:y>
    </cdr:to>
    <cdr:cxnSp macro="">
      <cdr:nvCxnSpPr>
        <cdr:cNvPr id="4" name="Straight Connector 3">
          <a:extLst xmlns:a="http://schemas.openxmlformats.org/drawingml/2006/main">
            <a:ext uri="{FF2B5EF4-FFF2-40B4-BE49-F238E27FC236}">
              <a16:creationId xmlns:a16="http://schemas.microsoft.com/office/drawing/2014/main" id="{12B4E1F9-C0BE-5F5D-96A4-48B91145F0C8}"/>
            </a:ext>
          </a:extLst>
        </cdr:cNvPr>
        <cdr:cNvCxnSpPr/>
      </cdr:nvCxnSpPr>
      <cdr:spPr>
        <a:xfrm xmlns:a="http://schemas.openxmlformats.org/drawingml/2006/main" flipV="1">
          <a:off x="465652" y="779308"/>
          <a:ext cx="5622019" cy="23567"/>
        </a:xfrm>
        <a:prstGeom xmlns:a="http://schemas.openxmlformats.org/drawingml/2006/main" prst="line">
          <a:avLst/>
        </a:prstGeom>
        <a:ln xmlns:a="http://schemas.openxmlformats.org/drawingml/2006/main" w="15875">
          <a:solidFill>
            <a:schemeClr val="accent2">
              <a:shade val="95000"/>
              <a:satMod val="105000"/>
              <a:alpha val="70000"/>
            </a:schemeClr>
          </a:solidFill>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0.07073</cdr:x>
      <cdr:y>0.33466</cdr:y>
    </cdr:from>
    <cdr:to>
      <cdr:x>0.97335</cdr:x>
      <cdr:y>0.33705</cdr:y>
    </cdr:to>
    <cdr:sp macro="" textlink="">
      <cdr:nvSpPr>
        <cdr:cNvPr id="5" name="Straight Connector 4"/>
        <cdr:cNvSpPr/>
      </cdr:nvSpPr>
      <cdr:spPr>
        <a:xfrm xmlns:a="http://schemas.openxmlformats.org/drawingml/2006/main">
          <a:off x="442385" y="1476950"/>
          <a:ext cx="5645662" cy="10548"/>
        </a:xfrm>
        <a:prstGeom xmlns:a="http://schemas.openxmlformats.org/drawingml/2006/main" prst="line">
          <a:avLst/>
        </a:prstGeom>
        <a:ln xmlns:a="http://schemas.openxmlformats.org/drawingml/2006/main" w="15875">
          <a:solidFill>
            <a:schemeClr val="accent3">
              <a:lumMod val="7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sz="7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4.xml><?xml version="1.0" encoding="utf-8"?>
<a:themeOverride xmlns:a="http://schemas.openxmlformats.org/drawingml/2006/main">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67F9B4-89BD-487F-A439-81068B405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106</Pages>
  <Words>47783</Words>
  <Characters>272367</Characters>
  <Application>Microsoft Office Word</Application>
  <DocSecurity>0</DocSecurity>
  <Lines>2269</Lines>
  <Paragraphs>639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319511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Nenad Jevtović</dc:creator>
  <cp:keywords/>
  <dc:description/>
  <cp:lastModifiedBy>Bojan Grgić</cp:lastModifiedBy>
  <cp:revision>2</cp:revision>
  <cp:lastPrinted>2024-10-31T08:10:00Z</cp:lastPrinted>
  <dcterms:created xsi:type="dcterms:W3CDTF">2024-11-04T11:26:00Z</dcterms:created>
  <dcterms:modified xsi:type="dcterms:W3CDTF">2024-11-04T11:26:00Z</dcterms:modified>
</cp:coreProperties>
</file>