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000" w:firstRow="0" w:lastRow="0" w:firstColumn="0" w:lastColumn="0" w:noHBand="0" w:noVBand="0"/>
      </w:tblPr>
      <w:tblGrid>
        <w:gridCol w:w="10716"/>
        <w:gridCol w:w="3234"/>
      </w:tblGrid>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shd w:val="clear" w:color="auto" w:fill="D9D9D9"/>
          </w:tcPr>
          <w:p w:rsidR="00C46B35" w:rsidRPr="00B22F97" w:rsidRDefault="00C46B35" w:rsidP="00DC1923">
            <w:pPr>
              <w:spacing w:before="120" w:after="120"/>
              <w:jc w:val="both"/>
              <w:rPr>
                <w:sz w:val="20"/>
                <w:szCs w:val="20"/>
                <w:lang w:val="sr-Latn-CS"/>
              </w:rPr>
            </w:pPr>
            <w:r w:rsidRPr="00B22F97">
              <w:rPr>
                <w:sz w:val="20"/>
                <w:szCs w:val="20"/>
                <w:lang w:val="sr-Cyrl-CS"/>
              </w:rPr>
              <w:t>1. Назив прописа Eвропске уније</w:t>
            </w:r>
            <w:r w:rsidRPr="00B22F97" w:rsidDel="00C32699">
              <w:rPr>
                <w:sz w:val="20"/>
                <w:szCs w:val="20"/>
                <w:lang w:val="sr-Cyrl-CS"/>
              </w:rPr>
              <w:t xml:space="preserve"> </w:t>
            </w:r>
            <w:r w:rsidRPr="00B22F97">
              <w:rPr>
                <w:sz w:val="20"/>
                <w:szCs w:val="20"/>
                <w:lang w:val="sr-Cyrl-CS"/>
              </w:rPr>
              <w:t xml:space="preserve">: </w:t>
            </w:r>
          </w:p>
          <w:p w:rsidR="00C46B35" w:rsidRPr="00B22F97" w:rsidRDefault="00C46B35" w:rsidP="00DC1923">
            <w:pPr>
              <w:spacing w:before="120" w:after="120"/>
              <w:jc w:val="both"/>
              <w:rPr>
                <w:b/>
                <w:sz w:val="20"/>
                <w:szCs w:val="20"/>
              </w:rPr>
            </w:pPr>
            <w:r w:rsidRPr="00B22F97">
              <w:rPr>
                <w:b/>
                <w:sz w:val="20"/>
                <w:szCs w:val="20"/>
              </w:rPr>
              <w:t>Directive 2014/40/EU of the European Parliament and of the Council of 3 April 2014</w:t>
            </w:r>
          </w:p>
          <w:p w:rsidR="00C46B35" w:rsidRPr="00B22F97" w:rsidRDefault="00C46B35" w:rsidP="00DC1923">
            <w:pPr>
              <w:spacing w:before="120" w:after="120"/>
              <w:jc w:val="both"/>
              <w:rPr>
                <w:b/>
                <w:sz w:val="20"/>
                <w:szCs w:val="20"/>
                <w:lang w:val="sr-Cyrl-CS"/>
              </w:rPr>
            </w:pPr>
            <w:r w:rsidRPr="00B22F97">
              <w:rPr>
                <w:b/>
                <w:sz w:val="20"/>
                <w:szCs w:val="20"/>
                <w:lang w:val="sr-Cyrl-CS"/>
              </w:rPr>
              <w:t xml:space="preserve">Директива Европског парламента и Савета 2014/40/ЕУ од 3. априла 2014. године о приближавању закона и других прописа држава чланица о производњи, представљању и продаји дуванских и сродних производа и о престанку важења Директиве 2001/37/ЕЗ </w:t>
            </w:r>
          </w:p>
        </w:tc>
        <w:tc>
          <w:tcPr>
            <w:tcW w:w="1159" w:type="pct"/>
            <w:tcBorders>
              <w:top w:val="single" w:sz="4" w:space="0" w:color="auto"/>
              <w:left w:val="single" w:sz="4" w:space="0" w:color="auto"/>
              <w:bottom w:val="single" w:sz="4" w:space="0" w:color="auto"/>
              <w:right w:val="single" w:sz="4" w:space="0" w:color="auto"/>
            </w:tcBorders>
            <w:shd w:val="clear" w:color="auto" w:fill="D9D9D9"/>
          </w:tcPr>
          <w:p w:rsidR="00C46B35" w:rsidRPr="00B22F97" w:rsidRDefault="00C46B35" w:rsidP="00DC1923">
            <w:pPr>
              <w:spacing w:before="120" w:after="120"/>
              <w:jc w:val="both"/>
              <w:rPr>
                <w:iCs/>
                <w:sz w:val="20"/>
                <w:szCs w:val="20"/>
                <w:lang w:val="ru-RU"/>
              </w:rPr>
            </w:pPr>
            <w:r w:rsidRPr="00B22F97">
              <w:rPr>
                <w:iCs/>
                <w:sz w:val="20"/>
                <w:szCs w:val="20"/>
                <w:lang w:val="ru-RU"/>
              </w:rPr>
              <w:t>2. „CELEX” ознака ЕУ прописа</w:t>
            </w:r>
          </w:p>
          <w:p w:rsidR="00C46B35" w:rsidRPr="00B22F97" w:rsidRDefault="00C46B35" w:rsidP="00DC1923">
            <w:pPr>
              <w:spacing w:before="120" w:after="120"/>
              <w:jc w:val="both"/>
              <w:rPr>
                <w:b/>
                <w:bCs/>
                <w:sz w:val="20"/>
                <w:szCs w:val="20"/>
                <w:lang w:val="sr-Cyrl-CS"/>
              </w:rPr>
            </w:pPr>
            <w:r w:rsidRPr="00B22F97">
              <w:rPr>
                <w:b/>
                <w:bCs/>
                <w:sz w:val="20"/>
                <w:szCs w:val="20"/>
                <w:lang w:val="sr-Cyrl-CS"/>
              </w:rPr>
              <w:t>32014</w:t>
            </w:r>
            <w:r w:rsidRPr="00B22F97">
              <w:rPr>
                <w:b/>
                <w:bCs/>
                <w:sz w:val="20"/>
                <w:szCs w:val="20"/>
              </w:rPr>
              <w:t>L</w:t>
            </w:r>
            <w:r w:rsidRPr="00B22F97">
              <w:rPr>
                <w:b/>
                <w:bCs/>
                <w:sz w:val="20"/>
                <w:szCs w:val="20"/>
                <w:lang w:val="sr-Cyrl-CS"/>
              </w:rPr>
              <w:t>0040</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rPr>
                <w:b/>
                <w:sz w:val="20"/>
                <w:szCs w:val="20"/>
                <w:lang w:val="sr-Cyrl-CS"/>
              </w:rPr>
            </w:pPr>
            <w:r w:rsidRPr="00B22F97">
              <w:rPr>
                <w:sz w:val="20"/>
                <w:szCs w:val="20"/>
                <w:lang w:val="sr-Cyrl-CS"/>
              </w:rPr>
              <w:t xml:space="preserve">3. Орган државне управе, односно други овлашћени предлагач прописа: </w:t>
            </w:r>
            <w:r w:rsidRPr="00B22F97">
              <w:rPr>
                <w:b/>
                <w:sz w:val="20"/>
                <w:szCs w:val="20"/>
                <w:lang w:val="sr-Cyrl-CS"/>
              </w:rPr>
              <w:t>Влада</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iCs/>
                <w:sz w:val="20"/>
                <w:szCs w:val="20"/>
                <w:lang w:val="ru-RU"/>
              </w:rPr>
            </w:pPr>
            <w:r w:rsidRPr="00B22F97">
              <w:rPr>
                <w:iCs/>
                <w:sz w:val="20"/>
                <w:szCs w:val="20"/>
                <w:lang w:val="ru-RU"/>
              </w:rPr>
              <w:t xml:space="preserve">4. Датум израде табеле: </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jc w:val="both"/>
              <w:rPr>
                <w:b/>
                <w:noProof/>
                <w:color w:val="000000"/>
                <w:sz w:val="20"/>
                <w:szCs w:val="20"/>
              </w:rPr>
            </w:pPr>
          </w:p>
          <w:p w:rsidR="00C46B35" w:rsidRPr="00B22F97" w:rsidRDefault="00C46B35" w:rsidP="00DC1923">
            <w:pPr>
              <w:jc w:val="both"/>
              <w:rPr>
                <w:b/>
                <w:sz w:val="20"/>
                <w:szCs w:val="20"/>
                <w:lang w:val="sr-Cyrl-CS"/>
              </w:rPr>
            </w:pPr>
            <w:r w:rsidRPr="00B22F97">
              <w:rPr>
                <w:b/>
                <w:noProof/>
                <w:color w:val="000000"/>
                <w:sz w:val="20"/>
                <w:szCs w:val="20"/>
                <w:lang w:val="sr-Cyrl-CS"/>
              </w:rPr>
              <w:t xml:space="preserve">    </w:t>
            </w:r>
            <w:r w:rsidRPr="00B22F97">
              <w:rPr>
                <w:noProof/>
                <w:color w:val="000000"/>
                <w:sz w:val="20"/>
                <w:szCs w:val="20"/>
                <w:lang w:val="sr-Cyrl-CS"/>
              </w:rPr>
              <w:t xml:space="preserve">Обрађивач: </w:t>
            </w:r>
            <w:r w:rsidRPr="00B22F97">
              <w:rPr>
                <w:b/>
                <w:noProof/>
                <w:color w:val="000000"/>
                <w:sz w:val="20"/>
                <w:szCs w:val="20"/>
                <w:lang w:val="sr-Cyrl-CS"/>
              </w:rPr>
              <w:t>Министарство финансија</w:t>
            </w:r>
          </w:p>
        </w:tc>
        <w:tc>
          <w:tcPr>
            <w:tcW w:w="1159" w:type="pct"/>
            <w:tcBorders>
              <w:top w:val="single" w:sz="4" w:space="0" w:color="auto"/>
              <w:left w:val="single" w:sz="4" w:space="0" w:color="auto"/>
              <w:bottom w:val="single" w:sz="4" w:space="0" w:color="auto"/>
              <w:right w:val="single" w:sz="4" w:space="0" w:color="auto"/>
            </w:tcBorders>
          </w:tcPr>
          <w:p w:rsidR="00C46B35" w:rsidRPr="00FF666D" w:rsidRDefault="00FF666D" w:rsidP="00086D2E">
            <w:pPr>
              <w:jc w:val="both"/>
              <w:rPr>
                <w:iCs/>
                <w:sz w:val="20"/>
                <w:szCs w:val="20"/>
                <w:lang w:val="sr-Latn-CS"/>
              </w:rPr>
            </w:pPr>
            <w:r>
              <w:rPr>
                <w:iCs/>
                <w:sz w:val="20"/>
                <w:szCs w:val="20"/>
                <w:lang w:val="sr-Latn-CS"/>
              </w:rPr>
              <w:t>21</w:t>
            </w:r>
            <w:r w:rsidR="00C46B35" w:rsidRPr="00FF666D">
              <w:rPr>
                <w:iCs/>
                <w:sz w:val="20"/>
                <w:szCs w:val="20"/>
                <w:lang w:val="sr-Latn-CS"/>
              </w:rPr>
              <w:t>.</w:t>
            </w:r>
            <w:r w:rsidR="00086D2E" w:rsidRPr="00FF666D">
              <w:rPr>
                <w:iCs/>
                <w:sz w:val="20"/>
                <w:szCs w:val="20"/>
                <w:lang w:val="sr-Latn-CS"/>
              </w:rPr>
              <w:t>1</w:t>
            </w:r>
            <w:r w:rsidR="00C46B35" w:rsidRPr="00FF666D">
              <w:rPr>
                <w:iCs/>
                <w:sz w:val="20"/>
                <w:szCs w:val="20"/>
                <w:lang w:val="sr-Latn-CS"/>
              </w:rPr>
              <w:t>0.202</w:t>
            </w:r>
            <w:r w:rsidR="00086D2E" w:rsidRPr="00FF666D">
              <w:rPr>
                <w:iCs/>
                <w:sz w:val="20"/>
                <w:szCs w:val="20"/>
                <w:lang w:val="sr-Latn-CS"/>
              </w:rPr>
              <w:t>4</w:t>
            </w:r>
            <w:r w:rsidR="00C46B35" w:rsidRPr="00FF666D">
              <w:rPr>
                <w:iCs/>
                <w:sz w:val="20"/>
                <w:szCs w:val="20"/>
                <w:lang w:val="sr-Latn-CS"/>
              </w:rPr>
              <w:t>.</w:t>
            </w:r>
          </w:p>
        </w:tc>
      </w:tr>
      <w:tr w:rsidR="00C46B35" w:rsidRPr="00B22F97" w:rsidTr="00DC1923">
        <w:trPr>
          <w:trHeight w:val="531"/>
          <w:jc w:val="center"/>
        </w:trPr>
        <w:tc>
          <w:tcPr>
            <w:tcW w:w="3841"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spacing w:before="120" w:after="120"/>
              <w:jc w:val="both"/>
              <w:rPr>
                <w:sz w:val="20"/>
                <w:szCs w:val="20"/>
                <w:lang w:val="sr-Cyrl-CS"/>
              </w:rPr>
            </w:pPr>
            <w:r w:rsidRPr="00B22F97">
              <w:rPr>
                <w:sz w:val="20"/>
                <w:szCs w:val="20"/>
                <w:lang w:val="sr-Cyrl-CS"/>
              </w:rPr>
              <w:t>5. Назив (нацрта, предлога) прописа чије одредбе су предмет анализе усклађености са прописом Европске уније</w:t>
            </w:r>
            <w:r w:rsidRPr="00B22F97">
              <w:rPr>
                <w:rStyle w:val="hps"/>
                <w:sz w:val="20"/>
                <w:szCs w:val="20"/>
                <w:lang w:val="sr-Cyrl-CS"/>
              </w:rPr>
              <w:t>:</w:t>
            </w:r>
          </w:p>
        </w:tc>
        <w:tc>
          <w:tcPr>
            <w:tcW w:w="1159" w:type="pct"/>
            <w:tcBorders>
              <w:top w:val="single" w:sz="4" w:space="0" w:color="auto"/>
              <w:left w:val="single" w:sz="4" w:space="0" w:color="auto"/>
              <w:bottom w:val="single" w:sz="4" w:space="0" w:color="auto"/>
              <w:right w:val="single" w:sz="4" w:space="0" w:color="auto"/>
            </w:tcBorders>
          </w:tcPr>
          <w:p w:rsidR="00C46B35" w:rsidRPr="00B22F97" w:rsidRDefault="00C46B35" w:rsidP="00DC1923">
            <w:pPr>
              <w:spacing w:before="120" w:after="120"/>
              <w:jc w:val="both"/>
              <w:rPr>
                <w:iCs/>
                <w:sz w:val="20"/>
                <w:szCs w:val="20"/>
                <w:lang w:val="ru-RU"/>
              </w:rPr>
            </w:pPr>
            <w:r w:rsidRPr="00B22F97">
              <w:rPr>
                <w:iCs/>
                <w:sz w:val="20"/>
                <w:szCs w:val="20"/>
                <w:lang w:val="ru-RU"/>
              </w:rPr>
              <w:t>6. Бројчане ознаке (шифре) планираних прописа из базе НПAA</w:t>
            </w:r>
            <w:r w:rsidRPr="00B22F97">
              <w:rPr>
                <w:rStyle w:val="hps"/>
                <w:iCs/>
                <w:sz w:val="20"/>
                <w:szCs w:val="20"/>
                <w:lang w:val="ru-RU"/>
              </w:rPr>
              <w:t>:</w:t>
            </w:r>
          </w:p>
        </w:tc>
      </w:tr>
      <w:tr w:rsidR="00C46B35" w:rsidRPr="00B22F97" w:rsidTr="00DC1923">
        <w:trPr>
          <w:jc w:val="center"/>
        </w:trPr>
        <w:tc>
          <w:tcPr>
            <w:tcW w:w="3841" w:type="pct"/>
            <w:tcBorders>
              <w:top w:val="single" w:sz="4" w:space="0" w:color="auto"/>
              <w:left w:val="single" w:sz="4" w:space="0" w:color="auto"/>
              <w:bottom w:val="single" w:sz="4" w:space="0" w:color="auto"/>
              <w:right w:val="single" w:sz="4" w:space="0" w:color="auto"/>
            </w:tcBorders>
          </w:tcPr>
          <w:p w:rsidR="00C46B35" w:rsidRPr="00352945" w:rsidRDefault="00414CB5" w:rsidP="00DC1923">
            <w:pPr>
              <w:jc w:val="both"/>
              <w:rPr>
                <w:rStyle w:val="hps"/>
                <w:b/>
                <w:sz w:val="20"/>
                <w:szCs w:val="20"/>
                <w:lang w:val="sr-Cyrl-RS"/>
              </w:rPr>
            </w:pPr>
            <w:r>
              <w:rPr>
                <w:rStyle w:val="hps"/>
                <w:b/>
                <w:sz w:val="20"/>
                <w:szCs w:val="20"/>
                <w:lang w:val="sr-Cyrl-CS"/>
              </w:rPr>
              <w:t>Предлог</w:t>
            </w:r>
            <w:r w:rsidR="00C46B35" w:rsidRPr="00352945">
              <w:rPr>
                <w:rStyle w:val="hps"/>
                <w:b/>
                <w:sz w:val="20"/>
                <w:szCs w:val="20"/>
                <w:lang w:val="sr-Cyrl-CS"/>
              </w:rPr>
              <w:t xml:space="preserve"> закона о изменама и допунама Закона о </w:t>
            </w:r>
            <w:r w:rsidR="00086D2E" w:rsidRPr="00352945">
              <w:rPr>
                <w:rStyle w:val="hps"/>
                <w:b/>
                <w:sz w:val="20"/>
                <w:szCs w:val="20"/>
                <w:lang w:val="sr-Cyrl-RS"/>
              </w:rPr>
              <w:t>акцизама</w:t>
            </w:r>
          </w:p>
          <w:p w:rsidR="00C46B35" w:rsidRPr="00086D2E" w:rsidRDefault="00C46B35" w:rsidP="00086D2E">
            <w:pPr>
              <w:jc w:val="both"/>
              <w:rPr>
                <w:sz w:val="20"/>
                <w:szCs w:val="20"/>
                <w:highlight w:val="yellow"/>
              </w:rPr>
            </w:pPr>
            <w:r w:rsidRPr="00352945">
              <w:rPr>
                <w:b/>
                <w:iCs/>
                <w:sz w:val="20"/>
                <w:szCs w:val="20"/>
                <w:lang w:val="sr-Cyrl-CS"/>
              </w:rPr>
              <w:t xml:space="preserve">Draft </w:t>
            </w:r>
            <w:r w:rsidRPr="00352945">
              <w:rPr>
                <w:b/>
                <w:iCs/>
                <w:sz w:val="20"/>
                <w:szCs w:val="20"/>
              </w:rPr>
              <w:t>L</w:t>
            </w:r>
            <w:r w:rsidRPr="00352945">
              <w:rPr>
                <w:b/>
                <w:iCs/>
                <w:sz w:val="20"/>
                <w:szCs w:val="20"/>
                <w:lang w:val="sr-Cyrl-CS"/>
              </w:rPr>
              <w:t xml:space="preserve">aw on </w:t>
            </w:r>
            <w:r w:rsidRPr="00352945">
              <w:rPr>
                <w:b/>
                <w:iCs/>
                <w:sz w:val="20"/>
                <w:szCs w:val="20"/>
              </w:rPr>
              <w:t>A</w:t>
            </w:r>
            <w:r w:rsidRPr="00352945">
              <w:rPr>
                <w:b/>
                <w:iCs/>
                <w:sz w:val="20"/>
                <w:szCs w:val="20"/>
                <w:lang w:val="sr-Cyrl-CS"/>
              </w:rPr>
              <w:t xml:space="preserve">mendments </w:t>
            </w:r>
            <w:r w:rsidRPr="00352945">
              <w:rPr>
                <w:b/>
                <w:iCs/>
                <w:sz w:val="20"/>
                <w:szCs w:val="20"/>
              </w:rPr>
              <w:t>of</w:t>
            </w:r>
            <w:r w:rsidRPr="00352945">
              <w:rPr>
                <w:b/>
                <w:iCs/>
                <w:sz w:val="20"/>
                <w:szCs w:val="20"/>
                <w:lang w:val="sr-Cyrl-CS"/>
              </w:rPr>
              <w:t xml:space="preserve"> the </w:t>
            </w:r>
            <w:r w:rsidR="00086D2E" w:rsidRPr="00352945">
              <w:rPr>
                <w:b/>
                <w:iCs/>
                <w:sz w:val="20"/>
                <w:szCs w:val="20"/>
                <w:lang w:val="sr-Latn-RS"/>
              </w:rPr>
              <w:t xml:space="preserve">Excise </w:t>
            </w:r>
            <w:r w:rsidRPr="00352945">
              <w:rPr>
                <w:b/>
                <w:iCs/>
                <w:sz w:val="20"/>
                <w:szCs w:val="20"/>
                <w:lang w:val="sr-Cyrl-CS"/>
              </w:rPr>
              <w:t xml:space="preserve">Law </w:t>
            </w:r>
          </w:p>
        </w:tc>
        <w:tc>
          <w:tcPr>
            <w:tcW w:w="1159" w:type="pct"/>
            <w:tcBorders>
              <w:top w:val="single" w:sz="4" w:space="0" w:color="auto"/>
              <w:left w:val="single" w:sz="4" w:space="0" w:color="auto"/>
              <w:bottom w:val="single" w:sz="4" w:space="0" w:color="auto"/>
              <w:right w:val="single" w:sz="4" w:space="0" w:color="auto"/>
            </w:tcBorders>
          </w:tcPr>
          <w:p w:rsidR="00C46B35" w:rsidRPr="00086D2E" w:rsidRDefault="00C46B35" w:rsidP="00DC1923">
            <w:pPr>
              <w:jc w:val="both"/>
              <w:rPr>
                <w:iCs/>
                <w:sz w:val="20"/>
                <w:szCs w:val="20"/>
                <w:highlight w:val="yellow"/>
              </w:rPr>
            </w:pPr>
          </w:p>
        </w:tc>
      </w:tr>
      <w:tr w:rsidR="00C46B35" w:rsidRPr="00B22F97" w:rsidTr="00DC1923">
        <w:trPr>
          <w:jc w:val="center"/>
        </w:trPr>
        <w:tc>
          <w:tcPr>
            <w:tcW w:w="5000" w:type="pct"/>
            <w:gridSpan w:val="2"/>
          </w:tcPr>
          <w:p w:rsidR="00C46B35" w:rsidRPr="00B22F97" w:rsidRDefault="00C46B35" w:rsidP="00DC1923">
            <w:pPr>
              <w:spacing w:before="120" w:after="120"/>
              <w:jc w:val="both"/>
              <w:rPr>
                <w:sz w:val="20"/>
                <w:szCs w:val="20"/>
                <w:lang w:val="sr-Cyrl-CS"/>
              </w:rPr>
            </w:pPr>
            <w:r w:rsidRPr="00B22F97">
              <w:rPr>
                <w:sz w:val="20"/>
                <w:szCs w:val="20"/>
                <w:lang w:val="sr-Cyrl-CS"/>
              </w:rPr>
              <w:t>7. Усклађеност одредби прописа са одредбама прописа ЕУ:</w:t>
            </w:r>
          </w:p>
        </w:tc>
      </w:tr>
    </w:tbl>
    <w:p w:rsidR="00CE0EB1" w:rsidRPr="00B22F97" w:rsidRDefault="00CE0EB1">
      <w:pPr>
        <w:rPr>
          <w:sz w:val="20"/>
          <w:szCs w:val="20"/>
        </w:rPr>
      </w:pPr>
    </w:p>
    <w:tbl>
      <w:tblPr>
        <w:tblStyle w:val="TableGrid"/>
        <w:tblW w:w="0" w:type="auto"/>
        <w:tblLook w:val="04A0" w:firstRow="1" w:lastRow="0" w:firstColumn="1" w:lastColumn="0" w:noHBand="0" w:noVBand="1"/>
      </w:tblPr>
      <w:tblGrid>
        <w:gridCol w:w="2117"/>
        <w:gridCol w:w="2231"/>
        <w:gridCol w:w="2999"/>
        <w:gridCol w:w="2227"/>
        <w:gridCol w:w="2179"/>
        <w:gridCol w:w="2197"/>
      </w:tblGrid>
      <w:tr w:rsidR="004D07D7" w:rsidRPr="004D07D7" w:rsidTr="00D15FEE">
        <w:tc>
          <w:tcPr>
            <w:tcW w:w="2117"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4D07D7" w:rsidRDefault="00C46B35" w:rsidP="00C46B35">
            <w:pPr>
              <w:spacing w:before="120" w:after="120"/>
              <w:ind w:firstLine="5"/>
              <w:jc w:val="center"/>
              <w:rPr>
                <w:sz w:val="20"/>
                <w:szCs w:val="20"/>
              </w:rPr>
            </w:pPr>
            <w:r w:rsidRPr="004D07D7">
              <w:rPr>
                <w:sz w:val="20"/>
                <w:szCs w:val="20"/>
                <w:lang w:val="sr-Cyrl-CS"/>
              </w:rPr>
              <w:t>а</w:t>
            </w:r>
            <w:r w:rsidRPr="004D07D7">
              <w:rPr>
                <w:sz w:val="20"/>
                <w:szCs w:val="20"/>
              </w:rPr>
              <w:t>)</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4D07D7" w:rsidRDefault="00C46B35" w:rsidP="00C46B35">
            <w:pPr>
              <w:jc w:val="center"/>
              <w:rPr>
                <w:sz w:val="20"/>
                <w:szCs w:val="20"/>
              </w:rPr>
            </w:pPr>
            <w:r w:rsidRPr="004D07D7">
              <w:rPr>
                <w:sz w:val="20"/>
                <w:szCs w:val="20"/>
                <w:lang w:val="sr-Cyrl-CS"/>
              </w:rPr>
              <w:t>а</w:t>
            </w:r>
            <w:r w:rsidRPr="004D07D7">
              <w:rPr>
                <w:sz w:val="20"/>
                <w:szCs w:val="20"/>
              </w:rPr>
              <w:t>1)</w:t>
            </w:r>
          </w:p>
        </w:tc>
        <w:tc>
          <w:tcPr>
            <w:tcW w:w="2999"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jc w:val="center"/>
              <w:rPr>
                <w:sz w:val="20"/>
                <w:szCs w:val="20"/>
              </w:rPr>
            </w:pPr>
            <w:r w:rsidRPr="004D07D7">
              <w:rPr>
                <w:sz w:val="20"/>
                <w:szCs w:val="20"/>
                <w:lang w:val="sr-Cyrl-CS"/>
              </w:rPr>
              <w:t>б</w:t>
            </w:r>
            <w:r w:rsidRPr="004D07D7">
              <w:rPr>
                <w:sz w:val="20"/>
                <w:szCs w:val="20"/>
              </w:rPr>
              <w:t>)</w:t>
            </w:r>
          </w:p>
        </w:tc>
        <w:tc>
          <w:tcPr>
            <w:tcW w:w="2227"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jc w:val="center"/>
              <w:rPr>
                <w:sz w:val="20"/>
                <w:szCs w:val="20"/>
              </w:rPr>
            </w:pPr>
            <w:r w:rsidRPr="004D07D7">
              <w:rPr>
                <w:sz w:val="20"/>
                <w:szCs w:val="20"/>
                <w:lang w:val="sr-Cyrl-CS"/>
              </w:rPr>
              <w:t>б</w:t>
            </w:r>
            <w:r w:rsidRPr="004D07D7">
              <w:rPr>
                <w:sz w:val="20"/>
                <w:szCs w:val="20"/>
              </w:rPr>
              <w:t>1)</w:t>
            </w:r>
          </w:p>
        </w:tc>
        <w:tc>
          <w:tcPr>
            <w:tcW w:w="2179"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jc w:val="center"/>
              <w:rPr>
                <w:sz w:val="20"/>
                <w:szCs w:val="20"/>
              </w:rPr>
            </w:pPr>
            <w:r w:rsidRPr="004D07D7">
              <w:rPr>
                <w:sz w:val="20"/>
                <w:szCs w:val="20"/>
                <w:lang w:val="sr-Cyrl-CS"/>
              </w:rPr>
              <w:t>в</w:t>
            </w:r>
            <w:r w:rsidRPr="004D07D7">
              <w:rPr>
                <w:sz w:val="20"/>
                <w:szCs w:val="20"/>
              </w:rPr>
              <w:t>)</w:t>
            </w:r>
          </w:p>
        </w:tc>
        <w:tc>
          <w:tcPr>
            <w:tcW w:w="2197"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jc w:val="center"/>
              <w:rPr>
                <w:sz w:val="20"/>
                <w:szCs w:val="20"/>
              </w:rPr>
            </w:pPr>
            <w:r w:rsidRPr="004D07D7">
              <w:rPr>
                <w:sz w:val="20"/>
                <w:szCs w:val="20"/>
                <w:lang w:val="sr-Cyrl-CS"/>
              </w:rPr>
              <w:t>г</w:t>
            </w:r>
            <w:r w:rsidRPr="004D07D7">
              <w:rPr>
                <w:sz w:val="20"/>
                <w:szCs w:val="20"/>
              </w:rPr>
              <w:t>)</w:t>
            </w:r>
          </w:p>
        </w:tc>
      </w:tr>
      <w:tr w:rsidR="004D07D7" w:rsidRPr="004D07D7" w:rsidTr="00D15FEE">
        <w:tc>
          <w:tcPr>
            <w:tcW w:w="2117"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4D07D7" w:rsidRDefault="00C46B35" w:rsidP="00C46B35">
            <w:pPr>
              <w:spacing w:before="120" w:after="120"/>
              <w:jc w:val="center"/>
              <w:rPr>
                <w:sz w:val="20"/>
                <w:szCs w:val="20"/>
                <w:lang w:val="fr-FR"/>
              </w:rPr>
            </w:pPr>
            <w:r w:rsidRPr="004D07D7">
              <w:rPr>
                <w:sz w:val="20"/>
                <w:szCs w:val="20"/>
                <w:lang w:val="ru-RU"/>
              </w:rPr>
              <w:t>Одредба прописа ЕУ</w:t>
            </w:r>
          </w:p>
        </w:tc>
        <w:tc>
          <w:tcPr>
            <w:tcW w:w="2231" w:type="dxa"/>
            <w:tcBorders>
              <w:top w:val="single" w:sz="4" w:space="0" w:color="auto"/>
              <w:left w:val="single" w:sz="4" w:space="0" w:color="auto"/>
              <w:bottom w:val="single" w:sz="4" w:space="0" w:color="auto"/>
              <w:right w:val="single" w:sz="4" w:space="0" w:color="auto"/>
            </w:tcBorders>
            <w:shd w:val="clear" w:color="auto" w:fill="D9D9D9"/>
            <w:vAlign w:val="center"/>
          </w:tcPr>
          <w:p w:rsidR="00C46B35" w:rsidRPr="004D07D7" w:rsidRDefault="00C46B35" w:rsidP="00C46B35">
            <w:pPr>
              <w:jc w:val="center"/>
              <w:rPr>
                <w:sz w:val="20"/>
                <w:szCs w:val="20"/>
                <w:lang w:val="sr-Cyrl-CS"/>
              </w:rPr>
            </w:pPr>
            <w:r w:rsidRPr="004D07D7">
              <w:rPr>
                <w:sz w:val="20"/>
                <w:szCs w:val="20"/>
                <w:lang w:val="sr-Cyrl-CS"/>
              </w:rPr>
              <w:t xml:space="preserve">Садржина </w:t>
            </w:r>
            <w:r w:rsidRPr="004D07D7">
              <w:rPr>
                <w:sz w:val="20"/>
                <w:szCs w:val="20"/>
                <w:lang w:val="hr-HR"/>
              </w:rPr>
              <w:t>одредбе</w:t>
            </w:r>
          </w:p>
        </w:tc>
        <w:tc>
          <w:tcPr>
            <w:tcW w:w="2999"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spacing w:before="120" w:after="120"/>
              <w:ind w:firstLine="5"/>
              <w:jc w:val="center"/>
              <w:rPr>
                <w:sz w:val="20"/>
                <w:szCs w:val="20"/>
              </w:rPr>
            </w:pPr>
            <w:r w:rsidRPr="004D07D7">
              <w:rPr>
                <w:sz w:val="20"/>
                <w:szCs w:val="20"/>
                <w:lang w:val="ru-RU"/>
              </w:rPr>
              <w:t>Одредбе прописа Р. Србије</w:t>
            </w:r>
          </w:p>
        </w:tc>
        <w:tc>
          <w:tcPr>
            <w:tcW w:w="2227"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jc w:val="center"/>
              <w:rPr>
                <w:sz w:val="20"/>
                <w:szCs w:val="20"/>
                <w:lang w:val="sr-Cyrl-CS"/>
              </w:rPr>
            </w:pPr>
            <w:r w:rsidRPr="004D07D7">
              <w:rPr>
                <w:sz w:val="20"/>
                <w:szCs w:val="20"/>
                <w:lang w:val="sr-Cyrl-CS"/>
              </w:rPr>
              <w:t xml:space="preserve">Садржина </w:t>
            </w:r>
            <w:r w:rsidRPr="004D07D7">
              <w:rPr>
                <w:sz w:val="20"/>
                <w:szCs w:val="20"/>
                <w:lang w:val="hr-HR"/>
              </w:rPr>
              <w:t>одредбе</w:t>
            </w:r>
          </w:p>
        </w:tc>
        <w:tc>
          <w:tcPr>
            <w:tcW w:w="2179"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spacing w:before="120" w:after="120"/>
              <w:jc w:val="center"/>
              <w:rPr>
                <w:sz w:val="20"/>
                <w:szCs w:val="20"/>
                <w:lang w:val="ru-RU"/>
              </w:rPr>
            </w:pPr>
            <w:r w:rsidRPr="004D07D7">
              <w:rPr>
                <w:sz w:val="20"/>
                <w:szCs w:val="20"/>
                <w:lang w:val="ru-RU"/>
              </w:rPr>
              <w:t>Усклађеност</w:t>
            </w:r>
            <w:r w:rsidRPr="004D07D7">
              <w:rPr>
                <w:rStyle w:val="FootnoteReference"/>
                <w:sz w:val="20"/>
                <w:szCs w:val="20"/>
                <w:lang w:val="ru-RU"/>
              </w:rPr>
              <w:footnoteReference w:id="1"/>
            </w:r>
          </w:p>
        </w:tc>
        <w:tc>
          <w:tcPr>
            <w:tcW w:w="2197" w:type="dxa"/>
            <w:tcBorders>
              <w:top w:val="single" w:sz="4" w:space="0" w:color="auto"/>
              <w:left w:val="single" w:sz="4" w:space="0" w:color="auto"/>
              <w:bottom w:val="single" w:sz="4" w:space="0" w:color="auto"/>
              <w:right w:val="single" w:sz="4" w:space="0" w:color="auto"/>
            </w:tcBorders>
            <w:vAlign w:val="center"/>
          </w:tcPr>
          <w:p w:rsidR="00C46B35" w:rsidRPr="004D07D7" w:rsidRDefault="00C46B35" w:rsidP="00C46B35">
            <w:pPr>
              <w:spacing w:before="120" w:after="120"/>
              <w:ind w:firstLine="21"/>
              <w:jc w:val="center"/>
              <w:rPr>
                <w:sz w:val="20"/>
                <w:szCs w:val="20"/>
                <w:lang w:val="sr-Cyrl-CS"/>
              </w:rPr>
            </w:pPr>
            <w:r w:rsidRPr="004D07D7">
              <w:rPr>
                <w:sz w:val="20"/>
                <w:szCs w:val="20"/>
                <w:lang w:val="ru-RU"/>
              </w:rPr>
              <w:t>Разлози за д</w:t>
            </w:r>
            <w:r w:rsidRPr="004D07D7">
              <w:rPr>
                <w:sz w:val="20"/>
                <w:szCs w:val="20"/>
                <w:lang w:val="sr-Cyrl-CS"/>
              </w:rPr>
              <w:t xml:space="preserve">елимичну </w:t>
            </w:r>
            <w:r w:rsidRPr="004D07D7">
              <w:rPr>
                <w:sz w:val="20"/>
                <w:szCs w:val="20"/>
                <w:lang w:val="ru-RU"/>
              </w:rPr>
              <w:t>усклађеност, неусклађеност или непреносивост</w:t>
            </w:r>
          </w:p>
        </w:tc>
      </w:tr>
      <w:tr w:rsidR="00CA6EBA" w:rsidRPr="004D07D7" w:rsidTr="00D15FEE">
        <w:tc>
          <w:tcPr>
            <w:tcW w:w="2117" w:type="dxa"/>
            <w:tcBorders>
              <w:top w:val="single" w:sz="6" w:space="0" w:color="000000"/>
              <w:left w:val="single" w:sz="6" w:space="0" w:color="000000"/>
              <w:bottom w:val="single" w:sz="6" w:space="0" w:color="FFFFFF"/>
              <w:right w:val="single" w:sz="6" w:space="0" w:color="000000"/>
            </w:tcBorders>
          </w:tcPr>
          <w:p w:rsidR="004D07D7" w:rsidRPr="004D07D7" w:rsidRDefault="004D07D7" w:rsidP="004D07D7">
            <w:pPr>
              <w:rPr>
                <w:rFonts w:eastAsia="Verdana"/>
                <w:b/>
                <w:color w:val="000000"/>
                <w:sz w:val="20"/>
                <w:szCs w:val="20"/>
                <w:lang w:val="sr-Cyrl-RS"/>
              </w:rPr>
            </w:pPr>
            <w:r w:rsidRPr="004D07D7">
              <w:rPr>
                <w:rFonts w:eastAsia="Verdana"/>
                <w:b/>
                <w:color w:val="000000"/>
                <w:sz w:val="20"/>
                <w:szCs w:val="20"/>
                <w:lang w:val="sr-Cyrl-RS"/>
              </w:rPr>
              <w:t>Члан 2 – Дефиниције</w:t>
            </w:r>
          </w:p>
          <w:p w:rsidR="00CA6EBA" w:rsidRPr="004D07D7" w:rsidRDefault="00CA6EBA" w:rsidP="00CA6EBA">
            <w:pPr>
              <w:rPr>
                <w:rFonts w:eastAsia="Verdana"/>
                <w:sz w:val="20"/>
                <w:szCs w:val="20"/>
                <w:lang w:val="sr-Cyrl-RS"/>
              </w:rPr>
            </w:pPr>
          </w:p>
          <w:p w:rsidR="00CA6EBA" w:rsidRPr="004D07D7" w:rsidRDefault="004D07D7" w:rsidP="00CA6EBA">
            <w:pPr>
              <w:rPr>
                <w:rFonts w:eastAsia="Verdana"/>
                <w:sz w:val="20"/>
                <w:szCs w:val="20"/>
                <w:lang w:val="sr-Cyrl-RS"/>
              </w:rPr>
            </w:pPr>
            <w:r w:rsidRPr="004D07D7">
              <w:rPr>
                <w:rFonts w:eastAsia="Verdana"/>
                <w:sz w:val="20"/>
                <w:szCs w:val="20"/>
                <w:lang w:val="sr-Cyrl-RS"/>
              </w:rPr>
              <w:t>2.15</w:t>
            </w:r>
          </w:p>
        </w:tc>
        <w:tc>
          <w:tcPr>
            <w:tcW w:w="2231" w:type="dxa"/>
            <w:tcBorders>
              <w:top w:val="single" w:sz="6" w:space="0" w:color="000000"/>
              <w:left w:val="single" w:sz="6" w:space="0" w:color="000000"/>
              <w:bottom w:val="single" w:sz="6" w:space="0" w:color="FFFFFF"/>
              <w:right w:val="single" w:sz="6" w:space="0" w:color="000000"/>
            </w:tcBorders>
          </w:tcPr>
          <w:p w:rsidR="00CA6EBA" w:rsidRPr="004D07D7" w:rsidRDefault="00CA6EBA" w:rsidP="00CA6EBA">
            <w:pPr>
              <w:pStyle w:val="P68B1DB1-Normal10"/>
              <w:rPr>
                <w:rFonts w:ascii="Times New Roman" w:hAnsi="Times New Roman" w:cs="Times New Roman"/>
                <w:sz w:val="20"/>
                <w:lang w:val="sr-Cyrl-RS"/>
              </w:rPr>
            </w:pPr>
            <w:r w:rsidRPr="004D07D7">
              <w:rPr>
                <w:rFonts w:ascii="Times New Roman" w:hAnsi="Times New Roman" w:cs="Times New Roman"/>
                <w:b/>
                <w:sz w:val="20"/>
                <w:lang w:val="sr-Cyrl-RS"/>
              </w:rPr>
              <w:t>„биљни производ за пушење”</w:t>
            </w:r>
            <w:r w:rsidRPr="004D07D7">
              <w:rPr>
                <w:rFonts w:ascii="Times New Roman" w:hAnsi="Times New Roman" w:cs="Times New Roman"/>
                <w:sz w:val="20"/>
                <w:lang w:val="sr-Cyrl-RS"/>
              </w:rPr>
              <w:t xml:space="preserve"> је производ заснован на биљкама, биљу или воћу који не </w:t>
            </w:r>
            <w:r w:rsidRPr="004D07D7">
              <w:rPr>
                <w:rFonts w:ascii="Times New Roman" w:hAnsi="Times New Roman" w:cs="Times New Roman"/>
                <w:sz w:val="20"/>
                <w:lang w:val="sr-Cyrl-RS"/>
              </w:rPr>
              <w:lastRenderedPageBreak/>
              <w:t>садржи дуван и који се може конзумирати процесом сагоревања;</w:t>
            </w:r>
          </w:p>
          <w:p w:rsidR="00CA6EBA" w:rsidRPr="004D07D7" w:rsidRDefault="00CA6EBA" w:rsidP="00CA6EBA">
            <w:pPr>
              <w:pBdr>
                <w:top w:val="nil"/>
                <w:left w:val="nil"/>
                <w:bottom w:val="nil"/>
                <w:right w:val="nil"/>
                <w:between w:val="nil"/>
              </w:pBdr>
              <w:jc w:val="both"/>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4D07D7">
            <w:pPr>
              <w:tabs>
                <w:tab w:val="left" w:pos="0"/>
              </w:tabs>
              <w:jc w:val="center"/>
              <w:rPr>
                <w:b/>
                <w:color w:val="FF0000"/>
                <w:sz w:val="20"/>
                <w:szCs w:val="20"/>
              </w:rPr>
            </w:pPr>
            <w:r w:rsidRPr="004D07D7">
              <w:rPr>
                <w:bCs/>
                <w:sz w:val="20"/>
                <w:szCs w:val="20"/>
                <w:lang w:val="sr-Cyrl-RS"/>
              </w:rPr>
              <w:lastRenderedPageBreak/>
              <w:t>Члан 14</w:t>
            </w:r>
            <w:r w:rsidRPr="004D07D7">
              <w:rPr>
                <w:bCs/>
                <w:sz w:val="20"/>
                <w:szCs w:val="20"/>
                <w:lang w:val="sr-Cyrl-ME"/>
              </w:rPr>
              <w:t>в став 1.</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4D07D7">
            <w:pPr>
              <w:rPr>
                <w:sz w:val="20"/>
                <w:szCs w:val="20"/>
                <w:lang w:val="sr-Cyrl-CS"/>
              </w:rPr>
            </w:pPr>
            <w:r w:rsidRPr="004D07D7">
              <w:rPr>
                <w:bCs/>
                <w:sz w:val="20"/>
                <w:szCs w:val="20"/>
                <w:lang w:val="sr-Cyrl-ME"/>
              </w:rPr>
              <w:t>Биљни производи</w:t>
            </w:r>
            <w:r w:rsidRPr="004D07D7">
              <w:rPr>
                <w:sz w:val="20"/>
                <w:szCs w:val="20"/>
                <w:lang w:val="sr-Cyrl-ME"/>
              </w:rPr>
              <w:t xml:space="preserve"> </w:t>
            </w:r>
            <w:r w:rsidRPr="004D07D7">
              <w:rPr>
                <w:bCs/>
                <w:sz w:val="20"/>
                <w:szCs w:val="20"/>
                <w:lang w:val="sr-Cyrl-ME"/>
              </w:rPr>
              <w:t xml:space="preserve">за пушење, односно загревање </w:t>
            </w:r>
            <w:r w:rsidRPr="004D07D7">
              <w:rPr>
                <w:bCs/>
                <w:sz w:val="20"/>
                <w:szCs w:val="20"/>
                <w:lang w:val="sr-Cyrl-CS"/>
              </w:rPr>
              <w:t xml:space="preserve">тарифне ознаке </w:t>
            </w:r>
            <w:r w:rsidRPr="004D07D7">
              <w:rPr>
                <w:bCs/>
                <w:sz w:val="20"/>
                <w:szCs w:val="20"/>
                <w:lang w:val="sr-Cyrl-ME"/>
              </w:rPr>
              <w:t xml:space="preserve">номенклатуре </w:t>
            </w:r>
            <w:r w:rsidRPr="004D07D7">
              <w:rPr>
                <w:bCs/>
                <w:sz w:val="20"/>
                <w:szCs w:val="20"/>
                <w:lang w:val="sr-Cyrl-ME"/>
              </w:rPr>
              <w:lastRenderedPageBreak/>
              <w:t>цт 2402 90 00 00, 2403 99 90 00, 2404 12 00 00, 2404 19 10 00 или 2404 19 90 00 јесу производи на бази биља, траве или воћа, који се употребљавају сагоревањем, односно загревањем</w:t>
            </w:r>
            <w:r w:rsidRPr="004D07D7">
              <w:rPr>
                <w:bCs/>
                <w:sz w:val="20"/>
                <w:szCs w:val="20"/>
              </w:rPr>
              <w:t>.</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CA6EBA">
            <w:pPr>
              <w:spacing w:before="120" w:after="120"/>
              <w:jc w:val="center"/>
              <w:rPr>
                <w:sz w:val="20"/>
                <w:szCs w:val="20"/>
                <w:lang w:val="ru-RU"/>
              </w:rPr>
            </w:pPr>
            <w:r>
              <w:rPr>
                <w:sz w:val="20"/>
                <w:szCs w:val="20"/>
                <w:lang w:val="ru-RU"/>
              </w:rPr>
              <w:lastRenderedPageBreak/>
              <w:t>ПУ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9760CE">
        <w:tc>
          <w:tcPr>
            <w:tcW w:w="2117" w:type="dxa"/>
            <w:tcBorders>
              <w:top w:val="single" w:sz="6" w:space="0" w:color="000000"/>
              <w:left w:val="single" w:sz="6" w:space="0" w:color="000000"/>
              <w:bottom w:val="single" w:sz="6" w:space="0" w:color="FFFFFF"/>
              <w:right w:val="single" w:sz="6" w:space="0" w:color="000000"/>
            </w:tcBorders>
          </w:tcPr>
          <w:p w:rsidR="00CA6EBA" w:rsidRPr="004D07D7" w:rsidRDefault="00CA6EBA" w:rsidP="00CA6EBA">
            <w:pPr>
              <w:rPr>
                <w:rFonts w:eastAsia="Verdana"/>
                <w:sz w:val="20"/>
                <w:szCs w:val="20"/>
                <w:lang w:val="sr-Cyrl-RS"/>
              </w:rPr>
            </w:pPr>
            <w:r w:rsidRPr="004D07D7">
              <w:rPr>
                <w:rFonts w:eastAsia="Verdana"/>
                <w:b/>
                <w:color w:val="000000"/>
                <w:sz w:val="20"/>
                <w:szCs w:val="20"/>
                <w:lang w:val="sr-Cyrl-RS"/>
              </w:rPr>
              <w:lastRenderedPageBreak/>
              <w:t>Члан 15 – Следљивост</w:t>
            </w:r>
          </w:p>
          <w:p w:rsidR="00CA6EBA" w:rsidRPr="004D07D7" w:rsidRDefault="00CA6EBA" w:rsidP="00CA6EBA">
            <w:pPr>
              <w:rPr>
                <w:rFonts w:eastAsia="Verdana"/>
                <w:sz w:val="20"/>
                <w:szCs w:val="20"/>
                <w:lang w:val="sr-Cyrl-RS"/>
              </w:rPr>
            </w:pPr>
          </w:p>
          <w:p w:rsidR="00CA6EBA" w:rsidRPr="004D07D7" w:rsidRDefault="00CA6EBA" w:rsidP="00CA6EBA">
            <w:pPr>
              <w:rPr>
                <w:rFonts w:eastAsia="Verdana"/>
                <w:sz w:val="20"/>
                <w:szCs w:val="20"/>
                <w:lang w:val="sr-Cyrl-RS"/>
              </w:rPr>
            </w:pPr>
            <w:r w:rsidRPr="004D07D7">
              <w:rPr>
                <w:rFonts w:eastAsia="Verdana"/>
                <w:sz w:val="20"/>
                <w:szCs w:val="20"/>
                <w:lang w:val="sr-Cyrl-RS"/>
              </w:rPr>
              <w:t>15.1</w:t>
            </w:r>
          </w:p>
        </w:tc>
        <w:tc>
          <w:tcPr>
            <w:tcW w:w="2231" w:type="dxa"/>
            <w:tcBorders>
              <w:top w:val="single" w:sz="6" w:space="0" w:color="000000"/>
              <w:left w:val="single" w:sz="6" w:space="0" w:color="000000"/>
              <w:bottom w:val="single" w:sz="6" w:space="0" w:color="FFFFFF"/>
              <w:right w:val="single" w:sz="6" w:space="0" w:color="000000"/>
            </w:tcBorders>
          </w:tcPr>
          <w:p w:rsidR="00CA6EBA" w:rsidRPr="004D07D7" w:rsidRDefault="00CA6EBA" w:rsidP="00CA6EBA">
            <w:pPr>
              <w:rPr>
                <w:rFonts w:eastAsia="Verdana"/>
                <w:sz w:val="20"/>
                <w:szCs w:val="20"/>
                <w:lang w:val="sr-Cyrl-RS"/>
              </w:rPr>
            </w:pPr>
            <w:r w:rsidRPr="004D07D7">
              <w:rPr>
                <w:rFonts w:eastAsia="Verdana"/>
                <w:color w:val="000000"/>
                <w:sz w:val="20"/>
                <w:szCs w:val="20"/>
                <w:lang w:val="sr-Cyrl-RS"/>
              </w:rPr>
              <w:t xml:space="preserve">Државе чланице обезбеђују да сва појединачна паковања дуванских производа буду означена јединственим идентификатором. Да би се обезбедио интегритет јединственог идентификатора, он треба да буде штампан и причвршћен тако да се не може уклонити, избрисати, сакрити или прекинути у било ком облику, укључујући и места где су пореске маркице или ознаке цене као и начин отварања појединачног паковања. У случају дуванских производа који се производе изван Уније, обавезе наведене у овом Члану односе се само на оне који су намењени или стављени на тржиште Уније. </w:t>
            </w: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9760CE">
            <w:pPr>
              <w:spacing w:before="120" w:after="120"/>
              <w:jc w:val="center"/>
              <w:rPr>
                <w:sz w:val="20"/>
                <w:szCs w:val="20"/>
                <w:lang w:val="ru-RU"/>
              </w:rPr>
            </w:pPr>
            <w:r w:rsidRPr="004D07D7">
              <w:rPr>
                <w:sz w:val="20"/>
                <w:szCs w:val="20"/>
                <w:lang w:val="sr-Cyrl-CS"/>
              </w:rPr>
              <w:t>Члан 1а</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5"/>
              <w:rPr>
                <w:sz w:val="20"/>
                <w:szCs w:val="20"/>
                <w:lang w:val="sr-Cyrl-CS"/>
              </w:rPr>
            </w:pPr>
            <w:r w:rsidRPr="004D07D7">
              <w:rPr>
                <w:sz w:val="20"/>
                <w:szCs w:val="20"/>
                <w:lang w:val="sr-Cyrl-CS"/>
              </w:rPr>
              <w:t>9) „</w:t>
            </w:r>
            <w:r w:rsidR="004D07D7">
              <w:rPr>
                <w:sz w:val="20"/>
                <w:szCs w:val="20"/>
                <w:lang w:val="sr-Cyrl-CS"/>
              </w:rPr>
              <w:t>QR</w:t>
            </w:r>
            <w:r w:rsidRPr="004D07D7">
              <w:rPr>
                <w:sz w:val="20"/>
                <w:szCs w:val="20"/>
                <w:lang w:val="sr-Cyrl-CS"/>
              </w:rPr>
              <w:t xml:space="preserve"> код” је дводимензионални бар-кôд (eng. </w:t>
            </w:r>
            <w:r w:rsidR="004D07D7">
              <w:rPr>
                <w:sz w:val="20"/>
                <w:szCs w:val="20"/>
                <w:lang w:val="sr-Cyrl-CS"/>
              </w:rPr>
              <w:t>QR</w:t>
            </w:r>
            <w:r w:rsidRPr="004D07D7">
              <w:rPr>
                <w:sz w:val="20"/>
                <w:szCs w:val="20"/>
                <w:lang w:val="sr-Cyrl-CS"/>
              </w:rPr>
              <w:t xml:space="preserve"> – quick response) за верификацију акцизног производа, који се налази на контролној акцизној маркици и који садржи податке о том акцизном производу;</w:t>
            </w:r>
          </w:p>
          <w:p w:rsidR="00CA6EBA" w:rsidRPr="004D07D7" w:rsidRDefault="00CA6EBA" w:rsidP="00CA6EBA">
            <w:pPr>
              <w:spacing w:before="120" w:after="120"/>
              <w:ind w:firstLine="5"/>
              <w:rPr>
                <w:sz w:val="20"/>
                <w:szCs w:val="20"/>
                <w:lang w:val="sr-Cyrl-CS"/>
              </w:rPr>
            </w:pPr>
          </w:p>
          <w:p w:rsidR="00CA6EBA" w:rsidRPr="004D07D7" w:rsidRDefault="00CA6EBA" w:rsidP="00CA6EBA">
            <w:pPr>
              <w:spacing w:before="120" w:after="120"/>
              <w:ind w:firstLine="5"/>
              <w:rPr>
                <w:sz w:val="20"/>
                <w:szCs w:val="20"/>
                <w:lang w:val="sr-Cyrl-RS"/>
              </w:rPr>
            </w:pPr>
            <w:r w:rsidRPr="004D07D7">
              <w:rPr>
                <w:sz w:val="20"/>
                <w:szCs w:val="20"/>
                <w:lang w:val="sr-Cyrl-CS"/>
              </w:rPr>
              <w:t xml:space="preserve">10) „продукциони код” је јединствени </w:t>
            </w:r>
            <w:proofErr w:type="spellStart"/>
            <w:r w:rsidRPr="004D07D7">
              <w:rPr>
                <w:sz w:val="20"/>
                <w:szCs w:val="20"/>
                <w:lang w:val="sr-Cyrl-CS"/>
              </w:rPr>
              <w:t>идентификатор</w:t>
            </w:r>
            <w:proofErr w:type="spellEnd"/>
            <w:r w:rsidRPr="004D07D7">
              <w:rPr>
                <w:sz w:val="20"/>
                <w:szCs w:val="20"/>
                <w:lang w:val="sr-Cyrl-CS"/>
              </w:rPr>
              <w:t xml:space="preserve"> у виду  </w:t>
            </w:r>
            <w:proofErr w:type="spellStart"/>
            <w:r w:rsidRPr="004D07D7">
              <w:rPr>
                <w:sz w:val="20"/>
                <w:szCs w:val="20"/>
              </w:rPr>
              <w:t>дводимензионалн</w:t>
            </w:r>
            <w:proofErr w:type="spellEnd"/>
            <w:r w:rsidRPr="004D07D7">
              <w:rPr>
                <w:sz w:val="20"/>
                <w:szCs w:val="20"/>
                <w:lang w:val="sr-Cyrl-RS"/>
              </w:rPr>
              <w:t>алног</w:t>
            </w:r>
            <w:r w:rsidRPr="004D07D7">
              <w:rPr>
                <w:sz w:val="20"/>
                <w:szCs w:val="20"/>
              </w:rPr>
              <w:t xml:space="preserve"> </w:t>
            </w:r>
            <w:proofErr w:type="spellStart"/>
            <w:r w:rsidRPr="004D07D7">
              <w:rPr>
                <w:sz w:val="20"/>
                <w:szCs w:val="20"/>
              </w:rPr>
              <w:t>матричног</w:t>
            </w:r>
            <w:proofErr w:type="spellEnd"/>
            <w:r w:rsidRPr="004D07D7">
              <w:rPr>
                <w:sz w:val="20"/>
                <w:szCs w:val="20"/>
              </w:rPr>
              <w:t xml:space="preserve"> </w:t>
            </w:r>
            <w:proofErr w:type="spellStart"/>
            <w:r w:rsidRPr="004D07D7">
              <w:rPr>
                <w:sz w:val="20"/>
                <w:szCs w:val="20"/>
              </w:rPr>
              <w:t>низ</w:t>
            </w:r>
            <w:proofErr w:type="spellEnd"/>
            <w:r w:rsidRPr="004D07D7">
              <w:rPr>
                <w:sz w:val="20"/>
                <w:szCs w:val="20"/>
                <w:lang w:val="sr-Cyrl-RS"/>
              </w:rPr>
              <w:t>а</w:t>
            </w:r>
            <w:r w:rsidRPr="004D07D7">
              <w:rPr>
                <w:sz w:val="20"/>
                <w:szCs w:val="20"/>
              </w:rPr>
              <w:t xml:space="preserve"> </w:t>
            </w:r>
            <w:proofErr w:type="spellStart"/>
            <w:r w:rsidRPr="004D07D7">
              <w:rPr>
                <w:sz w:val="20"/>
                <w:szCs w:val="20"/>
              </w:rPr>
              <w:t>тачака</w:t>
            </w:r>
            <w:proofErr w:type="spellEnd"/>
            <w:r w:rsidRPr="004D07D7">
              <w:rPr>
                <w:sz w:val="20"/>
                <w:szCs w:val="20"/>
              </w:rPr>
              <w:t xml:space="preserve"> </w:t>
            </w:r>
            <w:proofErr w:type="spellStart"/>
            <w:r w:rsidRPr="004D07D7">
              <w:rPr>
                <w:sz w:val="20"/>
                <w:szCs w:val="20"/>
              </w:rPr>
              <w:t>распоређених</w:t>
            </w:r>
            <w:proofErr w:type="spellEnd"/>
            <w:r w:rsidRPr="004D07D7">
              <w:rPr>
                <w:sz w:val="20"/>
                <w:szCs w:val="20"/>
              </w:rPr>
              <w:t xml:space="preserve"> </w:t>
            </w:r>
            <w:proofErr w:type="spellStart"/>
            <w:r w:rsidRPr="004D07D7">
              <w:rPr>
                <w:sz w:val="20"/>
                <w:szCs w:val="20"/>
              </w:rPr>
              <w:t>правоугаоно</w:t>
            </w:r>
            <w:proofErr w:type="spellEnd"/>
            <w:r w:rsidRPr="004D07D7">
              <w:rPr>
                <w:sz w:val="20"/>
                <w:szCs w:val="20"/>
              </w:rPr>
              <w:t xml:space="preserve">, </w:t>
            </w:r>
            <w:r w:rsidRPr="004D07D7">
              <w:rPr>
                <w:sz w:val="20"/>
                <w:szCs w:val="20"/>
                <w:lang w:val="sr-Cyrl-RS"/>
              </w:rPr>
              <w:t xml:space="preserve">који се генерише преко система </w:t>
            </w:r>
            <w:proofErr w:type="spellStart"/>
            <w:r w:rsidRPr="004D07D7">
              <w:rPr>
                <w:sz w:val="20"/>
                <w:szCs w:val="20"/>
                <w:lang w:val="sr-Cyrl-RS"/>
              </w:rPr>
              <w:t>е-акциза</w:t>
            </w:r>
            <w:proofErr w:type="spellEnd"/>
            <w:r w:rsidRPr="004D07D7">
              <w:rPr>
                <w:sz w:val="20"/>
                <w:szCs w:val="20"/>
                <w:lang w:val="sr-Cyrl-RS"/>
              </w:rPr>
              <w:t>, утискује на појединачна паковања цигарета и</w:t>
            </w:r>
            <w:r w:rsidRPr="004D07D7">
              <w:rPr>
                <w:sz w:val="20"/>
                <w:szCs w:val="20"/>
                <w:lang w:val="sr-Cyrl-CS"/>
              </w:rPr>
              <w:t xml:space="preserve"> на</w:t>
            </w:r>
            <w:r w:rsidRPr="004D07D7">
              <w:rPr>
                <w:sz w:val="20"/>
                <w:szCs w:val="20"/>
                <w:lang w:val="sr-Latn-RS"/>
              </w:rPr>
              <w:t xml:space="preserve"> </w:t>
            </w:r>
            <w:r w:rsidRPr="004D07D7">
              <w:rPr>
                <w:sz w:val="20"/>
                <w:szCs w:val="20"/>
                <w:lang w:val="sr-Cyrl-RS"/>
              </w:rPr>
              <w:t>паковања</w:t>
            </w:r>
            <w:r w:rsidRPr="004D07D7">
              <w:rPr>
                <w:sz w:val="20"/>
                <w:szCs w:val="20"/>
                <w:lang w:val="sr-Cyrl-CS"/>
              </w:rPr>
              <w:t xml:space="preserve"> дуванских прерађевина које се при употреби греју али не сагоревају (у даљем </w:t>
            </w:r>
            <w:r w:rsidRPr="004D07D7">
              <w:rPr>
                <w:sz w:val="20"/>
                <w:szCs w:val="20"/>
                <w:lang w:val="sr-Cyrl-CS"/>
              </w:rPr>
              <w:lastRenderedPageBreak/>
              <w:t xml:space="preserve">тексту: </w:t>
            </w:r>
            <w:proofErr w:type="spellStart"/>
            <w:r w:rsidRPr="004D07D7">
              <w:rPr>
                <w:sz w:val="20"/>
                <w:szCs w:val="20"/>
                <w:lang w:val="sr-Cyrl-CS"/>
              </w:rPr>
              <w:t>несагоревајући</w:t>
            </w:r>
            <w:proofErr w:type="spellEnd"/>
            <w:r w:rsidRPr="004D07D7">
              <w:rPr>
                <w:sz w:val="20"/>
                <w:szCs w:val="20"/>
                <w:lang w:val="sr-Cyrl-CS"/>
              </w:rPr>
              <w:t xml:space="preserve"> дуван)</w:t>
            </w:r>
            <w:r w:rsidRPr="004D07D7">
              <w:rPr>
                <w:sz w:val="20"/>
                <w:szCs w:val="20"/>
                <w:lang w:val="sr-Cyrl-RS"/>
              </w:rPr>
              <w:t xml:space="preserve"> и </w:t>
            </w:r>
            <w:proofErr w:type="spellStart"/>
            <w:r w:rsidRPr="004D07D7">
              <w:rPr>
                <w:sz w:val="20"/>
                <w:szCs w:val="20"/>
              </w:rPr>
              <w:t>користи</w:t>
            </w:r>
            <w:proofErr w:type="spellEnd"/>
            <w:r w:rsidRPr="004D07D7">
              <w:rPr>
                <w:sz w:val="20"/>
                <w:szCs w:val="20"/>
                <w:lang w:val="sr-Cyrl-RS"/>
              </w:rPr>
              <w:t xml:space="preserve"> се за </w:t>
            </w:r>
            <w:proofErr w:type="spellStart"/>
            <w:r w:rsidRPr="004D07D7">
              <w:rPr>
                <w:sz w:val="20"/>
                <w:szCs w:val="20"/>
              </w:rPr>
              <w:t>скенирање</w:t>
            </w:r>
            <w:proofErr w:type="spellEnd"/>
            <w:r w:rsidRPr="004D07D7">
              <w:rPr>
                <w:sz w:val="20"/>
                <w:szCs w:val="20"/>
                <w:lang w:val="sr-Cyrl-RS"/>
              </w:rPr>
              <w:t xml:space="preserve"> приликом производње (на производној линији) и</w:t>
            </w:r>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сваком</w:t>
            </w:r>
            <w:proofErr w:type="spellEnd"/>
            <w:r w:rsidRPr="004D07D7">
              <w:rPr>
                <w:sz w:val="20"/>
                <w:szCs w:val="20"/>
              </w:rPr>
              <w:t xml:space="preserve"> </w:t>
            </w:r>
            <w:proofErr w:type="spellStart"/>
            <w:r w:rsidRPr="004D07D7">
              <w:rPr>
                <w:sz w:val="20"/>
                <w:szCs w:val="20"/>
              </w:rPr>
              <w:t>појединачном</w:t>
            </w:r>
            <w:proofErr w:type="spellEnd"/>
            <w:r w:rsidRPr="004D07D7">
              <w:rPr>
                <w:sz w:val="20"/>
                <w:szCs w:val="20"/>
              </w:rPr>
              <w:t xml:space="preserve"> </w:t>
            </w:r>
            <w:proofErr w:type="spellStart"/>
            <w:r w:rsidRPr="004D07D7">
              <w:rPr>
                <w:sz w:val="20"/>
                <w:szCs w:val="20"/>
              </w:rPr>
              <w:t>месту</w:t>
            </w:r>
            <w:proofErr w:type="spellEnd"/>
            <w:r w:rsidRPr="004D07D7">
              <w:rPr>
                <w:sz w:val="20"/>
                <w:szCs w:val="20"/>
              </w:rPr>
              <w:t xml:space="preserve"> </w:t>
            </w:r>
            <w:proofErr w:type="spellStart"/>
            <w:r w:rsidRPr="004D07D7">
              <w:rPr>
                <w:sz w:val="20"/>
                <w:szCs w:val="20"/>
              </w:rPr>
              <w:t>пријема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w:t>
            </w:r>
            <w:r w:rsidRPr="004D07D7">
              <w:rPr>
                <w:sz w:val="20"/>
                <w:szCs w:val="20"/>
                <w:lang w:val="sr-Cyrl-RS"/>
              </w:rPr>
              <w:t xml:space="preserve"> односно </w:t>
            </w:r>
            <w:proofErr w:type="spellStart"/>
            <w:r w:rsidRPr="004D07D7">
              <w:rPr>
                <w:sz w:val="20"/>
                <w:szCs w:val="20"/>
                <w:lang w:val="sr-Cyrl-RS"/>
              </w:rPr>
              <w:t>несагоревајућег</w:t>
            </w:r>
            <w:proofErr w:type="spellEnd"/>
            <w:r w:rsidRPr="004D07D7">
              <w:rPr>
                <w:sz w:val="20"/>
                <w:szCs w:val="20"/>
                <w:lang w:val="sr-Cyrl-RS"/>
              </w:rPr>
              <w:t xml:space="preserve"> дувана, укључујући и место пријема у случају</w:t>
            </w:r>
            <w:r w:rsidRPr="004D07D7">
              <w:rPr>
                <w:sz w:val="20"/>
                <w:szCs w:val="20"/>
              </w:rPr>
              <w:t xml:space="preserve"> </w:t>
            </w:r>
            <w:proofErr w:type="spellStart"/>
            <w:r w:rsidRPr="004D07D7">
              <w:rPr>
                <w:sz w:val="20"/>
                <w:szCs w:val="20"/>
              </w:rPr>
              <w:t>преноса</w:t>
            </w:r>
            <w:proofErr w:type="spellEnd"/>
            <w:r w:rsidRPr="004D07D7">
              <w:rPr>
                <w:sz w:val="20"/>
                <w:szCs w:val="20"/>
              </w:rPr>
              <w:t xml:space="preserve"> </w:t>
            </w:r>
            <w:proofErr w:type="spellStart"/>
            <w:r w:rsidRPr="004D07D7">
              <w:rPr>
                <w:sz w:val="20"/>
                <w:szCs w:val="20"/>
              </w:rPr>
              <w:t>са</w:t>
            </w:r>
            <w:proofErr w:type="spellEnd"/>
            <w:r w:rsidRPr="004D07D7">
              <w:rPr>
                <w:sz w:val="20"/>
                <w:szCs w:val="20"/>
              </w:rPr>
              <w:t xml:space="preserve"> </w:t>
            </w:r>
            <w:proofErr w:type="spellStart"/>
            <w:r w:rsidRPr="004D07D7">
              <w:rPr>
                <w:sz w:val="20"/>
                <w:szCs w:val="20"/>
              </w:rPr>
              <w:t>једног</w:t>
            </w:r>
            <w:proofErr w:type="spellEnd"/>
            <w:r w:rsidRPr="004D07D7">
              <w:rPr>
                <w:sz w:val="20"/>
                <w:szCs w:val="20"/>
              </w:rPr>
              <w:t xml:space="preserve"> </w:t>
            </w:r>
            <w:proofErr w:type="spellStart"/>
            <w:r w:rsidRPr="004D07D7">
              <w:rPr>
                <w:sz w:val="20"/>
                <w:szCs w:val="20"/>
              </w:rPr>
              <w:t>места</w:t>
            </w:r>
            <w:proofErr w:type="spellEnd"/>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друго</w:t>
            </w:r>
            <w:proofErr w:type="spellEnd"/>
            <w:r w:rsidRPr="004D07D7">
              <w:rPr>
                <w:sz w:val="20"/>
                <w:szCs w:val="20"/>
              </w:rPr>
              <w:t xml:space="preserve"> у </w:t>
            </w:r>
            <w:proofErr w:type="spellStart"/>
            <w:r w:rsidRPr="004D07D7">
              <w:rPr>
                <w:sz w:val="20"/>
                <w:szCs w:val="20"/>
              </w:rPr>
              <w:t>оквиру</w:t>
            </w:r>
            <w:proofErr w:type="spellEnd"/>
            <w:r w:rsidRPr="004D07D7">
              <w:rPr>
                <w:sz w:val="20"/>
                <w:szCs w:val="20"/>
              </w:rPr>
              <w:t xml:space="preserve"> </w:t>
            </w:r>
            <w:proofErr w:type="spellStart"/>
            <w:r w:rsidRPr="004D07D7">
              <w:rPr>
                <w:sz w:val="20"/>
                <w:szCs w:val="20"/>
              </w:rPr>
              <w:t>кретања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w:t>
            </w:r>
            <w:proofErr w:type="spellStart"/>
            <w:r w:rsidRPr="004D07D7">
              <w:rPr>
                <w:sz w:val="20"/>
                <w:szCs w:val="20"/>
              </w:rPr>
              <w:t>код</w:t>
            </w:r>
            <w:proofErr w:type="spellEnd"/>
            <w:r w:rsidRPr="004D07D7">
              <w:rPr>
                <w:sz w:val="20"/>
                <w:szCs w:val="20"/>
              </w:rPr>
              <w:t xml:space="preserve"> </w:t>
            </w:r>
            <w:proofErr w:type="spellStart"/>
            <w:r w:rsidRPr="004D07D7">
              <w:rPr>
                <w:sz w:val="20"/>
                <w:szCs w:val="20"/>
              </w:rPr>
              <w:t>истог</w:t>
            </w:r>
            <w:proofErr w:type="spellEnd"/>
            <w:r w:rsidRPr="004D07D7">
              <w:rPr>
                <w:sz w:val="20"/>
                <w:szCs w:val="20"/>
              </w:rPr>
              <w:t xml:space="preserve"> </w:t>
            </w:r>
            <w:proofErr w:type="spellStart"/>
            <w:r w:rsidRPr="004D07D7">
              <w:rPr>
                <w:sz w:val="20"/>
                <w:szCs w:val="20"/>
              </w:rPr>
              <w:t>учесника</w:t>
            </w:r>
            <w:proofErr w:type="spellEnd"/>
            <w:r w:rsidRPr="004D07D7">
              <w:rPr>
                <w:sz w:val="20"/>
                <w:szCs w:val="20"/>
              </w:rPr>
              <w:t xml:space="preserve"> у </w:t>
            </w:r>
            <w:proofErr w:type="spellStart"/>
            <w:r w:rsidRPr="004D07D7">
              <w:rPr>
                <w:sz w:val="20"/>
                <w:szCs w:val="20"/>
              </w:rPr>
              <w:t>промету</w:t>
            </w:r>
            <w:proofErr w:type="spellEnd"/>
            <w:r w:rsidRPr="004D07D7">
              <w:rPr>
                <w:sz w:val="20"/>
                <w:szCs w:val="20"/>
              </w:rPr>
              <w:t xml:space="preserve"> у </w:t>
            </w:r>
            <w:proofErr w:type="spellStart"/>
            <w:r w:rsidRPr="004D07D7">
              <w:rPr>
                <w:sz w:val="20"/>
                <w:szCs w:val="20"/>
              </w:rPr>
              <w:t>смислу</w:t>
            </w:r>
            <w:proofErr w:type="spellEnd"/>
            <w:r w:rsidRPr="004D07D7">
              <w:rPr>
                <w:sz w:val="20"/>
                <w:szCs w:val="20"/>
              </w:rPr>
              <w:t xml:space="preserve"> </w:t>
            </w:r>
            <w:proofErr w:type="spellStart"/>
            <w:r w:rsidRPr="004D07D7">
              <w:rPr>
                <w:sz w:val="20"/>
                <w:szCs w:val="20"/>
              </w:rPr>
              <w:t>члана</w:t>
            </w:r>
            <w:proofErr w:type="spellEnd"/>
            <w:r w:rsidRPr="004D07D7">
              <w:rPr>
                <w:sz w:val="20"/>
                <w:szCs w:val="20"/>
              </w:rPr>
              <w:t xml:space="preserve"> </w:t>
            </w:r>
            <w:proofErr w:type="spellStart"/>
            <w:r w:rsidRPr="004D07D7">
              <w:rPr>
                <w:sz w:val="20"/>
                <w:szCs w:val="20"/>
              </w:rPr>
              <w:t>18а</w:t>
            </w:r>
            <w:proofErr w:type="spellEnd"/>
            <w:r w:rsidRPr="004D07D7">
              <w:rPr>
                <w:sz w:val="20"/>
                <w:szCs w:val="20"/>
                <w:lang w:val="sr-Cyrl-RS"/>
              </w:rPr>
              <w:t xml:space="preserve"> овог</w:t>
            </w:r>
            <w:r w:rsidRPr="004D07D7">
              <w:rPr>
                <w:sz w:val="20"/>
                <w:szCs w:val="20"/>
              </w:rPr>
              <w:t xml:space="preserve"> </w:t>
            </w:r>
            <w:proofErr w:type="spellStart"/>
            <w:r w:rsidRPr="004D07D7">
              <w:rPr>
                <w:sz w:val="20"/>
                <w:szCs w:val="20"/>
              </w:rPr>
              <w:t>закона</w:t>
            </w:r>
            <w:proofErr w:type="spellEnd"/>
            <w:r w:rsidRPr="004D07D7">
              <w:rPr>
                <w:sz w:val="20"/>
                <w:szCs w:val="20"/>
                <w:lang w:val="sr-Cyrl-RS"/>
              </w:rPr>
              <w:t>, осим пријема у малопродајни објекат;</w:t>
            </w:r>
          </w:p>
          <w:p w:rsidR="00CA6EBA" w:rsidRPr="004D07D7" w:rsidRDefault="00CA6EBA" w:rsidP="00CA6EBA">
            <w:pPr>
              <w:spacing w:before="120" w:after="120"/>
              <w:ind w:firstLine="5"/>
              <w:rPr>
                <w:sz w:val="20"/>
                <w:szCs w:val="20"/>
                <w:lang w:val="sr-Latn-RS"/>
              </w:rPr>
            </w:pPr>
            <w:r w:rsidRPr="004D07D7">
              <w:rPr>
                <w:sz w:val="20"/>
                <w:szCs w:val="20"/>
                <w:lang w:val="sr-Cyrl-CS"/>
              </w:rPr>
              <w:t>10а) „збирни код” је</w:t>
            </w:r>
            <w:r w:rsidRPr="004D07D7">
              <w:rPr>
                <w:sz w:val="20"/>
                <w:szCs w:val="20"/>
              </w:rPr>
              <w:t xml:space="preserve"> </w:t>
            </w:r>
            <w:r w:rsidRPr="004D07D7">
              <w:rPr>
                <w:sz w:val="20"/>
                <w:szCs w:val="20"/>
                <w:lang w:val="sr-Cyrl-CS"/>
              </w:rPr>
              <w:t xml:space="preserve">јединствени </w:t>
            </w:r>
            <w:proofErr w:type="spellStart"/>
            <w:r w:rsidRPr="004D07D7">
              <w:rPr>
                <w:sz w:val="20"/>
                <w:szCs w:val="20"/>
                <w:lang w:val="sr-Cyrl-CS"/>
              </w:rPr>
              <w:t>идентификатор</w:t>
            </w:r>
            <w:proofErr w:type="spellEnd"/>
            <w:r w:rsidRPr="004D07D7">
              <w:rPr>
                <w:sz w:val="20"/>
                <w:szCs w:val="20"/>
                <w:lang w:val="sr-Cyrl-CS"/>
              </w:rPr>
              <w:t xml:space="preserve"> у виду </w:t>
            </w:r>
            <w:proofErr w:type="spellStart"/>
            <w:r w:rsidRPr="004D07D7">
              <w:rPr>
                <w:sz w:val="20"/>
                <w:szCs w:val="20"/>
                <w:lang w:val="sr-Cyrl-CS"/>
              </w:rPr>
              <w:t>бар-кôда</w:t>
            </w:r>
            <w:proofErr w:type="spellEnd"/>
            <w:r w:rsidRPr="004D07D7">
              <w:rPr>
                <w:sz w:val="20"/>
                <w:szCs w:val="20"/>
                <w:lang w:val="sr-Latn-RS"/>
              </w:rPr>
              <w:t>,</w:t>
            </w:r>
            <w:r w:rsidRPr="004D07D7">
              <w:rPr>
                <w:sz w:val="20"/>
                <w:szCs w:val="20"/>
                <w:lang w:val="sr-Cyrl-CS"/>
              </w:rPr>
              <w:t xml:space="preserve"> који генерише учесник у ланцу </w:t>
            </w:r>
            <w:proofErr w:type="spellStart"/>
            <w:r w:rsidRPr="004D07D7">
              <w:rPr>
                <w:sz w:val="20"/>
                <w:szCs w:val="20"/>
                <w:lang w:val="sr-Cyrl-CS"/>
              </w:rPr>
              <w:t>дистибуције</w:t>
            </w:r>
            <w:proofErr w:type="spellEnd"/>
            <w:r w:rsidRPr="004D07D7">
              <w:rPr>
                <w:sz w:val="20"/>
                <w:szCs w:val="20"/>
                <w:lang w:val="sr-Cyrl-CS"/>
              </w:rPr>
              <w:t xml:space="preserve"> цигарета и </w:t>
            </w:r>
            <w:proofErr w:type="spellStart"/>
            <w:r w:rsidRPr="004D07D7">
              <w:rPr>
                <w:sz w:val="20"/>
                <w:szCs w:val="20"/>
                <w:lang w:val="sr-Cyrl-CS"/>
              </w:rPr>
              <w:t>несагоревајућег</w:t>
            </w:r>
            <w:proofErr w:type="spellEnd"/>
            <w:r w:rsidRPr="004D07D7">
              <w:rPr>
                <w:sz w:val="20"/>
                <w:szCs w:val="20"/>
                <w:lang w:val="sr-Cyrl-CS"/>
              </w:rPr>
              <w:t xml:space="preserve"> дувана у складу са међународним стандардом </w:t>
            </w:r>
            <w:proofErr w:type="spellStart"/>
            <w:r w:rsidRPr="004D07D7">
              <w:rPr>
                <w:sz w:val="20"/>
                <w:szCs w:val="20"/>
                <w:lang w:val="sr-Latn-RS"/>
              </w:rPr>
              <w:t>gs1</w:t>
            </w:r>
            <w:proofErr w:type="spellEnd"/>
            <w:r w:rsidRPr="004D07D7">
              <w:rPr>
                <w:sz w:val="20"/>
                <w:szCs w:val="20"/>
                <w:lang w:val="sr-Latn-RS"/>
              </w:rPr>
              <w:t>,</w:t>
            </w:r>
            <w:r w:rsidRPr="004D07D7">
              <w:rPr>
                <w:sz w:val="20"/>
                <w:szCs w:val="20"/>
                <w:lang w:val="sr-Cyrl-RS"/>
              </w:rPr>
              <w:t xml:space="preserve"> којим се обележавају збирна паковања која садрже појединачна односно збирна паковања цигарета и </w:t>
            </w:r>
            <w:proofErr w:type="spellStart"/>
            <w:r w:rsidRPr="004D07D7">
              <w:rPr>
                <w:sz w:val="20"/>
                <w:szCs w:val="20"/>
                <w:lang w:val="sr-Cyrl-RS"/>
              </w:rPr>
              <w:lastRenderedPageBreak/>
              <w:t>несагоревајућег</w:t>
            </w:r>
            <w:proofErr w:type="spellEnd"/>
            <w:r w:rsidRPr="004D07D7">
              <w:rPr>
                <w:sz w:val="20"/>
                <w:szCs w:val="20"/>
                <w:lang w:val="sr-Cyrl-RS"/>
              </w:rPr>
              <w:t xml:space="preserve"> дувана, који</w:t>
            </w:r>
            <w:r w:rsidRPr="004D07D7">
              <w:rPr>
                <w:sz w:val="20"/>
                <w:szCs w:val="20"/>
                <w:lang w:val="sr-Latn-RS"/>
              </w:rPr>
              <w:t xml:space="preserve"> </w:t>
            </w:r>
            <w:r w:rsidRPr="004D07D7">
              <w:rPr>
                <w:sz w:val="20"/>
                <w:szCs w:val="20"/>
                <w:lang w:val="sr-Cyrl-RS"/>
              </w:rPr>
              <w:t xml:space="preserve">садржи информације о продукционим кодовима и збирним кодовима који чине његову агрегацију и </w:t>
            </w:r>
            <w:proofErr w:type="spellStart"/>
            <w:r w:rsidRPr="004D07D7">
              <w:rPr>
                <w:sz w:val="20"/>
                <w:szCs w:val="20"/>
              </w:rPr>
              <w:t>користи</w:t>
            </w:r>
            <w:proofErr w:type="spellEnd"/>
            <w:r w:rsidRPr="004D07D7">
              <w:rPr>
                <w:sz w:val="20"/>
                <w:szCs w:val="20"/>
                <w:lang w:val="sr-Cyrl-RS"/>
              </w:rPr>
              <w:t xml:space="preserve"> се за </w:t>
            </w:r>
            <w:proofErr w:type="spellStart"/>
            <w:r w:rsidRPr="004D07D7">
              <w:rPr>
                <w:sz w:val="20"/>
                <w:szCs w:val="20"/>
              </w:rPr>
              <w:t>скенирање</w:t>
            </w:r>
            <w:proofErr w:type="spellEnd"/>
            <w:r w:rsidRPr="004D07D7">
              <w:rPr>
                <w:sz w:val="20"/>
                <w:szCs w:val="20"/>
                <w:lang w:val="sr-Cyrl-RS"/>
              </w:rPr>
              <w:t xml:space="preserve"> након </w:t>
            </w:r>
            <w:proofErr w:type="spellStart"/>
            <w:r w:rsidRPr="004D07D7">
              <w:rPr>
                <w:sz w:val="20"/>
                <w:szCs w:val="20"/>
                <w:lang w:val="sr-Cyrl-RS"/>
              </w:rPr>
              <w:t>упакивања</w:t>
            </w:r>
            <w:proofErr w:type="spellEnd"/>
            <w:r w:rsidRPr="004D07D7">
              <w:rPr>
                <w:sz w:val="20"/>
                <w:szCs w:val="20"/>
                <w:lang w:val="sr-Cyrl-RS"/>
              </w:rPr>
              <w:t xml:space="preserve"> као и</w:t>
            </w:r>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сваком</w:t>
            </w:r>
            <w:proofErr w:type="spellEnd"/>
            <w:r w:rsidRPr="004D07D7">
              <w:rPr>
                <w:sz w:val="20"/>
                <w:szCs w:val="20"/>
              </w:rPr>
              <w:t xml:space="preserve"> </w:t>
            </w:r>
            <w:proofErr w:type="spellStart"/>
            <w:r w:rsidRPr="004D07D7">
              <w:rPr>
                <w:sz w:val="20"/>
                <w:szCs w:val="20"/>
              </w:rPr>
              <w:t>појединачном</w:t>
            </w:r>
            <w:proofErr w:type="spellEnd"/>
            <w:r w:rsidRPr="004D07D7">
              <w:rPr>
                <w:sz w:val="20"/>
                <w:szCs w:val="20"/>
              </w:rPr>
              <w:t xml:space="preserve"> </w:t>
            </w:r>
            <w:proofErr w:type="spellStart"/>
            <w:r w:rsidRPr="004D07D7">
              <w:rPr>
                <w:sz w:val="20"/>
                <w:szCs w:val="20"/>
              </w:rPr>
              <w:t>месту</w:t>
            </w:r>
            <w:proofErr w:type="spellEnd"/>
            <w:r w:rsidRPr="004D07D7">
              <w:rPr>
                <w:sz w:val="20"/>
                <w:szCs w:val="20"/>
              </w:rPr>
              <w:t xml:space="preserve"> </w:t>
            </w:r>
            <w:proofErr w:type="spellStart"/>
            <w:r w:rsidRPr="004D07D7">
              <w:rPr>
                <w:sz w:val="20"/>
                <w:szCs w:val="20"/>
              </w:rPr>
              <w:t>пријема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w:t>
            </w:r>
            <w:r w:rsidRPr="004D07D7">
              <w:rPr>
                <w:sz w:val="20"/>
                <w:szCs w:val="20"/>
                <w:lang w:val="sr-Cyrl-RS"/>
              </w:rPr>
              <w:t xml:space="preserve"> односно </w:t>
            </w:r>
            <w:proofErr w:type="spellStart"/>
            <w:r w:rsidRPr="004D07D7">
              <w:rPr>
                <w:sz w:val="20"/>
                <w:szCs w:val="20"/>
                <w:lang w:val="sr-Cyrl-RS"/>
              </w:rPr>
              <w:t>несагоревајућег</w:t>
            </w:r>
            <w:proofErr w:type="spellEnd"/>
            <w:r w:rsidRPr="004D07D7">
              <w:rPr>
                <w:sz w:val="20"/>
                <w:szCs w:val="20"/>
                <w:lang w:val="sr-Cyrl-RS"/>
              </w:rPr>
              <w:t xml:space="preserve"> дувана, укључујући и место пријема у случају</w:t>
            </w:r>
            <w:r w:rsidRPr="004D07D7">
              <w:rPr>
                <w:sz w:val="20"/>
                <w:szCs w:val="20"/>
              </w:rPr>
              <w:t xml:space="preserve"> </w:t>
            </w:r>
            <w:proofErr w:type="spellStart"/>
            <w:r w:rsidRPr="004D07D7">
              <w:rPr>
                <w:sz w:val="20"/>
                <w:szCs w:val="20"/>
              </w:rPr>
              <w:t>преноса</w:t>
            </w:r>
            <w:proofErr w:type="spellEnd"/>
            <w:r w:rsidRPr="004D07D7">
              <w:rPr>
                <w:sz w:val="20"/>
                <w:szCs w:val="20"/>
              </w:rPr>
              <w:t xml:space="preserve"> </w:t>
            </w:r>
            <w:proofErr w:type="spellStart"/>
            <w:r w:rsidRPr="004D07D7">
              <w:rPr>
                <w:sz w:val="20"/>
                <w:szCs w:val="20"/>
              </w:rPr>
              <w:t>са</w:t>
            </w:r>
            <w:proofErr w:type="spellEnd"/>
            <w:r w:rsidRPr="004D07D7">
              <w:rPr>
                <w:sz w:val="20"/>
                <w:szCs w:val="20"/>
              </w:rPr>
              <w:t xml:space="preserve"> </w:t>
            </w:r>
            <w:proofErr w:type="spellStart"/>
            <w:r w:rsidRPr="004D07D7">
              <w:rPr>
                <w:sz w:val="20"/>
                <w:szCs w:val="20"/>
              </w:rPr>
              <w:t>једног</w:t>
            </w:r>
            <w:proofErr w:type="spellEnd"/>
            <w:r w:rsidRPr="004D07D7">
              <w:rPr>
                <w:sz w:val="20"/>
                <w:szCs w:val="20"/>
              </w:rPr>
              <w:t xml:space="preserve"> </w:t>
            </w:r>
            <w:proofErr w:type="spellStart"/>
            <w:r w:rsidRPr="004D07D7">
              <w:rPr>
                <w:sz w:val="20"/>
                <w:szCs w:val="20"/>
              </w:rPr>
              <w:t>места</w:t>
            </w:r>
            <w:proofErr w:type="spellEnd"/>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друго</w:t>
            </w:r>
            <w:proofErr w:type="spellEnd"/>
            <w:r w:rsidRPr="004D07D7">
              <w:rPr>
                <w:sz w:val="20"/>
                <w:szCs w:val="20"/>
              </w:rPr>
              <w:t xml:space="preserve"> у </w:t>
            </w:r>
            <w:proofErr w:type="spellStart"/>
            <w:r w:rsidRPr="004D07D7">
              <w:rPr>
                <w:sz w:val="20"/>
                <w:szCs w:val="20"/>
              </w:rPr>
              <w:t>оквиру</w:t>
            </w:r>
            <w:proofErr w:type="spellEnd"/>
            <w:r w:rsidRPr="004D07D7">
              <w:rPr>
                <w:sz w:val="20"/>
                <w:szCs w:val="20"/>
              </w:rPr>
              <w:t xml:space="preserve"> </w:t>
            </w:r>
            <w:proofErr w:type="spellStart"/>
            <w:r w:rsidRPr="004D07D7">
              <w:rPr>
                <w:sz w:val="20"/>
                <w:szCs w:val="20"/>
              </w:rPr>
              <w:t>кретања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w:t>
            </w:r>
            <w:proofErr w:type="spellStart"/>
            <w:r w:rsidRPr="004D07D7">
              <w:rPr>
                <w:sz w:val="20"/>
                <w:szCs w:val="20"/>
              </w:rPr>
              <w:t>код</w:t>
            </w:r>
            <w:proofErr w:type="spellEnd"/>
            <w:r w:rsidRPr="004D07D7">
              <w:rPr>
                <w:sz w:val="20"/>
                <w:szCs w:val="20"/>
              </w:rPr>
              <w:t xml:space="preserve"> </w:t>
            </w:r>
            <w:proofErr w:type="spellStart"/>
            <w:r w:rsidRPr="004D07D7">
              <w:rPr>
                <w:sz w:val="20"/>
                <w:szCs w:val="20"/>
              </w:rPr>
              <w:t>истог</w:t>
            </w:r>
            <w:proofErr w:type="spellEnd"/>
            <w:r w:rsidRPr="004D07D7">
              <w:rPr>
                <w:sz w:val="20"/>
                <w:szCs w:val="20"/>
              </w:rPr>
              <w:t xml:space="preserve"> </w:t>
            </w:r>
            <w:proofErr w:type="spellStart"/>
            <w:r w:rsidRPr="004D07D7">
              <w:rPr>
                <w:sz w:val="20"/>
                <w:szCs w:val="20"/>
              </w:rPr>
              <w:t>учесника</w:t>
            </w:r>
            <w:proofErr w:type="spellEnd"/>
            <w:r w:rsidRPr="004D07D7">
              <w:rPr>
                <w:sz w:val="20"/>
                <w:szCs w:val="20"/>
              </w:rPr>
              <w:t xml:space="preserve"> у </w:t>
            </w:r>
            <w:proofErr w:type="spellStart"/>
            <w:r w:rsidRPr="004D07D7">
              <w:rPr>
                <w:sz w:val="20"/>
                <w:szCs w:val="20"/>
              </w:rPr>
              <w:t>промету</w:t>
            </w:r>
            <w:proofErr w:type="spellEnd"/>
            <w:r w:rsidRPr="004D07D7">
              <w:rPr>
                <w:sz w:val="20"/>
                <w:szCs w:val="20"/>
              </w:rPr>
              <w:t xml:space="preserve"> у </w:t>
            </w:r>
            <w:proofErr w:type="spellStart"/>
            <w:r w:rsidRPr="004D07D7">
              <w:rPr>
                <w:sz w:val="20"/>
                <w:szCs w:val="20"/>
              </w:rPr>
              <w:t>смислу</w:t>
            </w:r>
            <w:proofErr w:type="spellEnd"/>
            <w:r w:rsidRPr="004D07D7">
              <w:rPr>
                <w:sz w:val="20"/>
                <w:szCs w:val="20"/>
              </w:rPr>
              <w:t xml:space="preserve"> </w:t>
            </w:r>
            <w:proofErr w:type="spellStart"/>
            <w:r w:rsidRPr="004D07D7">
              <w:rPr>
                <w:sz w:val="20"/>
                <w:szCs w:val="20"/>
              </w:rPr>
              <w:t>члана</w:t>
            </w:r>
            <w:proofErr w:type="spellEnd"/>
            <w:r w:rsidRPr="004D07D7">
              <w:rPr>
                <w:sz w:val="20"/>
                <w:szCs w:val="20"/>
              </w:rPr>
              <w:t xml:space="preserve"> </w:t>
            </w:r>
            <w:proofErr w:type="spellStart"/>
            <w:r w:rsidRPr="004D07D7">
              <w:rPr>
                <w:sz w:val="20"/>
                <w:szCs w:val="20"/>
              </w:rPr>
              <w:t>18а</w:t>
            </w:r>
            <w:proofErr w:type="spellEnd"/>
            <w:r w:rsidRPr="004D07D7">
              <w:rPr>
                <w:sz w:val="20"/>
                <w:szCs w:val="20"/>
                <w:lang w:val="sr-Cyrl-RS"/>
              </w:rPr>
              <w:t xml:space="preserve"> овог</w:t>
            </w:r>
            <w:r w:rsidRPr="004D07D7">
              <w:rPr>
                <w:sz w:val="20"/>
                <w:szCs w:val="20"/>
              </w:rPr>
              <w:t xml:space="preserve"> </w:t>
            </w:r>
            <w:proofErr w:type="spellStart"/>
            <w:r w:rsidRPr="004D07D7">
              <w:rPr>
                <w:sz w:val="20"/>
                <w:szCs w:val="20"/>
              </w:rPr>
              <w:t>закона</w:t>
            </w:r>
            <w:proofErr w:type="spellEnd"/>
            <w:r w:rsidRPr="004D07D7">
              <w:rPr>
                <w:sz w:val="20"/>
                <w:szCs w:val="20"/>
                <w:lang w:val="sr-Cyrl-RS"/>
              </w:rPr>
              <w:t>, осим пријема у малопродајни објекат</w:t>
            </w:r>
            <w:r w:rsidRPr="004D07D7">
              <w:rPr>
                <w:sz w:val="20"/>
                <w:szCs w:val="20"/>
                <w:lang w:val="sr-Latn-RS"/>
              </w:rPr>
              <w:t>;</w:t>
            </w:r>
          </w:p>
          <w:p w:rsidR="00CA6EBA" w:rsidRPr="004D07D7" w:rsidRDefault="00CA6EBA" w:rsidP="00CA6EBA">
            <w:pPr>
              <w:spacing w:before="120" w:after="120"/>
              <w:rPr>
                <w:sz w:val="20"/>
                <w:szCs w:val="20"/>
                <w:lang w:val="ru-RU"/>
              </w:rPr>
            </w:pP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CA6EBA">
            <w:pPr>
              <w:spacing w:before="120" w:after="120"/>
              <w:jc w:val="center"/>
              <w:rPr>
                <w:sz w:val="20"/>
                <w:szCs w:val="20"/>
                <w:lang w:val="sr-Cyrl-RS"/>
              </w:rPr>
            </w:pPr>
            <w:r>
              <w:rPr>
                <w:sz w:val="20"/>
                <w:szCs w:val="20"/>
                <w:lang w:val="sr-Cyrl-RS"/>
              </w:rPr>
              <w:lastRenderedPageBreak/>
              <w:t>ПУ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4D07D7">
        <w:tc>
          <w:tcPr>
            <w:tcW w:w="2117"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4D07D7">
            <w:pPr>
              <w:jc w:val="center"/>
              <w:rPr>
                <w:rFonts w:eastAsia="Verdana"/>
                <w:sz w:val="20"/>
                <w:szCs w:val="20"/>
                <w:lang w:val="sr-Cyrl-RS"/>
              </w:rPr>
            </w:pPr>
            <w:r w:rsidRPr="004D07D7">
              <w:rPr>
                <w:rFonts w:eastAsia="Verdana"/>
                <w:sz w:val="20"/>
                <w:szCs w:val="20"/>
                <w:lang w:val="sr-Cyrl-RS"/>
              </w:rPr>
              <w:lastRenderedPageBreak/>
              <w:t>15.2</w:t>
            </w:r>
          </w:p>
        </w:tc>
        <w:tc>
          <w:tcPr>
            <w:tcW w:w="2231"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color w:val="000000"/>
                <w:sz w:val="20"/>
                <w:szCs w:val="20"/>
                <w:lang w:val="sr-Cyrl-RS"/>
              </w:rPr>
              <w:t>Јединствени идентификатор омогућава да се одреди следеће:</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(a)</w:t>
            </w:r>
            <w:r w:rsidRPr="004D07D7">
              <w:rPr>
                <w:rFonts w:eastAsia="Verdana"/>
                <w:color w:val="000000"/>
                <w:sz w:val="20"/>
                <w:szCs w:val="20"/>
                <w:lang w:val="sr-Cyrl-RS"/>
              </w:rPr>
              <w:t xml:space="preserve"> датум и место производње;</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(б)</w:t>
            </w:r>
            <w:r w:rsidRPr="004D07D7">
              <w:rPr>
                <w:rFonts w:eastAsia="Verdana"/>
                <w:color w:val="000000"/>
                <w:sz w:val="20"/>
                <w:szCs w:val="20"/>
                <w:lang w:val="sr-Cyrl-RS"/>
              </w:rPr>
              <w:t xml:space="preserve"> објекат за производњу;</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(в)</w:t>
            </w:r>
            <w:r w:rsidRPr="004D07D7">
              <w:rPr>
                <w:rFonts w:eastAsia="Verdana"/>
                <w:color w:val="000000"/>
                <w:sz w:val="20"/>
                <w:szCs w:val="20"/>
                <w:lang w:val="sr-Cyrl-RS"/>
              </w:rPr>
              <w:t xml:space="preserve"> машине које се користе за производњу дуванских производа;</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lastRenderedPageBreak/>
              <w:t>(г)</w:t>
            </w:r>
            <w:r w:rsidRPr="004D07D7">
              <w:rPr>
                <w:rFonts w:eastAsia="Verdana"/>
                <w:color w:val="000000"/>
                <w:sz w:val="20"/>
                <w:szCs w:val="20"/>
                <w:lang w:val="sr-Cyrl-RS"/>
              </w:rPr>
              <w:t xml:space="preserve"> производна смена или време прозводње;</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(д)</w:t>
            </w:r>
            <w:r w:rsidRPr="004D07D7">
              <w:rPr>
                <w:rFonts w:eastAsia="Verdana"/>
                <w:color w:val="000000"/>
                <w:sz w:val="20"/>
                <w:szCs w:val="20"/>
                <w:lang w:val="sr-Cyrl-RS"/>
              </w:rPr>
              <w:t xml:space="preserve"> опис производа;</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(ђ)</w:t>
            </w:r>
            <w:r w:rsidRPr="004D07D7">
              <w:rPr>
                <w:rFonts w:eastAsia="Verdana"/>
                <w:color w:val="000000"/>
                <w:sz w:val="20"/>
                <w:szCs w:val="20"/>
                <w:lang w:val="sr-Cyrl-RS"/>
              </w:rPr>
              <w:t xml:space="preserve"> циљано малопродајно тржиште;</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(е)</w:t>
            </w:r>
            <w:r w:rsidRPr="004D07D7">
              <w:rPr>
                <w:rFonts w:eastAsia="Verdana"/>
                <w:color w:val="000000"/>
                <w:sz w:val="20"/>
                <w:szCs w:val="20"/>
                <w:lang w:val="sr-Cyrl-RS"/>
              </w:rPr>
              <w:t xml:space="preserve"> планирана рута испоруке;</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(ж)</w:t>
            </w:r>
            <w:r w:rsidRPr="004D07D7">
              <w:rPr>
                <w:rFonts w:eastAsia="Verdana"/>
                <w:color w:val="000000"/>
                <w:sz w:val="20"/>
                <w:szCs w:val="20"/>
                <w:lang w:val="sr-Cyrl-RS"/>
              </w:rPr>
              <w:t xml:space="preserve"> где је применљиво, увозник у Унију;</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(з)</w:t>
            </w:r>
            <w:r w:rsidRPr="004D07D7">
              <w:rPr>
                <w:rFonts w:eastAsia="Verdana"/>
                <w:color w:val="000000"/>
                <w:sz w:val="20"/>
                <w:szCs w:val="20"/>
                <w:lang w:val="sr-Cyrl-RS"/>
              </w:rPr>
              <w:t xml:space="preserve"> стварна рута слања од производње до првог малопродајног места, укључујући сва складишта која се користе као и датум отпреме, одредиште пошиљке, полазиште и примаоца;</w:t>
            </w:r>
          </w:p>
          <w:p w:rsidR="00CA6EBA" w:rsidRPr="004D07D7" w:rsidRDefault="00CA6EBA" w:rsidP="00CA6EBA">
            <w:pPr>
              <w:pBdr>
                <w:top w:val="nil"/>
                <w:left w:val="nil"/>
                <w:bottom w:val="nil"/>
                <w:right w:val="nil"/>
                <w:between w:val="nil"/>
              </w:pBdr>
              <w:rPr>
                <w:rFonts w:eastAsia="Verdana"/>
                <w:color w:val="000000"/>
                <w:sz w:val="20"/>
                <w:szCs w:val="20"/>
                <w:lang w:val="sr-Cyrl-RS"/>
              </w:rPr>
            </w:pPr>
            <w:r w:rsidRPr="004D07D7">
              <w:rPr>
                <w:rFonts w:eastAsia="Verdana"/>
                <w:b/>
                <w:color w:val="000000"/>
                <w:sz w:val="20"/>
                <w:szCs w:val="20"/>
                <w:lang w:val="sr-Cyrl-RS"/>
              </w:rPr>
              <w:t>(и)</w:t>
            </w:r>
            <w:r w:rsidRPr="004D07D7">
              <w:rPr>
                <w:rFonts w:eastAsia="Verdana"/>
                <w:color w:val="000000"/>
                <w:sz w:val="20"/>
                <w:szCs w:val="20"/>
                <w:lang w:val="sr-Cyrl-RS"/>
              </w:rPr>
              <w:t xml:space="preserve"> идентитет свих купаца од производње до првог малопродајног места; и</w:t>
            </w:r>
          </w:p>
          <w:p w:rsidR="00CA6EBA" w:rsidRPr="004D07D7" w:rsidRDefault="00CA6EBA" w:rsidP="00CA6EBA">
            <w:pPr>
              <w:rPr>
                <w:rFonts w:eastAsia="Verdana"/>
                <w:sz w:val="20"/>
                <w:szCs w:val="20"/>
                <w:lang w:val="sr-Cyrl-RS"/>
              </w:rPr>
            </w:pPr>
            <w:r w:rsidRPr="004D07D7">
              <w:rPr>
                <w:rFonts w:eastAsia="Verdana"/>
                <w:b/>
                <w:color w:val="000000"/>
                <w:sz w:val="20"/>
                <w:szCs w:val="20"/>
                <w:lang w:val="sr-Cyrl-RS"/>
              </w:rPr>
              <w:t>(ј)</w:t>
            </w:r>
            <w:r w:rsidRPr="004D07D7">
              <w:rPr>
                <w:rFonts w:eastAsia="Verdana"/>
                <w:color w:val="000000"/>
                <w:sz w:val="20"/>
                <w:szCs w:val="20"/>
                <w:lang w:val="sr-Cyrl-RS"/>
              </w:rPr>
              <w:t xml:space="preserve"> профактура, број наруџбе и подаци о плаћању за све купце од прозводње до првог малопродајног места.</w:t>
            </w: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CA6EBA">
            <w:pPr>
              <w:spacing w:before="120" w:after="120"/>
              <w:ind w:firstLine="5"/>
              <w:jc w:val="center"/>
              <w:rPr>
                <w:sz w:val="20"/>
                <w:szCs w:val="20"/>
                <w:lang w:val="ru-RU"/>
              </w:rPr>
            </w:pPr>
            <w:r w:rsidRPr="004D07D7">
              <w:rPr>
                <w:sz w:val="20"/>
                <w:szCs w:val="20"/>
                <w:lang w:val="ru-RU"/>
              </w:rPr>
              <w:lastRenderedPageBreak/>
              <w:t>Члан 18а став 8.</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4D07D7">
            <w:pPr>
              <w:tabs>
                <w:tab w:val="left" w:pos="900"/>
              </w:tabs>
              <w:rPr>
                <w:sz w:val="20"/>
                <w:szCs w:val="20"/>
                <w:lang w:val="sr-Cyrl-CS"/>
              </w:rPr>
            </w:pPr>
            <w:r w:rsidRPr="004D07D7">
              <w:rPr>
                <w:sz w:val="20"/>
                <w:szCs w:val="20"/>
                <w:lang w:val="sr-Cyrl-CS"/>
              </w:rPr>
              <w:t>Министар надлежан за послове финансија ближе прописује начин и поступак скенирања из ст. 4-6. Овог члана,</w:t>
            </w:r>
            <w:r w:rsidRPr="004D07D7">
              <w:rPr>
                <w:sz w:val="20"/>
                <w:szCs w:val="20"/>
              </w:rPr>
              <w:t xml:space="preserve"> </w:t>
            </w:r>
            <w:r w:rsidRPr="004D07D7">
              <w:rPr>
                <w:sz w:val="20"/>
                <w:szCs w:val="20"/>
                <w:lang w:val="sr-Cyrl-RS"/>
              </w:rPr>
              <w:t>начин и поступак увезивања и слања података из става 7. Овог члана,</w:t>
            </w:r>
            <w:r w:rsidRPr="004D07D7">
              <w:rPr>
                <w:sz w:val="20"/>
                <w:szCs w:val="20"/>
                <w:lang w:val="sr-Cyrl-CS"/>
              </w:rPr>
              <w:t xml:space="preserve"> садржину података у вези са акцизним </w:t>
            </w:r>
            <w:r w:rsidRPr="004D07D7">
              <w:rPr>
                <w:sz w:val="20"/>
                <w:szCs w:val="20"/>
                <w:lang w:val="sr-Cyrl-CS"/>
              </w:rPr>
              <w:lastRenderedPageBreak/>
              <w:t>производима, начин достављања тих података на систем е-акциза као и друге податке у вези са извршењем обавезе из овог члана у циљу праћења кретања цигарета, односно несагоревајућег дувана.</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9760CE" w:rsidP="00CA6EBA">
            <w:pPr>
              <w:spacing w:before="120" w:after="120"/>
              <w:jc w:val="center"/>
              <w:rPr>
                <w:sz w:val="20"/>
                <w:szCs w:val="20"/>
                <w:lang w:val="ru-RU"/>
              </w:rPr>
            </w:pPr>
            <w:r>
              <w:rPr>
                <w:sz w:val="20"/>
                <w:szCs w:val="20"/>
                <w:lang w:val="ru-RU"/>
              </w:rPr>
              <w:lastRenderedPageBreak/>
              <w:t>Д</w:t>
            </w:r>
            <w:r w:rsidR="004D07D7">
              <w:rPr>
                <w:sz w:val="20"/>
                <w:szCs w:val="20"/>
                <w:lang w:val="ru-RU"/>
              </w:rPr>
              <w:t>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9760CE" w:rsidP="00CA6EBA">
            <w:pPr>
              <w:spacing w:before="120" w:after="120"/>
              <w:ind w:firstLine="21"/>
              <w:jc w:val="center"/>
              <w:rPr>
                <w:sz w:val="20"/>
                <w:szCs w:val="20"/>
                <w:lang w:val="ru-RU"/>
              </w:rPr>
            </w:pPr>
            <w:r>
              <w:rPr>
                <w:sz w:val="20"/>
                <w:szCs w:val="20"/>
                <w:lang w:val="ru-RU"/>
              </w:rPr>
              <w:t>Предвиђено је потпуно усклађивање кроз доношење подзаконских аката.</w:t>
            </w:r>
          </w:p>
        </w:tc>
      </w:tr>
      <w:tr w:rsidR="004D07D7" w:rsidRPr="004D07D7" w:rsidTr="004D07D7">
        <w:tc>
          <w:tcPr>
            <w:tcW w:w="2117" w:type="dxa"/>
            <w:tcBorders>
              <w:top w:val="single" w:sz="6" w:space="0" w:color="000000"/>
              <w:left w:val="single" w:sz="6" w:space="0" w:color="000000"/>
              <w:bottom w:val="single" w:sz="6" w:space="0" w:color="FFFFFF"/>
              <w:right w:val="single" w:sz="6" w:space="0" w:color="000000"/>
            </w:tcBorders>
            <w:vAlign w:val="center"/>
          </w:tcPr>
          <w:p w:rsidR="004D07D7" w:rsidRPr="004D07D7" w:rsidRDefault="004D07D7" w:rsidP="004D07D7">
            <w:pPr>
              <w:jc w:val="center"/>
              <w:rPr>
                <w:rFonts w:eastAsia="Verdana"/>
                <w:sz w:val="20"/>
                <w:szCs w:val="20"/>
                <w:lang w:val="sr-Cyrl-RS"/>
              </w:rPr>
            </w:pPr>
            <w:r w:rsidRPr="004D07D7">
              <w:rPr>
                <w:rFonts w:eastAsia="Verdana"/>
                <w:sz w:val="20"/>
                <w:szCs w:val="20"/>
                <w:lang w:val="sr-Cyrl-RS"/>
              </w:rPr>
              <w:lastRenderedPageBreak/>
              <w:t>15.3</w:t>
            </w:r>
          </w:p>
        </w:tc>
        <w:tc>
          <w:tcPr>
            <w:tcW w:w="2231" w:type="dxa"/>
            <w:tcBorders>
              <w:top w:val="single" w:sz="6" w:space="0" w:color="000000"/>
              <w:left w:val="single" w:sz="6" w:space="0" w:color="000000"/>
              <w:bottom w:val="single" w:sz="6" w:space="0" w:color="FFFFFF"/>
              <w:right w:val="single" w:sz="6" w:space="0" w:color="000000"/>
            </w:tcBorders>
            <w:vAlign w:val="center"/>
          </w:tcPr>
          <w:p w:rsidR="004D07D7" w:rsidRPr="004D07D7" w:rsidRDefault="004D07D7" w:rsidP="004D07D7">
            <w:pPr>
              <w:rPr>
                <w:rFonts w:eastAsia="Verdana"/>
                <w:sz w:val="20"/>
                <w:szCs w:val="20"/>
                <w:lang w:val="sr-Cyrl-RS"/>
              </w:rPr>
            </w:pPr>
            <w:r w:rsidRPr="004D07D7">
              <w:rPr>
                <w:rFonts w:eastAsia="Verdana"/>
                <w:color w:val="000000"/>
                <w:sz w:val="20"/>
                <w:szCs w:val="20"/>
                <w:lang w:val="sr-Cyrl-RS"/>
              </w:rPr>
              <w:t>Подаци који су дати у тачкама (a), (б), (в), (г), (д), (ђ), (е) и, где је применљиво, (ж) става 2, чине део јединственог идентификатора.</w:t>
            </w:r>
          </w:p>
          <w:p w:rsidR="004D07D7" w:rsidRPr="004D07D7" w:rsidRDefault="004D07D7" w:rsidP="004D07D7">
            <w:pPr>
              <w:pBdr>
                <w:top w:val="nil"/>
                <w:left w:val="nil"/>
                <w:bottom w:val="nil"/>
                <w:right w:val="nil"/>
                <w:between w:val="nil"/>
              </w:pBd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4D07D7" w:rsidRPr="004D07D7" w:rsidRDefault="004D07D7" w:rsidP="004D07D7">
            <w:pPr>
              <w:spacing w:before="120" w:after="120"/>
              <w:ind w:firstLine="5"/>
              <w:jc w:val="center"/>
              <w:rPr>
                <w:sz w:val="20"/>
                <w:szCs w:val="20"/>
                <w:lang w:val="ru-RU"/>
              </w:rPr>
            </w:pPr>
            <w:r w:rsidRPr="004D07D7">
              <w:rPr>
                <w:sz w:val="20"/>
                <w:szCs w:val="20"/>
                <w:lang w:val="ru-RU"/>
              </w:rPr>
              <w:t>Члан 18а став 8.</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4D07D7" w:rsidRPr="004D07D7" w:rsidRDefault="004D07D7" w:rsidP="004D07D7">
            <w:pPr>
              <w:tabs>
                <w:tab w:val="left" w:pos="900"/>
              </w:tabs>
              <w:rPr>
                <w:sz w:val="20"/>
                <w:szCs w:val="20"/>
                <w:lang w:val="sr-Cyrl-CS"/>
              </w:rPr>
            </w:pPr>
            <w:r w:rsidRPr="004D07D7">
              <w:rPr>
                <w:sz w:val="20"/>
                <w:szCs w:val="20"/>
                <w:lang w:val="sr-Cyrl-CS"/>
              </w:rPr>
              <w:t>Министар надлежан за послове финансија ближе прописује начин и поступак скенирања из ст. 4-6. Овог члана,</w:t>
            </w:r>
            <w:r w:rsidRPr="004D07D7">
              <w:rPr>
                <w:sz w:val="20"/>
                <w:szCs w:val="20"/>
              </w:rPr>
              <w:t xml:space="preserve"> </w:t>
            </w:r>
            <w:r w:rsidRPr="004D07D7">
              <w:rPr>
                <w:sz w:val="20"/>
                <w:szCs w:val="20"/>
                <w:lang w:val="sr-Cyrl-RS"/>
              </w:rPr>
              <w:t>начин и поступак увезивања и слања података из става 7. Овог члана,</w:t>
            </w:r>
            <w:r w:rsidRPr="004D07D7">
              <w:rPr>
                <w:sz w:val="20"/>
                <w:szCs w:val="20"/>
                <w:lang w:val="sr-Cyrl-CS"/>
              </w:rPr>
              <w:t xml:space="preserve"> садржину података у вези са акцизним </w:t>
            </w:r>
            <w:r w:rsidRPr="004D07D7">
              <w:rPr>
                <w:sz w:val="20"/>
                <w:szCs w:val="20"/>
                <w:lang w:val="sr-Cyrl-CS"/>
              </w:rPr>
              <w:lastRenderedPageBreak/>
              <w:t>производима, начин достављања тих података на систем е-акциза као и друге податке у вези са извршењем обавезе из овог члана у циљу праћења кретања цигарета, односно несагоревајућег дувана.</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4D07D7" w:rsidRPr="004D07D7" w:rsidRDefault="009760CE" w:rsidP="004D07D7">
            <w:pPr>
              <w:spacing w:before="120" w:after="120"/>
              <w:jc w:val="center"/>
              <w:rPr>
                <w:sz w:val="20"/>
                <w:szCs w:val="20"/>
                <w:lang w:val="ru-RU"/>
              </w:rPr>
            </w:pPr>
            <w:r>
              <w:rPr>
                <w:sz w:val="20"/>
                <w:szCs w:val="20"/>
                <w:lang w:val="ru-RU"/>
              </w:rPr>
              <w:lastRenderedPageBreak/>
              <w:t>Д</w:t>
            </w:r>
            <w:r w:rsidR="004D07D7">
              <w:rPr>
                <w:sz w:val="20"/>
                <w:szCs w:val="20"/>
                <w:lang w:val="ru-RU"/>
              </w:rPr>
              <w:t>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4D07D7" w:rsidRPr="004D07D7" w:rsidRDefault="004D07D7" w:rsidP="004D07D7">
            <w:pPr>
              <w:spacing w:before="120" w:after="120"/>
              <w:ind w:firstLine="21"/>
              <w:jc w:val="center"/>
              <w:rPr>
                <w:sz w:val="20"/>
                <w:szCs w:val="20"/>
                <w:lang w:val="ru-RU"/>
              </w:rPr>
            </w:pPr>
            <w:r>
              <w:rPr>
                <w:sz w:val="20"/>
                <w:szCs w:val="20"/>
                <w:lang w:val="ru-RU"/>
              </w:rPr>
              <w:t>Предвиђено је</w:t>
            </w:r>
            <w:r w:rsidR="009760CE">
              <w:rPr>
                <w:sz w:val="20"/>
                <w:szCs w:val="20"/>
                <w:lang w:val="ru-RU"/>
              </w:rPr>
              <w:t xml:space="preserve"> потпуно</w:t>
            </w:r>
            <w:r>
              <w:rPr>
                <w:sz w:val="20"/>
                <w:szCs w:val="20"/>
                <w:lang w:val="ru-RU"/>
              </w:rPr>
              <w:t xml:space="preserve"> усклађивање кроз доношење подзаконских аката.</w:t>
            </w:r>
          </w:p>
        </w:tc>
      </w:tr>
      <w:tr w:rsidR="00CA6EBA" w:rsidRPr="004D07D7" w:rsidTr="004D07D7">
        <w:tc>
          <w:tcPr>
            <w:tcW w:w="2117"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4D07D7">
            <w:pPr>
              <w:jc w:val="center"/>
              <w:rPr>
                <w:rFonts w:eastAsia="Verdana"/>
                <w:sz w:val="20"/>
                <w:szCs w:val="20"/>
                <w:lang w:val="sr-Cyrl-RS"/>
              </w:rPr>
            </w:pPr>
            <w:r w:rsidRPr="004D07D7">
              <w:rPr>
                <w:rFonts w:eastAsia="Verdana"/>
                <w:sz w:val="20"/>
                <w:szCs w:val="20"/>
                <w:lang w:val="sr-Cyrl-RS"/>
              </w:rPr>
              <w:lastRenderedPageBreak/>
              <w:t>15.4</w:t>
            </w:r>
          </w:p>
        </w:tc>
        <w:tc>
          <w:tcPr>
            <w:tcW w:w="2231"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CA6EBA">
            <w:pPr>
              <w:rPr>
                <w:rFonts w:eastAsia="Verdana"/>
                <w:sz w:val="20"/>
                <w:szCs w:val="20"/>
                <w:lang w:val="sr-Cyrl-RS"/>
              </w:rPr>
            </w:pPr>
            <w:r w:rsidRPr="004D07D7">
              <w:rPr>
                <w:rFonts w:eastAsia="Verdana"/>
                <w:color w:val="000000"/>
                <w:sz w:val="20"/>
                <w:szCs w:val="20"/>
                <w:lang w:val="sr-Cyrl-RS"/>
              </w:rPr>
              <w:t xml:space="preserve">Државе чланице обезбеђују да информације поменуте у тачкама  (з), (и) и (ј) става 2  буду електронски доступне путем линка за јединствени идентификатор. </w:t>
            </w:r>
          </w:p>
          <w:p w:rsidR="00CA6EBA" w:rsidRPr="004D07D7" w:rsidRDefault="00CA6EBA" w:rsidP="00CA6EBA">
            <w:pP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CA6EBA">
            <w:pPr>
              <w:spacing w:before="120" w:after="120"/>
              <w:ind w:firstLine="5"/>
              <w:jc w:val="center"/>
              <w:rPr>
                <w:sz w:val="20"/>
                <w:szCs w:val="20"/>
                <w:lang w:val="ru-RU"/>
              </w:rPr>
            </w:pPr>
            <w:r>
              <w:rPr>
                <w:sz w:val="20"/>
                <w:szCs w:val="20"/>
                <w:lang w:val="ru-RU"/>
              </w:rPr>
              <w:t>Члан 1а</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4D07D7" w:rsidRPr="004D07D7" w:rsidRDefault="004D07D7" w:rsidP="004D07D7">
            <w:pPr>
              <w:rPr>
                <w:sz w:val="20"/>
                <w:szCs w:val="20"/>
                <w:lang w:val="sr-Cyrl-CS"/>
              </w:rPr>
            </w:pPr>
            <w:r w:rsidRPr="004D07D7">
              <w:rPr>
                <w:sz w:val="20"/>
                <w:szCs w:val="20"/>
                <w:lang w:val="sr-Cyrl-CS"/>
              </w:rPr>
              <w:t xml:space="preserve">13) „систем е-акциза” је централизовани информациони систем којим управља министарство надлежно за послове финансија, а који преузима податке из других регистара </w:t>
            </w:r>
            <w:r w:rsidR="007128AD" w:rsidRPr="004D07D7">
              <w:rPr>
                <w:sz w:val="20"/>
                <w:szCs w:val="20"/>
                <w:lang w:val="sr-Cyrl-CS"/>
              </w:rPr>
              <w:t xml:space="preserve">и евиденција </w:t>
            </w:r>
            <w:r w:rsidRPr="004D07D7">
              <w:rPr>
                <w:sz w:val="20"/>
                <w:szCs w:val="20"/>
                <w:lang w:val="sr-Cyrl-CS"/>
              </w:rPr>
              <w:t>који се воде код надлежних органа, као и податке у вези са акцизним производима, обвезницима акцизе и учесницима у промету, омогућава подношење електронских захтева за издавање контролних акцизних маркица, електронских захтева за издавање и обнављање дозвола за акцизна складишта, управљање пословним процесима и комуникацију између корисника система е-</w:t>
            </w:r>
            <w:r w:rsidRPr="004D07D7">
              <w:rPr>
                <w:sz w:val="20"/>
                <w:szCs w:val="20"/>
                <w:lang w:val="sr-Cyrl-CS"/>
              </w:rPr>
              <w:lastRenderedPageBreak/>
              <w:t>акциза у вези са акцизним производима и који евидентира, чува и обрађује податке у вези са кретањем акцизних производа.</w:t>
            </w:r>
          </w:p>
          <w:p w:rsidR="00CA6EBA" w:rsidRPr="004D07D7" w:rsidRDefault="00CA6EBA" w:rsidP="004D07D7">
            <w:pPr>
              <w:rPr>
                <w:sz w:val="20"/>
                <w:szCs w:val="20"/>
                <w:lang w:val="sr-Cyrl-CS"/>
              </w:rPr>
            </w:pP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4D07D7" w:rsidP="00CA6EBA">
            <w:pPr>
              <w:spacing w:before="120" w:after="120"/>
              <w:jc w:val="center"/>
              <w:rPr>
                <w:sz w:val="20"/>
                <w:szCs w:val="20"/>
                <w:lang w:val="ru-RU"/>
              </w:rPr>
            </w:pPr>
            <w:r>
              <w:rPr>
                <w:sz w:val="20"/>
                <w:szCs w:val="20"/>
                <w:lang w:val="ru-RU"/>
              </w:rPr>
              <w:lastRenderedPageBreak/>
              <w:t>ПУ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7128AD">
        <w:trPr>
          <w:trHeight w:val="4410"/>
        </w:trPr>
        <w:tc>
          <w:tcPr>
            <w:tcW w:w="2117" w:type="dxa"/>
            <w:vMerge w:val="restart"/>
            <w:tcBorders>
              <w:top w:val="single" w:sz="6" w:space="0" w:color="000000"/>
              <w:left w:val="single" w:sz="6" w:space="0" w:color="000000"/>
              <w:right w:val="single" w:sz="6" w:space="0" w:color="000000"/>
            </w:tcBorders>
            <w:vAlign w:val="center"/>
          </w:tcPr>
          <w:p w:rsidR="00CA6EBA" w:rsidRPr="004D07D7" w:rsidRDefault="00CA6EBA" w:rsidP="00CA6EBA">
            <w:pPr>
              <w:jc w:val="center"/>
              <w:rPr>
                <w:rFonts w:eastAsia="Verdana"/>
                <w:sz w:val="20"/>
                <w:szCs w:val="20"/>
                <w:lang w:val="sr-Cyrl-RS"/>
              </w:rPr>
            </w:pPr>
            <w:r w:rsidRPr="004D07D7">
              <w:rPr>
                <w:rFonts w:eastAsia="Verdana"/>
                <w:sz w:val="20"/>
                <w:szCs w:val="20"/>
                <w:lang w:val="sr-Cyrl-RS"/>
              </w:rPr>
              <w:lastRenderedPageBreak/>
              <w:t>15.5</w:t>
            </w:r>
          </w:p>
        </w:tc>
        <w:tc>
          <w:tcPr>
            <w:tcW w:w="2231" w:type="dxa"/>
            <w:vMerge w:val="restart"/>
            <w:tcBorders>
              <w:top w:val="single" w:sz="6" w:space="0" w:color="000000"/>
              <w:left w:val="single" w:sz="6" w:space="0" w:color="000000"/>
              <w:right w:val="single" w:sz="6" w:space="0" w:color="000000"/>
            </w:tcBorders>
            <w:vAlign w:val="center"/>
          </w:tcPr>
          <w:p w:rsidR="009760CE" w:rsidRDefault="009760CE" w:rsidP="007128AD">
            <w:pPr>
              <w:jc w:val="center"/>
              <w:rPr>
                <w:rFonts w:eastAsia="Verdana"/>
                <w:color w:val="000000"/>
                <w:sz w:val="20"/>
                <w:szCs w:val="20"/>
                <w:lang w:val="sr-Cyrl-RS"/>
              </w:rPr>
            </w:pPr>
          </w:p>
          <w:p w:rsidR="009760CE" w:rsidRDefault="009760CE" w:rsidP="007128AD">
            <w:pPr>
              <w:jc w:val="center"/>
              <w:rPr>
                <w:rFonts w:eastAsia="Verdana"/>
                <w:color w:val="000000"/>
                <w:sz w:val="20"/>
                <w:szCs w:val="20"/>
                <w:lang w:val="sr-Cyrl-RS"/>
              </w:rPr>
            </w:pPr>
          </w:p>
          <w:p w:rsidR="00CA6EBA" w:rsidRPr="004D07D7" w:rsidRDefault="00CA6EBA" w:rsidP="007128AD">
            <w:pPr>
              <w:jc w:val="center"/>
              <w:rPr>
                <w:rFonts w:eastAsia="Verdana"/>
                <w:sz w:val="20"/>
                <w:szCs w:val="20"/>
                <w:lang w:val="sr-Cyrl-RS"/>
              </w:rPr>
            </w:pPr>
            <w:r w:rsidRPr="004D07D7">
              <w:rPr>
                <w:rFonts w:eastAsia="Verdana"/>
                <w:color w:val="000000"/>
                <w:sz w:val="20"/>
                <w:szCs w:val="20"/>
                <w:lang w:val="sr-Cyrl-RS"/>
              </w:rPr>
              <w:t xml:space="preserve">Државе чланице обезбеђују да сви економски оператери укључени у трговину дуванским производима, од произвођача до последњег привредног субјекта пре првог малопродајног места, бележе улаз свих појединачних паковања из њиховог власништва, као и сва међукретања и коначни излазак појединачних паковања из њиховог власништва. Ова обавеза може бити испуњена обележавањем и евидентирањем агрегираних паковања као што су картони, велике кутије или палете, под условом да праћење и надгледање свих појединачних </w:t>
            </w:r>
            <w:r w:rsidRPr="004D07D7">
              <w:rPr>
                <w:rFonts w:eastAsia="Verdana"/>
                <w:color w:val="000000"/>
                <w:sz w:val="20"/>
                <w:szCs w:val="20"/>
                <w:lang w:val="sr-Cyrl-RS"/>
              </w:rPr>
              <w:lastRenderedPageBreak/>
              <w:t>пакета остане као отворена могућност.</w:t>
            </w:r>
          </w:p>
          <w:p w:rsidR="00CA6EBA" w:rsidRPr="004D07D7" w:rsidRDefault="00CA6EBA" w:rsidP="007128AD">
            <w:pPr>
              <w:jc w:val="cente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4D07D7">
            <w:pPr>
              <w:pStyle w:val="NoSpacing"/>
              <w:spacing w:before="0" w:beforeAutospacing="0" w:after="0" w:afterAutospacing="0"/>
              <w:jc w:val="center"/>
              <w:rPr>
                <w:sz w:val="20"/>
                <w:szCs w:val="20"/>
                <w:lang w:val="sr-Cyrl-CS"/>
              </w:rPr>
            </w:pPr>
            <w:r w:rsidRPr="004D07D7">
              <w:rPr>
                <w:sz w:val="20"/>
                <w:szCs w:val="20"/>
                <w:lang w:val="sr-Cyrl-CS"/>
              </w:rPr>
              <w:lastRenderedPageBreak/>
              <w:t>Члан 1а</w:t>
            </w:r>
          </w:p>
        </w:tc>
        <w:tc>
          <w:tcPr>
            <w:tcW w:w="2227" w:type="dxa"/>
            <w:tcBorders>
              <w:top w:val="single" w:sz="4" w:space="0" w:color="auto"/>
              <w:left w:val="single" w:sz="4" w:space="0" w:color="auto"/>
              <w:right w:val="single" w:sz="4" w:space="0" w:color="auto"/>
            </w:tcBorders>
            <w:shd w:val="clear" w:color="auto" w:fill="auto"/>
            <w:vAlign w:val="center"/>
          </w:tcPr>
          <w:p w:rsidR="004D07D7" w:rsidRPr="004D07D7" w:rsidRDefault="004D07D7" w:rsidP="004D07D7">
            <w:pPr>
              <w:pStyle w:val="NoSpacing"/>
              <w:rPr>
                <w:sz w:val="20"/>
                <w:szCs w:val="20"/>
                <w:lang w:val="sr-Cyrl-RS"/>
              </w:rPr>
            </w:pPr>
            <w:r w:rsidRPr="004D07D7">
              <w:rPr>
                <w:sz w:val="20"/>
                <w:szCs w:val="20"/>
                <w:lang w:val="sr-Cyrl-CS"/>
              </w:rPr>
              <w:t xml:space="preserve">10) „продукциони код” је јединствени </w:t>
            </w:r>
            <w:proofErr w:type="spellStart"/>
            <w:r w:rsidRPr="004D07D7">
              <w:rPr>
                <w:sz w:val="20"/>
                <w:szCs w:val="20"/>
                <w:lang w:val="sr-Cyrl-CS"/>
              </w:rPr>
              <w:t>идентификатор</w:t>
            </w:r>
            <w:proofErr w:type="spellEnd"/>
            <w:r w:rsidRPr="004D07D7">
              <w:rPr>
                <w:sz w:val="20"/>
                <w:szCs w:val="20"/>
                <w:lang w:val="sr-Cyrl-CS"/>
              </w:rPr>
              <w:t xml:space="preserve"> у виду  </w:t>
            </w:r>
            <w:proofErr w:type="spellStart"/>
            <w:r w:rsidRPr="004D07D7">
              <w:rPr>
                <w:sz w:val="20"/>
                <w:szCs w:val="20"/>
              </w:rPr>
              <w:t>дводимензионалн</w:t>
            </w:r>
            <w:proofErr w:type="spellEnd"/>
            <w:r w:rsidRPr="004D07D7">
              <w:rPr>
                <w:sz w:val="20"/>
                <w:szCs w:val="20"/>
                <w:lang w:val="sr-Cyrl-RS"/>
              </w:rPr>
              <w:t>алног</w:t>
            </w:r>
            <w:r w:rsidRPr="004D07D7">
              <w:rPr>
                <w:sz w:val="20"/>
                <w:szCs w:val="20"/>
              </w:rPr>
              <w:t xml:space="preserve"> </w:t>
            </w:r>
            <w:proofErr w:type="spellStart"/>
            <w:r w:rsidRPr="004D07D7">
              <w:rPr>
                <w:sz w:val="20"/>
                <w:szCs w:val="20"/>
              </w:rPr>
              <w:t>матричног</w:t>
            </w:r>
            <w:proofErr w:type="spellEnd"/>
            <w:r w:rsidRPr="004D07D7">
              <w:rPr>
                <w:sz w:val="20"/>
                <w:szCs w:val="20"/>
              </w:rPr>
              <w:t xml:space="preserve"> </w:t>
            </w:r>
            <w:proofErr w:type="spellStart"/>
            <w:r w:rsidRPr="004D07D7">
              <w:rPr>
                <w:sz w:val="20"/>
                <w:szCs w:val="20"/>
              </w:rPr>
              <w:t>низ</w:t>
            </w:r>
            <w:proofErr w:type="spellEnd"/>
            <w:r w:rsidRPr="004D07D7">
              <w:rPr>
                <w:sz w:val="20"/>
                <w:szCs w:val="20"/>
                <w:lang w:val="sr-Cyrl-RS"/>
              </w:rPr>
              <w:t>а</w:t>
            </w:r>
            <w:r w:rsidRPr="004D07D7">
              <w:rPr>
                <w:sz w:val="20"/>
                <w:szCs w:val="20"/>
              </w:rPr>
              <w:t xml:space="preserve"> </w:t>
            </w:r>
            <w:proofErr w:type="spellStart"/>
            <w:r w:rsidRPr="004D07D7">
              <w:rPr>
                <w:sz w:val="20"/>
                <w:szCs w:val="20"/>
              </w:rPr>
              <w:t>тачака</w:t>
            </w:r>
            <w:proofErr w:type="spellEnd"/>
            <w:r w:rsidRPr="004D07D7">
              <w:rPr>
                <w:sz w:val="20"/>
                <w:szCs w:val="20"/>
              </w:rPr>
              <w:t xml:space="preserve"> </w:t>
            </w:r>
            <w:proofErr w:type="spellStart"/>
            <w:r w:rsidRPr="004D07D7">
              <w:rPr>
                <w:sz w:val="20"/>
                <w:szCs w:val="20"/>
              </w:rPr>
              <w:t>распоређених</w:t>
            </w:r>
            <w:proofErr w:type="spellEnd"/>
            <w:r w:rsidRPr="004D07D7">
              <w:rPr>
                <w:sz w:val="20"/>
                <w:szCs w:val="20"/>
              </w:rPr>
              <w:t xml:space="preserve"> </w:t>
            </w:r>
            <w:proofErr w:type="spellStart"/>
            <w:r w:rsidRPr="004D07D7">
              <w:rPr>
                <w:sz w:val="20"/>
                <w:szCs w:val="20"/>
              </w:rPr>
              <w:t>правоугаоно</w:t>
            </w:r>
            <w:proofErr w:type="spellEnd"/>
            <w:r w:rsidRPr="004D07D7">
              <w:rPr>
                <w:sz w:val="20"/>
                <w:szCs w:val="20"/>
              </w:rPr>
              <w:t xml:space="preserve">, </w:t>
            </w:r>
            <w:r w:rsidRPr="004D07D7">
              <w:rPr>
                <w:sz w:val="20"/>
                <w:szCs w:val="20"/>
                <w:lang w:val="sr-Cyrl-RS"/>
              </w:rPr>
              <w:t xml:space="preserve">који се генерише преко система </w:t>
            </w:r>
            <w:proofErr w:type="spellStart"/>
            <w:r w:rsidRPr="004D07D7">
              <w:rPr>
                <w:sz w:val="20"/>
                <w:szCs w:val="20"/>
                <w:lang w:val="sr-Cyrl-RS"/>
              </w:rPr>
              <w:t>е-акциза</w:t>
            </w:r>
            <w:proofErr w:type="spellEnd"/>
            <w:r w:rsidRPr="004D07D7">
              <w:rPr>
                <w:sz w:val="20"/>
                <w:szCs w:val="20"/>
                <w:lang w:val="sr-Cyrl-RS"/>
              </w:rPr>
              <w:t>, утискује на појединачна паковања цигарета и</w:t>
            </w:r>
            <w:r w:rsidRPr="004D07D7">
              <w:rPr>
                <w:sz w:val="20"/>
                <w:szCs w:val="20"/>
                <w:lang w:val="sr-Cyrl-CS"/>
              </w:rPr>
              <w:t xml:space="preserve"> на</w:t>
            </w:r>
            <w:r w:rsidRPr="004D07D7">
              <w:rPr>
                <w:sz w:val="20"/>
                <w:szCs w:val="20"/>
                <w:lang w:val="sr-Latn-RS"/>
              </w:rPr>
              <w:t xml:space="preserve"> </w:t>
            </w:r>
            <w:r w:rsidRPr="004D07D7">
              <w:rPr>
                <w:sz w:val="20"/>
                <w:szCs w:val="20"/>
                <w:lang w:val="sr-Cyrl-RS"/>
              </w:rPr>
              <w:t>паковања</w:t>
            </w:r>
            <w:r w:rsidRPr="004D07D7">
              <w:rPr>
                <w:sz w:val="20"/>
                <w:szCs w:val="20"/>
                <w:lang w:val="sr-Cyrl-CS"/>
              </w:rPr>
              <w:t xml:space="preserve"> дуванских прерађевина које се при употреби греју али не сагоревају (у даљем тексту: </w:t>
            </w:r>
            <w:proofErr w:type="spellStart"/>
            <w:r w:rsidRPr="004D07D7">
              <w:rPr>
                <w:sz w:val="20"/>
                <w:szCs w:val="20"/>
                <w:lang w:val="sr-Cyrl-CS"/>
              </w:rPr>
              <w:t>несагоревајући</w:t>
            </w:r>
            <w:proofErr w:type="spellEnd"/>
            <w:r w:rsidRPr="004D07D7">
              <w:rPr>
                <w:sz w:val="20"/>
                <w:szCs w:val="20"/>
                <w:lang w:val="sr-Cyrl-CS"/>
              </w:rPr>
              <w:t xml:space="preserve"> дуван)</w:t>
            </w:r>
            <w:r w:rsidRPr="004D07D7">
              <w:rPr>
                <w:sz w:val="20"/>
                <w:szCs w:val="20"/>
                <w:lang w:val="sr-Cyrl-RS"/>
              </w:rPr>
              <w:t xml:space="preserve"> и </w:t>
            </w:r>
            <w:proofErr w:type="spellStart"/>
            <w:r w:rsidRPr="004D07D7">
              <w:rPr>
                <w:sz w:val="20"/>
                <w:szCs w:val="20"/>
              </w:rPr>
              <w:t>користи</w:t>
            </w:r>
            <w:proofErr w:type="spellEnd"/>
            <w:r w:rsidRPr="004D07D7">
              <w:rPr>
                <w:sz w:val="20"/>
                <w:szCs w:val="20"/>
                <w:lang w:val="sr-Cyrl-RS"/>
              </w:rPr>
              <w:t xml:space="preserve"> се за </w:t>
            </w:r>
            <w:proofErr w:type="spellStart"/>
            <w:r w:rsidRPr="004D07D7">
              <w:rPr>
                <w:sz w:val="20"/>
                <w:szCs w:val="20"/>
              </w:rPr>
              <w:t>скенирање</w:t>
            </w:r>
            <w:proofErr w:type="spellEnd"/>
            <w:r w:rsidRPr="004D07D7">
              <w:rPr>
                <w:sz w:val="20"/>
                <w:szCs w:val="20"/>
                <w:lang w:val="sr-Cyrl-RS"/>
              </w:rPr>
              <w:t xml:space="preserve"> приликом производње (на производној линији) и</w:t>
            </w:r>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сваком</w:t>
            </w:r>
            <w:proofErr w:type="spellEnd"/>
            <w:r w:rsidRPr="004D07D7">
              <w:rPr>
                <w:sz w:val="20"/>
                <w:szCs w:val="20"/>
              </w:rPr>
              <w:t xml:space="preserve"> </w:t>
            </w:r>
            <w:proofErr w:type="spellStart"/>
            <w:r w:rsidRPr="004D07D7">
              <w:rPr>
                <w:sz w:val="20"/>
                <w:szCs w:val="20"/>
              </w:rPr>
              <w:t>појединачном</w:t>
            </w:r>
            <w:proofErr w:type="spellEnd"/>
            <w:r w:rsidRPr="004D07D7">
              <w:rPr>
                <w:sz w:val="20"/>
                <w:szCs w:val="20"/>
              </w:rPr>
              <w:t xml:space="preserve"> </w:t>
            </w:r>
            <w:proofErr w:type="spellStart"/>
            <w:r w:rsidRPr="004D07D7">
              <w:rPr>
                <w:sz w:val="20"/>
                <w:szCs w:val="20"/>
              </w:rPr>
              <w:t>месту</w:t>
            </w:r>
            <w:proofErr w:type="spellEnd"/>
            <w:r w:rsidRPr="004D07D7">
              <w:rPr>
                <w:sz w:val="20"/>
                <w:szCs w:val="20"/>
              </w:rPr>
              <w:t xml:space="preserve"> </w:t>
            </w:r>
            <w:proofErr w:type="spellStart"/>
            <w:r w:rsidRPr="004D07D7">
              <w:rPr>
                <w:sz w:val="20"/>
                <w:szCs w:val="20"/>
              </w:rPr>
              <w:t>пријема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w:t>
            </w:r>
            <w:r w:rsidRPr="004D07D7">
              <w:rPr>
                <w:sz w:val="20"/>
                <w:szCs w:val="20"/>
                <w:lang w:val="sr-Cyrl-RS"/>
              </w:rPr>
              <w:t xml:space="preserve"> односно </w:t>
            </w:r>
            <w:proofErr w:type="spellStart"/>
            <w:r w:rsidRPr="004D07D7">
              <w:rPr>
                <w:sz w:val="20"/>
                <w:szCs w:val="20"/>
                <w:lang w:val="sr-Cyrl-RS"/>
              </w:rPr>
              <w:t>несагоревајућег</w:t>
            </w:r>
            <w:proofErr w:type="spellEnd"/>
            <w:r w:rsidRPr="004D07D7">
              <w:rPr>
                <w:sz w:val="20"/>
                <w:szCs w:val="20"/>
                <w:lang w:val="sr-Cyrl-RS"/>
              </w:rPr>
              <w:t xml:space="preserve"> дувана, укључујући и место пријема у случају</w:t>
            </w:r>
            <w:r w:rsidRPr="004D07D7">
              <w:rPr>
                <w:sz w:val="20"/>
                <w:szCs w:val="20"/>
              </w:rPr>
              <w:t xml:space="preserve"> </w:t>
            </w:r>
            <w:proofErr w:type="spellStart"/>
            <w:r w:rsidRPr="004D07D7">
              <w:rPr>
                <w:sz w:val="20"/>
                <w:szCs w:val="20"/>
              </w:rPr>
              <w:t>преноса</w:t>
            </w:r>
            <w:proofErr w:type="spellEnd"/>
            <w:r w:rsidRPr="004D07D7">
              <w:rPr>
                <w:sz w:val="20"/>
                <w:szCs w:val="20"/>
              </w:rPr>
              <w:t xml:space="preserve"> </w:t>
            </w:r>
            <w:proofErr w:type="spellStart"/>
            <w:r w:rsidRPr="004D07D7">
              <w:rPr>
                <w:sz w:val="20"/>
                <w:szCs w:val="20"/>
              </w:rPr>
              <w:t>са</w:t>
            </w:r>
            <w:proofErr w:type="spellEnd"/>
            <w:r w:rsidRPr="004D07D7">
              <w:rPr>
                <w:sz w:val="20"/>
                <w:szCs w:val="20"/>
              </w:rPr>
              <w:t xml:space="preserve"> </w:t>
            </w:r>
            <w:proofErr w:type="spellStart"/>
            <w:r w:rsidRPr="004D07D7">
              <w:rPr>
                <w:sz w:val="20"/>
                <w:szCs w:val="20"/>
              </w:rPr>
              <w:t>једног</w:t>
            </w:r>
            <w:proofErr w:type="spellEnd"/>
            <w:r w:rsidRPr="004D07D7">
              <w:rPr>
                <w:sz w:val="20"/>
                <w:szCs w:val="20"/>
              </w:rPr>
              <w:t xml:space="preserve"> </w:t>
            </w:r>
            <w:proofErr w:type="spellStart"/>
            <w:r w:rsidRPr="004D07D7">
              <w:rPr>
                <w:sz w:val="20"/>
                <w:szCs w:val="20"/>
              </w:rPr>
              <w:t>места</w:t>
            </w:r>
            <w:proofErr w:type="spellEnd"/>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друго</w:t>
            </w:r>
            <w:proofErr w:type="spellEnd"/>
            <w:r w:rsidRPr="004D07D7">
              <w:rPr>
                <w:sz w:val="20"/>
                <w:szCs w:val="20"/>
              </w:rPr>
              <w:t xml:space="preserve"> у </w:t>
            </w:r>
            <w:proofErr w:type="spellStart"/>
            <w:r w:rsidRPr="004D07D7">
              <w:rPr>
                <w:sz w:val="20"/>
                <w:szCs w:val="20"/>
              </w:rPr>
              <w:t>оквиру</w:t>
            </w:r>
            <w:proofErr w:type="spellEnd"/>
            <w:r w:rsidRPr="004D07D7">
              <w:rPr>
                <w:sz w:val="20"/>
                <w:szCs w:val="20"/>
              </w:rPr>
              <w:t xml:space="preserve"> </w:t>
            </w:r>
            <w:proofErr w:type="spellStart"/>
            <w:r w:rsidRPr="004D07D7">
              <w:rPr>
                <w:sz w:val="20"/>
                <w:szCs w:val="20"/>
              </w:rPr>
              <w:t>кретања</w:t>
            </w:r>
            <w:proofErr w:type="spellEnd"/>
            <w:r w:rsidRPr="004D07D7">
              <w:rPr>
                <w:sz w:val="20"/>
                <w:szCs w:val="20"/>
              </w:rPr>
              <w:t xml:space="preserve"> </w:t>
            </w:r>
            <w:proofErr w:type="spellStart"/>
            <w:r w:rsidRPr="004D07D7">
              <w:rPr>
                <w:sz w:val="20"/>
                <w:szCs w:val="20"/>
              </w:rPr>
              <w:lastRenderedPageBreak/>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w:t>
            </w:r>
            <w:proofErr w:type="spellStart"/>
            <w:r w:rsidRPr="004D07D7">
              <w:rPr>
                <w:sz w:val="20"/>
                <w:szCs w:val="20"/>
              </w:rPr>
              <w:t>код</w:t>
            </w:r>
            <w:proofErr w:type="spellEnd"/>
            <w:r w:rsidRPr="004D07D7">
              <w:rPr>
                <w:sz w:val="20"/>
                <w:szCs w:val="20"/>
              </w:rPr>
              <w:t xml:space="preserve"> </w:t>
            </w:r>
            <w:proofErr w:type="spellStart"/>
            <w:r w:rsidRPr="004D07D7">
              <w:rPr>
                <w:sz w:val="20"/>
                <w:szCs w:val="20"/>
              </w:rPr>
              <w:t>истог</w:t>
            </w:r>
            <w:proofErr w:type="spellEnd"/>
            <w:r w:rsidRPr="004D07D7">
              <w:rPr>
                <w:sz w:val="20"/>
                <w:szCs w:val="20"/>
              </w:rPr>
              <w:t xml:space="preserve"> </w:t>
            </w:r>
            <w:proofErr w:type="spellStart"/>
            <w:r w:rsidRPr="004D07D7">
              <w:rPr>
                <w:sz w:val="20"/>
                <w:szCs w:val="20"/>
              </w:rPr>
              <w:t>учесника</w:t>
            </w:r>
            <w:proofErr w:type="spellEnd"/>
            <w:r w:rsidRPr="004D07D7">
              <w:rPr>
                <w:sz w:val="20"/>
                <w:szCs w:val="20"/>
              </w:rPr>
              <w:t xml:space="preserve"> у </w:t>
            </w:r>
            <w:proofErr w:type="spellStart"/>
            <w:r w:rsidRPr="004D07D7">
              <w:rPr>
                <w:sz w:val="20"/>
                <w:szCs w:val="20"/>
              </w:rPr>
              <w:t>промету</w:t>
            </w:r>
            <w:proofErr w:type="spellEnd"/>
            <w:r w:rsidRPr="004D07D7">
              <w:rPr>
                <w:sz w:val="20"/>
                <w:szCs w:val="20"/>
              </w:rPr>
              <w:t xml:space="preserve"> у </w:t>
            </w:r>
            <w:proofErr w:type="spellStart"/>
            <w:r w:rsidRPr="004D07D7">
              <w:rPr>
                <w:sz w:val="20"/>
                <w:szCs w:val="20"/>
              </w:rPr>
              <w:t>смислу</w:t>
            </w:r>
            <w:proofErr w:type="spellEnd"/>
            <w:r w:rsidRPr="004D07D7">
              <w:rPr>
                <w:sz w:val="20"/>
                <w:szCs w:val="20"/>
              </w:rPr>
              <w:t xml:space="preserve"> </w:t>
            </w:r>
            <w:proofErr w:type="spellStart"/>
            <w:r w:rsidRPr="004D07D7">
              <w:rPr>
                <w:sz w:val="20"/>
                <w:szCs w:val="20"/>
              </w:rPr>
              <w:t>члана</w:t>
            </w:r>
            <w:proofErr w:type="spellEnd"/>
            <w:r w:rsidRPr="004D07D7">
              <w:rPr>
                <w:sz w:val="20"/>
                <w:szCs w:val="20"/>
              </w:rPr>
              <w:t xml:space="preserve"> </w:t>
            </w:r>
            <w:proofErr w:type="spellStart"/>
            <w:r w:rsidRPr="004D07D7">
              <w:rPr>
                <w:sz w:val="20"/>
                <w:szCs w:val="20"/>
              </w:rPr>
              <w:t>18а</w:t>
            </w:r>
            <w:proofErr w:type="spellEnd"/>
            <w:r w:rsidRPr="004D07D7">
              <w:rPr>
                <w:sz w:val="20"/>
                <w:szCs w:val="20"/>
                <w:lang w:val="sr-Cyrl-RS"/>
              </w:rPr>
              <w:t xml:space="preserve"> овог</w:t>
            </w:r>
            <w:r w:rsidRPr="004D07D7">
              <w:rPr>
                <w:sz w:val="20"/>
                <w:szCs w:val="20"/>
              </w:rPr>
              <w:t xml:space="preserve"> </w:t>
            </w:r>
            <w:proofErr w:type="spellStart"/>
            <w:r w:rsidRPr="004D07D7">
              <w:rPr>
                <w:sz w:val="20"/>
                <w:szCs w:val="20"/>
              </w:rPr>
              <w:t>закона</w:t>
            </w:r>
            <w:proofErr w:type="spellEnd"/>
            <w:r w:rsidRPr="004D07D7">
              <w:rPr>
                <w:sz w:val="20"/>
                <w:szCs w:val="20"/>
                <w:lang w:val="sr-Cyrl-RS"/>
              </w:rPr>
              <w:t>, осим пријема у малопродајни објекат;</w:t>
            </w:r>
          </w:p>
          <w:p w:rsidR="004D07D7" w:rsidRDefault="004D07D7" w:rsidP="004D07D7">
            <w:pPr>
              <w:pStyle w:val="NoSpacing"/>
              <w:spacing w:before="0" w:beforeAutospacing="0" w:after="0" w:afterAutospacing="0"/>
              <w:rPr>
                <w:sz w:val="20"/>
                <w:szCs w:val="20"/>
                <w:lang w:val="sr-Cyrl-CS"/>
              </w:rPr>
            </w:pPr>
            <w:r w:rsidRPr="004D07D7">
              <w:rPr>
                <w:sz w:val="20"/>
                <w:szCs w:val="20"/>
                <w:lang w:val="sr-Cyrl-CS"/>
              </w:rPr>
              <w:t>10а) „збирни код” је</w:t>
            </w:r>
            <w:r w:rsidRPr="004D07D7">
              <w:rPr>
                <w:sz w:val="20"/>
                <w:szCs w:val="20"/>
              </w:rPr>
              <w:t xml:space="preserve"> </w:t>
            </w:r>
            <w:r w:rsidRPr="004D07D7">
              <w:rPr>
                <w:sz w:val="20"/>
                <w:szCs w:val="20"/>
                <w:lang w:val="sr-Cyrl-CS"/>
              </w:rPr>
              <w:t xml:space="preserve">јединствени </w:t>
            </w:r>
            <w:proofErr w:type="spellStart"/>
            <w:r w:rsidRPr="004D07D7">
              <w:rPr>
                <w:sz w:val="20"/>
                <w:szCs w:val="20"/>
                <w:lang w:val="sr-Cyrl-CS"/>
              </w:rPr>
              <w:t>идентификатор</w:t>
            </w:r>
            <w:proofErr w:type="spellEnd"/>
            <w:r w:rsidRPr="004D07D7">
              <w:rPr>
                <w:sz w:val="20"/>
                <w:szCs w:val="20"/>
                <w:lang w:val="sr-Cyrl-CS"/>
              </w:rPr>
              <w:t xml:space="preserve"> у виду </w:t>
            </w:r>
            <w:proofErr w:type="spellStart"/>
            <w:r w:rsidRPr="004D07D7">
              <w:rPr>
                <w:sz w:val="20"/>
                <w:szCs w:val="20"/>
                <w:lang w:val="sr-Cyrl-CS"/>
              </w:rPr>
              <w:t>бар-кôда</w:t>
            </w:r>
            <w:proofErr w:type="spellEnd"/>
            <w:r w:rsidRPr="004D07D7">
              <w:rPr>
                <w:sz w:val="20"/>
                <w:szCs w:val="20"/>
                <w:lang w:val="sr-Latn-RS"/>
              </w:rPr>
              <w:t>,</w:t>
            </w:r>
            <w:r w:rsidRPr="004D07D7">
              <w:rPr>
                <w:sz w:val="20"/>
                <w:szCs w:val="20"/>
                <w:lang w:val="sr-Cyrl-CS"/>
              </w:rPr>
              <w:t xml:space="preserve"> који генерише учесник у ланцу </w:t>
            </w:r>
            <w:proofErr w:type="spellStart"/>
            <w:r w:rsidRPr="004D07D7">
              <w:rPr>
                <w:sz w:val="20"/>
                <w:szCs w:val="20"/>
                <w:lang w:val="sr-Cyrl-CS"/>
              </w:rPr>
              <w:t>дистибуције</w:t>
            </w:r>
            <w:proofErr w:type="spellEnd"/>
            <w:r w:rsidRPr="004D07D7">
              <w:rPr>
                <w:sz w:val="20"/>
                <w:szCs w:val="20"/>
                <w:lang w:val="sr-Cyrl-CS"/>
              </w:rPr>
              <w:t xml:space="preserve"> цигарета и </w:t>
            </w:r>
            <w:proofErr w:type="spellStart"/>
            <w:r w:rsidRPr="004D07D7">
              <w:rPr>
                <w:sz w:val="20"/>
                <w:szCs w:val="20"/>
                <w:lang w:val="sr-Cyrl-CS"/>
              </w:rPr>
              <w:t>несагоревајућег</w:t>
            </w:r>
            <w:proofErr w:type="spellEnd"/>
            <w:r w:rsidRPr="004D07D7">
              <w:rPr>
                <w:sz w:val="20"/>
                <w:szCs w:val="20"/>
                <w:lang w:val="sr-Cyrl-CS"/>
              </w:rPr>
              <w:t xml:space="preserve"> дувана у складу са међународним стандардом </w:t>
            </w:r>
            <w:proofErr w:type="spellStart"/>
            <w:r w:rsidRPr="004D07D7">
              <w:rPr>
                <w:sz w:val="20"/>
                <w:szCs w:val="20"/>
                <w:lang w:val="sr-Latn-RS"/>
              </w:rPr>
              <w:t>gs1</w:t>
            </w:r>
            <w:proofErr w:type="spellEnd"/>
            <w:r w:rsidRPr="004D07D7">
              <w:rPr>
                <w:sz w:val="20"/>
                <w:szCs w:val="20"/>
                <w:lang w:val="sr-Latn-RS"/>
              </w:rPr>
              <w:t>,</w:t>
            </w:r>
            <w:r w:rsidRPr="004D07D7">
              <w:rPr>
                <w:sz w:val="20"/>
                <w:szCs w:val="20"/>
                <w:lang w:val="sr-Cyrl-RS"/>
              </w:rPr>
              <w:t xml:space="preserve"> којим се обележавају збирна паковања која садрже појединачна односно збирна паковања цигарета и </w:t>
            </w:r>
            <w:proofErr w:type="spellStart"/>
            <w:r w:rsidRPr="004D07D7">
              <w:rPr>
                <w:sz w:val="20"/>
                <w:szCs w:val="20"/>
                <w:lang w:val="sr-Cyrl-RS"/>
              </w:rPr>
              <w:t>несагоревајућег</w:t>
            </w:r>
            <w:proofErr w:type="spellEnd"/>
            <w:r w:rsidRPr="004D07D7">
              <w:rPr>
                <w:sz w:val="20"/>
                <w:szCs w:val="20"/>
                <w:lang w:val="sr-Cyrl-RS"/>
              </w:rPr>
              <w:t xml:space="preserve"> дувана, који</w:t>
            </w:r>
            <w:r w:rsidRPr="004D07D7">
              <w:rPr>
                <w:sz w:val="20"/>
                <w:szCs w:val="20"/>
                <w:lang w:val="sr-Latn-RS"/>
              </w:rPr>
              <w:t xml:space="preserve"> </w:t>
            </w:r>
            <w:r w:rsidRPr="004D07D7">
              <w:rPr>
                <w:sz w:val="20"/>
                <w:szCs w:val="20"/>
                <w:lang w:val="sr-Cyrl-RS"/>
              </w:rPr>
              <w:t xml:space="preserve">садржи информације о продукционим кодовима и збирним кодовима који чине његову агрегацију и </w:t>
            </w:r>
            <w:proofErr w:type="spellStart"/>
            <w:r w:rsidRPr="004D07D7">
              <w:rPr>
                <w:sz w:val="20"/>
                <w:szCs w:val="20"/>
              </w:rPr>
              <w:t>користи</w:t>
            </w:r>
            <w:proofErr w:type="spellEnd"/>
            <w:r w:rsidRPr="004D07D7">
              <w:rPr>
                <w:sz w:val="20"/>
                <w:szCs w:val="20"/>
                <w:lang w:val="sr-Cyrl-RS"/>
              </w:rPr>
              <w:t xml:space="preserve"> се за </w:t>
            </w:r>
            <w:proofErr w:type="spellStart"/>
            <w:r w:rsidRPr="004D07D7">
              <w:rPr>
                <w:sz w:val="20"/>
                <w:szCs w:val="20"/>
              </w:rPr>
              <w:t>скенирање</w:t>
            </w:r>
            <w:proofErr w:type="spellEnd"/>
            <w:r w:rsidRPr="004D07D7">
              <w:rPr>
                <w:sz w:val="20"/>
                <w:szCs w:val="20"/>
                <w:lang w:val="sr-Cyrl-RS"/>
              </w:rPr>
              <w:t xml:space="preserve"> након </w:t>
            </w:r>
            <w:proofErr w:type="spellStart"/>
            <w:r w:rsidRPr="004D07D7">
              <w:rPr>
                <w:sz w:val="20"/>
                <w:szCs w:val="20"/>
                <w:lang w:val="sr-Cyrl-RS"/>
              </w:rPr>
              <w:t>упакивања</w:t>
            </w:r>
            <w:proofErr w:type="spellEnd"/>
            <w:r w:rsidRPr="004D07D7">
              <w:rPr>
                <w:sz w:val="20"/>
                <w:szCs w:val="20"/>
                <w:lang w:val="sr-Cyrl-RS"/>
              </w:rPr>
              <w:t xml:space="preserve"> као и</w:t>
            </w:r>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сваком</w:t>
            </w:r>
            <w:proofErr w:type="spellEnd"/>
            <w:r w:rsidRPr="004D07D7">
              <w:rPr>
                <w:sz w:val="20"/>
                <w:szCs w:val="20"/>
              </w:rPr>
              <w:t xml:space="preserve"> </w:t>
            </w:r>
            <w:proofErr w:type="spellStart"/>
            <w:r w:rsidRPr="004D07D7">
              <w:rPr>
                <w:sz w:val="20"/>
                <w:szCs w:val="20"/>
              </w:rPr>
              <w:t>појединачном</w:t>
            </w:r>
            <w:proofErr w:type="spellEnd"/>
            <w:r w:rsidRPr="004D07D7">
              <w:rPr>
                <w:sz w:val="20"/>
                <w:szCs w:val="20"/>
              </w:rPr>
              <w:t xml:space="preserve"> </w:t>
            </w:r>
            <w:proofErr w:type="spellStart"/>
            <w:r w:rsidRPr="004D07D7">
              <w:rPr>
                <w:sz w:val="20"/>
                <w:szCs w:val="20"/>
              </w:rPr>
              <w:t>месту</w:t>
            </w:r>
            <w:proofErr w:type="spellEnd"/>
            <w:r w:rsidRPr="004D07D7">
              <w:rPr>
                <w:sz w:val="20"/>
                <w:szCs w:val="20"/>
              </w:rPr>
              <w:t xml:space="preserve"> </w:t>
            </w:r>
            <w:proofErr w:type="spellStart"/>
            <w:r w:rsidRPr="004D07D7">
              <w:rPr>
                <w:sz w:val="20"/>
                <w:szCs w:val="20"/>
              </w:rPr>
              <w:t>пријема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w:t>
            </w:r>
            <w:r w:rsidRPr="004D07D7">
              <w:rPr>
                <w:sz w:val="20"/>
                <w:szCs w:val="20"/>
                <w:lang w:val="sr-Cyrl-RS"/>
              </w:rPr>
              <w:t xml:space="preserve"> односно </w:t>
            </w:r>
            <w:proofErr w:type="spellStart"/>
            <w:r w:rsidRPr="004D07D7">
              <w:rPr>
                <w:sz w:val="20"/>
                <w:szCs w:val="20"/>
                <w:lang w:val="sr-Cyrl-RS"/>
              </w:rPr>
              <w:t>несагоревајућег</w:t>
            </w:r>
            <w:proofErr w:type="spellEnd"/>
            <w:r w:rsidRPr="004D07D7">
              <w:rPr>
                <w:sz w:val="20"/>
                <w:szCs w:val="20"/>
                <w:lang w:val="sr-Cyrl-RS"/>
              </w:rPr>
              <w:t xml:space="preserve"> </w:t>
            </w:r>
            <w:r w:rsidRPr="004D07D7">
              <w:rPr>
                <w:sz w:val="20"/>
                <w:szCs w:val="20"/>
                <w:lang w:val="sr-Cyrl-RS"/>
              </w:rPr>
              <w:lastRenderedPageBreak/>
              <w:t>дувана, укључујући и место пријема у случају</w:t>
            </w:r>
            <w:r w:rsidRPr="004D07D7">
              <w:rPr>
                <w:sz w:val="20"/>
                <w:szCs w:val="20"/>
              </w:rPr>
              <w:t xml:space="preserve"> </w:t>
            </w:r>
            <w:proofErr w:type="spellStart"/>
            <w:r w:rsidRPr="004D07D7">
              <w:rPr>
                <w:sz w:val="20"/>
                <w:szCs w:val="20"/>
              </w:rPr>
              <w:t>преноса</w:t>
            </w:r>
            <w:proofErr w:type="spellEnd"/>
            <w:r w:rsidRPr="004D07D7">
              <w:rPr>
                <w:sz w:val="20"/>
                <w:szCs w:val="20"/>
              </w:rPr>
              <w:t xml:space="preserve"> </w:t>
            </w:r>
            <w:proofErr w:type="spellStart"/>
            <w:r w:rsidRPr="004D07D7">
              <w:rPr>
                <w:sz w:val="20"/>
                <w:szCs w:val="20"/>
              </w:rPr>
              <w:t>са</w:t>
            </w:r>
            <w:proofErr w:type="spellEnd"/>
            <w:r w:rsidRPr="004D07D7">
              <w:rPr>
                <w:sz w:val="20"/>
                <w:szCs w:val="20"/>
              </w:rPr>
              <w:t xml:space="preserve"> </w:t>
            </w:r>
            <w:proofErr w:type="spellStart"/>
            <w:r w:rsidRPr="004D07D7">
              <w:rPr>
                <w:sz w:val="20"/>
                <w:szCs w:val="20"/>
              </w:rPr>
              <w:t>једног</w:t>
            </w:r>
            <w:proofErr w:type="spellEnd"/>
            <w:r w:rsidRPr="004D07D7">
              <w:rPr>
                <w:sz w:val="20"/>
                <w:szCs w:val="20"/>
              </w:rPr>
              <w:t xml:space="preserve"> </w:t>
            </w:r>
            <w:proofErr w:type="spellStart"/>
            <w:r w:rsidRPr="004D07D7">
              <w:rPr>
                <w:sz w:val="20"/>
                <w:szCs w:val="20"/>
              </w:rPr>
              <w:t>места</w:t>
            </w:r>
            <w:proofErr w:type="spellEnd"/>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друго</w:t>
            </w:r>
            <w:proofErr w:type="spellEnd"/>
            <w:r w:rsidRPr="004D07D7">
              <w:rPr>
                <w:sz w:val="20"/>
                <w:szCs w:val="20"/>
              </w:rPr>
              <w:t xml:space="preserve"> у </w:t>
            </w:r>
            <w:proofErr w:type="spellStart"/>
            <w:r w:rsidRPr="004D07D7">
              <w:rPr>
                <w:sz w:val="20"/>
                <w:szCs w:val="20"/>
              </w:rPr>
              <w:t>оквиру</w:t>
            </w:r>
            <w:proofErr w:type="spellEnd"/>
            <w:r w:rsidRPr="004D07D7">
              <w:rPr>
                <w:sz w:val="20"/>
                <w:szCs w:val="20"/>
              </w:rPr>
              <w:t xml:space="preserve"> </w:t>
            </w:r>
            <w:proofErr w:type="spellStart"/>
            <w:r w:rsidRPr="004D07D7">
              <w:rPr>
                <w:sz w:val="20"/>
                <w:szCs w:val="20"/>
              </w:rPr>
              <w:t>кретања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w:t>
            </w:r>
            <w:proofErr w:type="spellStart"/>
            <w:r w:rsidRPr="004D07D7">
              <w:rPr>
                <w:sz w:val="20"/>
                <w:szCs w:val="20"/>
              </w:rPr>
              <w:t>код</w:t>
            </w:r>
            <w:proofErr w:type="spellEnd"/>
            <w:r w:rsidRPr="004D07D7">
              <w:rPr>
                <w:sz w:val="20"/>
                <w:szCs w:val="20"/>
              </w:rPr>
              <w:t xml:space="preserve"> </w:t>
            </w:r>
            <w:proofErr w:type="spellStart"/>
            <w:r w:rsidRPr="004D07D7">
              <w:rPr>
                <w:sz w:val="20"/>
                <w:szCs w:val="20"/>
              </w:rPr>
              <w:t>истог</w:t>
            </w:r>
            <w:proofErr w:type="spellEnd"/>
            <w:r w:rsidRPr="004D07D7">
              <w:rPr>
                <w:sz w:val="20"/>
                <w:szCs w:val="20"/>
              </w:rPr>
              <w:t xml:space="preserve"> </w:t>
            </w:r>
            <w:proofErr w:type="spellStart"/>
            <w:r w:rsidRPr="004D07D7">
              <w:rPr>
                <w:sz w:val="20"/>
                <w:szCs w:val="20"/>
              </w:rPr>
              <w:t>учесника</w:t>
            </w:r>
            <w:proofErr w:type="spellEnd"/>
            <w:r w:rsidRPr="004D07D7">
              <w:rPr>
                <w:sz w:val="20"/>
                <w:szCs w:val="20"/>
              </w:rPr>
              <w:t xml:space="preserve"> у </w:t>
            </w:r>
            <w:proofErr w:type="spellStart"/>
            <w:r w:rsidRPr="004D07D7">
              <w:rPr>
                <w:sz w:val="20"/>
                <w:szCs w:val="20"/>
              </w:rPr>
              <w:t>промету</w:t>
            </w:r>
            <w:proofErr w:type="spellEnd"/>
            <w:r w:rsidRPr="004D07D7">
              <w:rPr>
                <w:sz w:val="20"/>
                <w:szCs w:val="20"/>
              </w:rPr>
              <w:t xml:space="preserve"> у </w:t>
            </w:r>
            <w:proofErr w:type="spellStart"/>
            <w:r w:rsidRPr="004D07D7">
              <w:rPr>
                <w:sz w:val="20"/>
                <w:szCs w:val="20"/>
              </w:rPr>
              <w:t>смислу</w:t>
            </w:r>
            <w:proofErr w:type="spellEnd"/>
            <w:r w:rsidRPr="004D07D7">
              <w:rPr>
                <w:sz w:val="20"/>
                <w:szCs w:val="20"/>
              </w:rPr>
              <w:t xml:space="preserve"> </w:t>
            </w:r>
            <w:proofErr w:type="spellStart"/>
            <w:r w:rsidRPr="004D07D7">
              <w:rPr>
                <w:sz w:val="20"/>
                <w:szCs w:val="20"/>
              </w:rPr>
              <w:t>члана</w:t>
            </w:r>
            <w:proofErr w:type="spellEnd"/>
            <w:r w:rsidRPr="004D07D7">
              <w:rPr>
                <w:sz w:val="20"/>
                <w:szCs w:val="20"/>
              </w:rPr>
              <w:t xml:space="preserve"> </w:t>
            </w:r>
            <w:proofErr w:type="spellStart"/>
            <w:r w:rsidRPr="004D07D7">
              <w:rPr>
                <w:sz w:val="20"/>
                <w:szCs w:val="20"/>
              </w:rPr>
              <w:t>18а</w:t>
            </w:r>
            <w:proofErr w:type="spellEnd"/>
            <w:r w:rsidRPr="004D07D7">
              <w:rPr>
                <w:sz w:val="20"/>
                <w:szCs w:val="20"/>
                <w:lang w:val="sr-Cyrl-RS"/>
              </w:rPr>
              <w:t xml:space="preserve"> овог</w:t>
            </w:r>
            <w:r w:rsidRPr="004D07D7">
              <w:rPr>
                <w:sz w:val="20"/>
                <w:szCs w:val="20"/>
              </w:rPr>
              <w:t xml:space="preserve"> </w:t>
            </w:r>
            <w:proofErr w:type="spellStart"/>
            <w:r w:rsidRPr="004D07D7">
              <w:rPr>
                <w:sz w:val="20"/>
                <w:szCs w:val="20"/>
              </w:rPr>
              <w:t>закона</w:t>
            </w:r>
            <w:proofErr w:type="spellEnd"/>
            <w:r w:rsidRPr="004D07D7">
              <w:rPr>
                <w:sz w:val="20"/>
                <w:szCs w:val="20"/>
                <w:lang w:val="sr-Cyrl-RS"/>
              </w:rPr>
              <w:t>, осим пријема у малопродајни објекат</w:t>
            </w:r>
            <w:r w:rsidRPr="004D07D7">
              <w:rPr>
                <w:sz w:val="20"/>
                <w:szCs w:val="20"/>
                <w:lang w:val="sr-Latn-RS"/>
              </w:rPr>
              <w:t>;</w:t>
            </w:r>
          </w:p>
          <w:p w:rsidR="00CA6EBA" w:rsidRPr="004D07D7" w:rsidRDefault="00CA6EBA" w:rsidP="00CA6EBA">
            <w:pPr>
              <w:pStyle w:val="NoSpacing"/>
              <w:spacing w:before="0" w:beforeAutospacing="0" w:after="0" w:afterAutospacing="0"/>
              <w:rPr>
                <w:sz w:val="20"/>
                <w:szCs w:val="20"/>
                <w:lang w:val="sr-Cyrl-CS"/>
              </w:rPr>
            </w:pPr>
            <w:r w:rsidRPr="004D07D7">
              <w:rPr>
                <w:sz w:val="20"/>
                <w:szCs w:val="20"/>
                <w:lang w:val="sr-Cyrl-CS"/>
              </w:rPr>
              <w:t>10б) „скенирање продукционог и збирног кода на појединачном, односно збирном паковању цигарета и несагоревајућег дувана” је скуп мера и поступака очитавања продукционог, односно збирног кода који спроводи обвезбик акцизе, односно други учесник у промету у складу са одредбама овог закона;</w:t>
            </w:r>
          </w:p>
          <w:p w:rsidR="00CA6EBA" w:rsidRPr="004D07D7" w:rsidRDefault="00CA6EBA" w:rsidP="00CA6EBA">
            <w:pPr>
              <w:jc w:val="center"/>
              <w:rPr>
                <w:sz w:val="20"/>
                <w:szCs w:val="20"/>
                <w:lang w:val="sr-Cyrl-CS"/>
              </w:rPr>
            </w:pPr>
          </w:p>
        </w:tc>
        <w:tc>
          <w:tcPr>
            <w:tcW w:w="2179" w:type="dxa"/>
            <w:vMerge w:val="restart"/>
            <w:tcBorders>
              <w:top w:val="single" w:sz="4" w:space="0" w:color="auto"/>
              <w:left w:val="single" w:sz="4" w:space="0" w:color="auto"/>
              <w:right w:val="single" w:sz="4" w:space="0" w:color="auto"/>
            </w:tcBorders>
            <w:shd w:val="clear" w:color="auto" w:fill="auto"/>
            <w:vAlign w:val="center"/>
          </w:tcPr>
          <w:p w:rsidR="00CA6EBA" w:rsidRPr="004D07D7" w:rsidRDefault="004D07D7" w:rsidP="00CA6EBA">
            <w:pPr>
              <w:spacing w:before="120" w:after="120"/>
              <w:jc w:val="center"/>
              <w:rPr>
                <w:sz w:val="20"/>
                <w:szCs w:val="20"/>
                <w:lang w:val="ru-RU"/>
              </w:rPr>
            </w:pPr>
            <w:r>
              <w:rPr>
                <w:sz w:val="20"/>
                <w:szCs w:val="20"/>
                <w:lang w:val="ru-RU"/>
              </w:rPr>
              <w:lastRenderedPageBreak/>
              <w:t>ПУ</w:t>
            </w:r>
          </w:p>
        </w:tc>
        <w:tc>
          <w:tcPr>
            <w:tcW w:w="2197" w:type="dxa"/>
            <w:vMerge w:val="restart"/>
            <w:tcBorders>
              <w:top w:val="single" w:sz="4" w:space="0" w:color="auto"/>
              <w:left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7128AD">
        <w:trPr>
          <w:trHeight w:val="1550"/>
        </w:trPr>
        <w:tc>
          <w:tcPr>
            <w:tcW w:w="2117" w:type="dxa"/>
            <w:vMerge/>
            <w:tcBorders>
              <w:left w:val="single" w:sz="6" w:space="0" w:color="000000"/>
              <w:bottom w:val="single" w:sz="6" w:space="0" w:color="FFFFFF"/>
              <w:right w:val="single" w:sz="6" w:space="0" w:color="000000"/>
            </w:tcBorders>
          </w:tcPr>
          <w:p w:rsidR="00CA6EBA" w:rsidRPr="004D07D7" w:rsidRDefault="00CA6EBA" w:rsidP="00CA6EBA">
            <w:pPr>
              <w:rPr>
                <w:rFonts w:eastAsia="Verdana"/>
                <w:sz w:val="20"/>
                <w:szCs w:val="20"/>
                <w:lang w:val="sr-Cyrl-RS"/>
              </w:rPr>
            </w:pPr>
          </w:p>
        </w:tc>
        <w:tc>
          <w:tcPr>
            <w:tcW w:w="2231" w:type="dxa"/>
            <w:vMerge/>
            <w:tcBorders>
              <w:left w:val="single" w:sz="6" w:space="0" w:color="000000"/>
              <w:bottom w:val="single" w:sz="6" w:space="0" w:color="FFFFFF"/>
              <w:right w:val="single" w:sz="6" w:space="0" w:color="000000"/>
            </w:tcBorders>
            <w:vAlign w:val="center"/>
          </w:tcPr>
          <w:p w:rsidR="00CA6EBA" w:rsidRPr="004D07D7" w:rsidRDefault="00CA6EBA" w:rsidP="00CA6EBA">
            <w:pPr>
              <w:rPr>
                <w:rFonts w:eastAsia="Verdana"/>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7128AD" w:rsidP="007128AD">
            <w:pPr>
              <w:pStyle w:val="NoSpacing"/>
              <w:spacing w:before="0" w:beforeAutospacing="0" w:after="0" w:afterAutospacing="0"/>
              <w:jc w:val="center"/>
              <w:rPr>
                <w:sz w:val="20"/>
                <w:szCs w:val="20"/>
                <w:lang w:val="sr-Cyrl-CS"/>
              </w:rPr>
            </w:pPr>
            <w:r w:rsidRPr="004D07D7">
              <w:rPr>
                <w:sz w:val="20"/>
                <w:szCs w:val="20"/>
                <w:lang w:val="sr-Cyrl-CS"/>
              </w:rPr>
              <w:t>Члан 18а</w:t>
            </w:r>
          </w:p>
        </w:tc>
        <w:tc>
          <w:tcPr>
            <w:tcW w:w="2227" w:type="dxa"/>
            <w:tcBorders>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5"/>
              <w:rPr>
                <w:sz w:val="20"/>
                <w:szCs w:val="20"/>
                <w:lang w:val="sr-Cyrl-CS"/>
              </w:rPr>
            </w:pPr>
            <w:r w:rsidRPr="004D07D7">
              <w:rPr>
                <w:sz w:val="20"/>
                <w:szCs w:val="20"/>
                <w:lang w:val="sr-Cyrl-CS"/>
              </w:rPr>
              <w:t xml:space="preserve">У случају када паковање садржи више </w:t>
            </w:r>
            <w:proofErr w:type="spellStart"/>
            <w:r w:rsidRPr="004D07D7">
              <w:rPr>
                <w:sz w:val="20"/>
                <w:szCs w:val="20"/>
                <w:lang w:val="sr-Cyrl-CS"/>
              </w:rPr>
              <w:t>појединичних</w:t>
            </w:r>
            <w:proofErr w:type="spellEnd"/>
            <w:r w:rsidRPr="004D07D7">
              <w:rPr>
                <w:sz w:val="20"/>
                <w:szCs w:val="20"/>
                <w:lang w:val="sr-Cyrl-CS"/>
              </w:rPr>
              <w:t xml:space="preserve"> паковања</w:t>
            </w:r>
            <w:r w:rsidRPr="004D07D7">
              <w:rPr>
                <w:sz w:val="20"/>
                <w:szCs w:val="20"/>
              </w:rPr>
              <w:t xml:space="preserve"> </w:t>
            </w:r>
            <w:proofErr w:type="spellStart"/>
            <w:r w:rsidRPr="004D07D7">
              <w:rPr>
                <w:sz w:val="20"/>
                <w:szCs w:val="20"/>
              </w:rPr>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као што су бокс, </w:t>
            </w:r>
            <w:proofErr w:type="spellStart"/>
            <w:r w:rsidRPr="004D07D7">
              <w:rPr>
                <w:sz w:val="20"/>
                <w:szCs w:val="20"/>
                <w:lang w:val="sr-Cyrl-CS"/>
              </w:rPr>
              <w:t>мастеркејс</w:t>
            </w:r>
            <w:proofErr w:type="spellEnd"/>
            <w:r w:rsidRPr="004D07D7">
              <w:rPr>
                <w:sz w:val="20"/>
                <w:szCs w:val="20"/>
                <w:lang w:val="sr-Cyrl-CS"/>
              </w:rPr>
              <w:t xml:space="preserve">, палета, или друге врсте збирних паковања, </w:t>
            </w:r>
            <w:r w:rsidRPr="004D07D7">
              <w:rPr>
                <w:sz w:val="20"/>
                <w:szCs w:val="20"/>
                <w:lang w:val="sr-Cyrl-RS"/>
              </w:rPr>
              <w:lastRenderedPageBreak/>
              <w:t>обвезник акцизе</w:t>
            </w:r>
            <w:r w:rsidRPr="004D07D7">
              <w:rPr>
                <w:sz w:val="20"/>
                <w:szCs w:val="20"/>
                <w:lang w:val="sr-Cyrl-CS"/>
              </w:rPr>
              <w:t xml:space="preserve"> на цигарете и </w:t>
            </w:r>
            <w:proofErr w:type="spellStart"/>
            <w:r w:rsidRPr="004D07D7">
              <w:rPr>
                <w:sz w:val="20"/>
                <w:szCs w:val="20"/>
                <w:lang w:val="sr-Cyrl-CS"/>
              </w:rPr>
              <w:t>несагоревајући</w:t>
            </w:r>
            <w:proofErr w:type="spellEnd"/>
            <w:r w:rsidRPr="004D07D7">
              <w:rPr>
                <w:sz w:val="20"/>
                <w:szCs w:val="20"/>
                <w:lang w:val="sr-Cyrl-CS"/>
              </w:rPr>
              <w:t xml:space="preserve"> дуван дужан је да свако збирно паковање обележи збирним кодом који представља агрегацију продукционих, односно збирних кодова и који садржи све информације о продукционим кодовима појединачних паковања, односно збирним кодовима који су у том паковању.</w:t>
            </w:r>
          </w:p>
          <w:p w:rsidR="00CA6EBA" w:rsidRPr="004D07D7" w:rsidRDefault="00CA6EBA" w:rsidP="00CA6EBA">
            <w:pPr>
              <w:spacing w:before="120" w:after="120"/>
              <w:ind w:firstLine="5"/>
              <w:rPr>
                <w:sz w:val="20"/>
                <w:szCs w:val="20"/>
                <w:lang w:val="sr-Cyrl-CS"/>
              </w:rPr>
            </w:pPr>
            <w:r w:rsidRPr="004D07D7">
              <w:rPr>
                <w:sz w:val="20"/>
                <w:szCs w:val="20"/>
                <w:lang w:val="sr-Cyrl-RS"/>
              </w:rPr>
              <w:t>Прво скенирање</w:t>
            </w:r>
            <w:r w:rsidRPr="004D07D7">
              <w:rPr>
                <w:sz w:val="20"/>
                <w:szCs w:val="20"/>
                <w:lang w:val="sr-Cyrl-CS"/>
              </w:rPr>
              <w:t xml:space="preserve"> продукционог кода из става 2. Овог члана врши се на производној линији одмах након утискивања истог.</w:t>
            </w:r>
          </w:p>
          <w:p w:rsidR="00CA6EBA" w:rsidRPr="004D07D7" w:rsidRDefault="00CA6EBA" w:rsidP="00CA6EBA">
            <w:pPr>
              <w:spacing w:before="120" w:after="120"/>
              <w:ind w:firstLine="5"/>
              <w:rPr>
                <w:sz w:val="20"/>
                <w:szCs w:val="20"/>
              </w:rPr>
            </w:pPr>
            <w:r w:rsidRPr="004D07D7">
              <w:rPr>
                <w:sz w:val="20"/>
                <w:szCs w:val="20"/>
                <w:lang w:val="sr-Cyrl-RS"/>
              </w:rPr>
              <w:t>Прво скенирање</w:t>
            </w:r>
            <w:r w:rsidRPr="004D07D7">
              <w:rPr>
                <w:sz w:val="20"/>
                <w:szCs w:val="20"/>
                <w:lang w:val="sr-Cyrl-CS"/>
              </w:rPr>
              <w:t xml:space="preserve"> </w:t>
            </w:r>
            <w:r w:rsidRPr="004D07D7">
              <w:rPr>
                <w:sz w:val="20"/>
                <w:szCs w:val="20"/>
                <w:lang w:val="sr-Cyrl-RS"/>
              </w:rPr>
              <w:t xml:space="preserve">збирног </w:t>
            </w:r>
            <w:r w:rsidRPr="004D07D7">
              <w:rPr>
                <w:sz w:val="20"/>
                <w:szCs w:val="20"/>
                <w:lang w:val="sr-Cyrl-CS"/>
              </w:rPr>
              <w:t xml:space="preserve">кода из става 3. Овог члана врши се одмах након упакивања појединачних, односно збирних паковања цигарета, односно несагоревајућег дувана.  </w:t>
            </w:r>
          </w:p>
          <w:p w:rsidR="00CA6EBA" w:rsidRPr="004D07D7" w:rsidRDefault="00CA6EBA" w:rsidP="00CA6EBA">
            <w:pPr>
              <w:pStyle w:val="NoSpacing"/>
              <w:spacing w:before="0" w:beforeAutospacing="0" w:after="0" w:afterAutospacing="0"/>
              <w:rPr>
                <w:sz w:val="20"/>
                <w:szCs w:val="20"/>
                <w:lang w:val="sr-Cyrl-CS"/>
              </w:rPr>
            </w:pPr>
            <w:r w:rsidRPr="004D07D7">
              <w:rPr>
                <w:sz w:val="20"/>
                <w:szCs w:val="20"/>
                <w:lang w:val="sr-Cyrl-CS"/>
              </w:rPr>
              <w:t xml:space="preserve">Након првог скенирања из става 4, </w:t>
            </w:r>
            <w:r w:rsidRPr="004D07D7">
              <w:rPr>
                <w:sz w:val="20"/>
                <w:szCs w:val="20"/>
                <w:lang w:val="sr-Cyrl-CS"/>
              </w:rPr>
              <w:lastRenderedPageBreak/>
              <w:t xml:space="preserve">односно става 5. Овог члана, учесници у промету дужни су да без одлагања изврше скенирање продукционог, односно збирног </w:t>
            </w:r>
            <w:proofErr w:type="spellStart"/>
            <w:r w:rsidRPr="004D07D7">
              <w:rPr>
                <w:sz w:val="20"/>
                <w:szCs w:val="20"/>
                <w:lang w:val="sr-Cyrl-CS"/>
              </w:rPr>
              <w:t>поједначних</w:t>
            </w:r>
            <w:proofErr w:type="spellEnd"/>
            <w:r w:rsidRPr="004D07D7">
              <w:rPr>
                <w:sz w:val="20"/>
                <w:szCs w:val="20"/>
                <w:lang w:val="sr-Cyrl-CS"/>
              </w:rPr>
              <w:t xml:space="preserve">, односно збирних паковања цигарета, односно </w:t>
            </w:r>
            <w:proofErr w:type="spellStart"/>
            <w:r w:rsidRPr="004D07D7">
              <w:rPr>
                <w:sz w:val="20"/>
                <w:szCs w:val="20"/>
                <w:lang w:val="sr-Cyrl-CS"/>
              </w:rPr>
              <w:t>несагоревајућег</w:t>
            </w:r>
            <w:proofErr w:type="spellEnd"/>
            <w:r w:rsidRPr="004D07D7">
              <w:rPr>
                <w:sz w:val="20"/>
                <w:szCs w:val="20"/>
                <w:lang w:val="sr-Cyrl-CS"/>
              </w:rPr>
              <w:t xml:space="preserve"> дувана, на сваком појединачном месту пријема </w:t>
            </w:r>
            <w:r w:rsidRPr="004D07D7">
              <w:rPr>
                <w:sz w:val="20"/>
                <w:szCs w:val="20"/>
                <w:lang w:val="sr-Cyrl-RS"/>
              </w:rPr>
              <w:t>тих производа, укључујући и место пријема у случају</w:t>
            </w:r>
            <w:r w:rsidRPr="004D07D7">
              <w:rPr>
                <w:sz w:val="20"/>
                <w:szCs w:val="20"/>
              </w:rPr>
              <w:t xml:space="preserve"> </w:t>
            </w:r>
            <w:proofErr w:type="spellStart"/>
            <w:r w:rsidRPr="004D07D7">
              <w:rPr>
                <w:sz w:val="20"/>
                <w:szCs w:val="20"/>
              </w:rPr>
              <w:t>преноса</w:t>
            </w:r>
            <w:proofErr w:type="spellEnd"/>
            <w:r w:rsidRPr="004D07D7">
              <w:rPr>
                <w:sz w:val="20"/>
                <w:szCs w:val="20"/>
              </w:rPr>
              <w:t xml:space="preserve"> </w:t>
            </w:r>
            <w:proofErr w:type="spellStart"/>
            <w:r w:rsidRPr="004D07D7">
              <w:rPr>
                <w:sz w:val="20"/>
                <w:szCs w:val="20"/>
              </w:rPr>
              <w:t>са</w:t>
            </w:r>
            <w:proofErr w:type="spellEnd"/>
            <w:r w:rsidRPr="004D07D7">
              <w:rPr>
                <w:sz w:val="20"/>
                <w:szCs w:val="20"/>
              </w:rPr>
              <w:t xml:space="preserve"> </w:t>
            </w:r>
            <w:proofErr w:type="spellStart"/>
            <w:r w:rsidRPr="004D07D7">
              <w:rPr>
                <w:sz w:val="20"/>
                <w:szCs w:val="20"/>
              </w:rPr>
              <w:t>једног</w:t>
            </w:r>
            <w:proofErr w:type="spellEnd"/>
            <w:r w:rsidRPr="004D07D7">
              <w:rPr>
                <w:sz w:val="20"/>
                <w:szCs w:val="20"/>
              </w:rPr>
              <w:t xml:space="preserve"> </w:t>
            </w:r>
            <w:proofErr w:type="spellStart"/>
            <w:r w:rsidRPr="004D07D7">
              <w:rPr>
                <w:sz w:val="20"/>
                <w:szCs w:val="20"/>
              </w:rPr>
              <w:t>места</w:t>
            </w:r>
            <w:proofErr w:type="spellEnd"/>
            <w:r w:rsidRPr="004D07D7">
              <w:rPr>
                <w:sz w:val="20"/>
                <w:szCs w:val="20"/>
              </w:rPr>
              <w:t xml:space="preserve"> </w:t>
            </w:r>
            <w:proofErr w:type="spellStart"/>
            <w:r w:rsidRPr="004D07D7">
              <w:rPr>
                <w:sz w:val="20"/>
                <w:szCs w:val="20"/>
              </w:rPr>
              <w:t>на</w:t>
            </w:r>
            <w:proofErr w:type="spellEnd"/>
            <w:r w:rsidRPr="004D07D7">
              <w:rPr>
                <w:sz w:val="20"/>
                <w:szCs w:val="20"/>
              </w:rPr>
              <w:t xml:space="preserve"> </w:t>
            </w:r>
            <w:proofErr w:type="spellStart"/>
            <w:r w:rsidRPr="004D07D7">
              <w:rPr>
                <w:sz w:val="20"/>
                <w:szCs w:val="20"/>
              </w:rPr>
              <w:t>друго</w:t>
            </w:r>
            <w:proofErr w:type="spellEnd"/>
            <w:r w:rsidRPr="004D07D7">
              <w:rPr>
                <w:sz w:val="20"/>
                <w:szCs w:val="20"/>
              </w:rPr>
              <w:t xml:space="preserve"> у </w:t>
            </w:r>
            <w:proofErr w:type="spellStart"/>
            <w:r w:rsidRPr="004D07D7">
              <w:rPr>
                <w:sz w:val="20"/>
                <w:szCs w:val="20"/>
              </w:rPr>
              <w:t>оквиру</w:t>
            </w:r>
            <w:proofErr w:type="spellEnd"/>
            <w:r w:rsidRPr="004D07D7">
              <w:rPr>
                <w:sz w:val="20"/>
                <w:szCs w:val="20"/>
              </w:rPr>
              <w:t xml:space="preserve"> </w:t>
            </w:r>
            <w:proofErr w:type="spellStart"/>
            <w:r w:rsidRPr="004D07D7">
              <w:rPr>
                <w:sz w:val="20"/>
                <w:szCs w:val="20"/>
              </w:rPr>
              <w:t>кретања</w:t>
            </w:r>
            <w:proofErr w:type="spellEnd"/>
            <w:r w:rsidRPr="004D07D7">
              <w:rPr>
                <w:sz w:val="20"/>
                <w:szCs w:val="20"/>
              </w:rPr>
              <w:t xml:space="preserve"> </w:t>
            </w:r>
            <w:proofErr w:type="spellStart"/>
            <w:r w:rsidRPr="004D07D7">
              <w:rPr>
                <w:sz w:val="20"/>
                <w:szCs w:val="20"/>
              </w:rPr>
              <w:t>цигарета</w:t>
            </w:r>
            <w:proofErr w:type="spellEnd"/>
            <w:r w:rsidRPr="004D07D7">
              <w:rPr>
                <w:sz w:val="20"/>
                <w:szCs w:val="20"/>
              </w:rPr>
              <w:t xml:space="preserve"> </w:t>
            </w:r>
            <w:r w:rsidRPr="004D07D7">
              <w:rPr>
                <w:sz w:val="20"/>
                <w:szCs w:val="20"/>
                <w:lang w:val="sr-Cyrl-CS"/>
              </w:rPr>
              <w:t xml:space="preserve">и </w:t>
            </w:r>
            <w:proofErr w:type="spellStart"/>
            <w:r w:rsidRPr="004D07D7">
              <w:rPr>
                <w:sz w:val="20"/>
                <w:szCs w:val="20"/>
                <w:lang w:val="sr-Cyrl-CS"/>
              </w:rPr>
              <w:t>несагоревајућег</w:t>
            </w:r>
            <w:proofErr w:type="spellEnd"/>
            <w:r w:rsidRPr="004D07D7">
              <w:rPr>
                <w:sz w:val="20"/>
                <w:szCs w:val="20"/>
                <w:lang w:val="sr-Cyrl-CS"/>
              </w:rPr>
              <w:t xml:space="preserve"> дувана </w:t>
            </w:r>
            <w:proofErr w:type="spellStart"/>
            <w:r w:rsidRPr="004D07D7">
              <w:rPr>
                <w:sz w:val="20"/>
                <w:szCs w:val="20"/>
              </w:rPr>
              <w:t>код</w:t>
            </w:r>
            <w:proofErr w:type="spellEnd"/>
            <w:r w:rsidRPr="004D07D7">
              <w:rPr>
                <w:sz w:val="20"/>
                <w:szCs w:val="20"/>
              </w:rPr>
              <w:t xml:space="preserve"> </w:t>
            </w:r>
            <w:proofErr w:type="spellStart"/>
            <w:r w:rsidRPr="004D07D7">
              <w:rPr>
                <w:sz w:val="20"/>
                <w:szCs w:val="20"/>
              </w:rPr>
              <w:t>истог</w:t>
            </w:r>
            <w:proofErr w:type="spellEnd"/>
            <w:r w:rsidRPr="004D07D7">
              <w:rPr>
                <w:sz w:val="20"/>
                <w:szCs w:val="20"/>
              </w:rPr>
              <w:t xml:space="preserve"> </w:t>
            </w:r>
            <w:proofErr w:type="spellStart"/>
            <w:r w:rsidRPr="004D07D7">
              <w:rPr>
                <w:sz w:val="20"/>
                <w:szCs w:val="20"/>
              </w:rPr>
              <w:t>учесника</w:t>
            </w:r>
            <w:proofErr w:type="spellEnd"/>
            <w:r w:rsidRPr="004D07D7">
              <w:rPr>
                <w:sz w:val="20"/>
                <w:szCs w:val="20"/>
              </w:rPr>
              <w:t xml:space="preserve"> у </w:t>
            </w:r>
            <w:proofErr w:type="spellStart"/>
            <w:r w:rsidRPr="004D07D7">
              <w:rPr>
                <w:sz w:val="20"/>
                <w:szCs w:val="20"/>
              </w:rPr>
              <w:t>промету</w:t>
            </w:r>
            <w:proofErr w:type="spellEnd"/>
            <w:r w:rsidRPr="004D07D7">
              <w:rPr>
                <w:sz w:val="20"/>
                <w:szCs w:val="20"/>
                <w:lang w:val="sr-Cyrl-RS"/>
              </w:rPr>
              <w:t xml:space="preserve">, осим пријема у малопродајни објекат, </w:t>
            </w:r>
            <w:r w:rsidRPr="004D07D7">
              <w:rPr>
                <w:sz w:val="20"/>
                <w:szCs w:val="20"/>
                <w:lang w:val="sr-Cyrl-CS"/>
              </w:rPr>
              <w:t>као и да податке о скенираним кодовима</w:t>
            </w:r>
            <w:r w:rsidRPr="004D07D7">
              <w:rPr>
                <w:sz w:val="20"/>
                <w:szCs w:val="20"/>
                <w:lang w:val="sr-Latn-RS"/>
              </w:rPr>
              <w:t xml:space="preserve">, </w:t>
            </w:r>
            <w:r w:rsidRPr="004D07D7">
              <w:rPr>
                <w:sz w:val="20"/>
                <w:szCs w:val="20"/>
                <w:lang w:val="sr-Cyrl-RS"/>
              </w:rPr>
              <w:t xml:space="preserve">као и друге податке у вези са акцизним производима, </w:t>
            </w:r>
            <w:r w:rsidRPr="004D07D7">
              <w:rPr>
                <w:sz w:val="20"/>
                <w:szCs w:val="20"/>
                <w:lang w:val="sr-Cyrl-CS"/>
              </w:rPr>
              <w:t>без одлагања доставе на систем е-акциза.</w:t>
            </w:r>
          </w:p>
        </w:tc>
        <w:tc>
          <w:tcPr>
            <w:tcW w:w="2179" w:type="dxa"/>
            <w:vMerge/>
            <w:tcBorders>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jc w:val="center"/>
              <w:rPr>
                <w:sz w:val="20"/>
                <w:szCs w:val="20"/>
                <w:lang w:val="ru-RU"/>
              </w:rPr>
            </w:pPr>
          </w:p>
        </w:tc>
        <w:tc>
          <w:tcPr>
            <w:tcW w:w="2197" w:type="dxa"/>
            <w:vMerge/>
            <w:tcBorders>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341BF0">
        <w:tc>
          <w:tcPr>
            <w:tcW w:w="2117"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CA6EBA">
            <w:pPr>
              <w:jc w:val="center"/>
              <w:rPr>
                <w:rFonts w:eastAsia="Verdana"/>
                <w:sz w:val="20"/>
                <w:szCs w:val="20"/>
                <w:lang w:val="sr-Cyrl-RS"/>
              </w:rPr>
            </w:pPr>
            <w:r w:rsidRPr="004D07D7">
              <w:rPr>
                <w:rFonts w:eastAsia="Verdana"/>
                <w:sz w:val="20"/>
                <w:szCs w:val="20"/>
                <w:lang w:val="sr-Cyrl-RS"/>
              </w:rPr>
              <w:lastRenderedPageBreak/>
              <w:t>15.6</w:t>
            </w:r>
          </w:p>
        </w:tc>
        <w:tc>
          <w:tcPr>
            <w:tcW w:w="2231" w:type="dxa"/>
            <w:tcBorders>
              <w:top w:val="single" w:sz="6" w:space="0" w:color="000000"/>
              <w:left w:val="single" w:sz="6" w:space="0" w:color="000000"/>
              <w:bottom w:val="single" w:sz="6" w:space="0" w:color="FFFFFF"/>
              <w:right w:val="single" w:sz="6" w:space="0" w:color="000000"/>
            </w:tcBorders>
            <w:vAlign w:val="center"/>
          </w:tcPr>
          <w:p w:rsidR="00CA6EBA" w:rsidRPr="004D07D7" w:rsidRDefault="00CA6EBA" w:rsidP="00CA6EBA">
            <w:pPr>
              <w:rPr>
                <w:rFonts w:eastAsia="Verdana"/>
                <w:sz w:val="20"/>
                <w:szCs w:val="20"/>
                <w:lang w:val="sr-Cyrl-RS"/>
              </w:rPr>
            </w:pPr>
            <w:r w:rsidRPr="004D07D7">
              <w:rPr>
                <w:rFonts w:eastAsia="Verdana"/>
                <w:color w:val="000000"/>
                <w:sz w:val="20"/>
                <w:szCs w:val="20"/>
                <w:lang w:val="sr-Cyrl-RS"/>
              </w:rPr>
              <w:t xml:space="preserve">Државе чланице обезбеђују да сва физичка и правна лица ангажована у ланцу снабдевања дуванским производима одржавају комплетну и </w:t>
            </w:r>
            <w:r w:rsidRPr="004D07D7">
              <w:rPr>
                <w:rFonts w:eastAsia="Verdana"/>
                <w:color w:val="000000"/>
                <w:sz w:val="20"/>
                <w:szCs w:val="20"/>
                <w:lang w:val="sr-Cyrl-RS"/>
              </w:rPr>
              <w:lastRenderedPageBreak/>
              <w:t xml:space="preserve">тачну евиденцију о свим релевантним трансакцијама. </w:t>
            </w:r>
          </w:p>
          <w:p w:rsidR="00CA6EBA" w:rsidRPr="004D07D7" w:rsidRDefault="00CA6EBA" w:rsidP="00CA6EBA">
            <w:pP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tabs>
                <w:tab w:val="left" w:pos="1440"/>
              </w:tabs>
              <w:jc w:val="center"/>
              <w:rPr>
                <w:b/>
                <w:color w:val="FF0000"/>
                <w:sz w:val="20"/>
                <w:szCs w:val="20"/>
              </w:rPr>
            </w:pPr>
            <w:r w:rsidRPr="004D07D7">
              <w:rPr>
                <w:sz w:val="20"/>
                <w:szCs w:val="20"/>
                <w:lang w:val="sr-Cyrl-CS"/>
              </w:rPr>
              <w:lastRenderedPageBreak/>
              <w:t>Члан 1а</w:t>
            </w:r>
          </w:p>
          <w:p w:rsidR="00CA6EBA" w:rsidRPr="004D07D7" w:rsidRDefault="00CA6EBA" w:rsidP="00CA6EBA">
            <w:pPr>
              <w:spacing w:before="120" w:after="120"/>
              <w:ind w:firstLine="5"/>
              <w:jc w:val="center"/>
              <w:rPr>
                <w:sz w:val="20"/>
                <w:szCs w:val="20"/>
                <w:lang w:val="ru-RU"/>
              </w:rPr>
            </w:pP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rPr>
                <w:sz w:val="20"/>
                <w:szCs w:val="20"/>
                <w:lang w:val="sr-Cyrl-CS"/>
              </w:rPr>
            </w:pPr>
            <w:r w:rsidRPr="004D07D7">
              <w:rPr>
                <w:sz w:val="20"/>
                <w:szCs w:val="20"/>
                <w:lang w:val="sr-Cyrl-CS"/>
              </w:rPr>
              <w:t xml:space="preserve">13) „систем е-акциза” је централизовани информациони систем којим управља министарство надлежно за послове финансија, а који </w:t>
            </w:r>
            <w:r w:rsidRPr="004D07D7">
              <w:rPr>
                <w:sz w:val="20"/>
                <w:szCs w:val="20"/>
                <w:lang w:val="sr-Cyrl-CS"/>
              </w:rPr>
              <w:lastRenderedPageBreak/>
              <w:t xml:space="preserve">преузима податке из других регистара </w:t>
            </w:r>
            <w:r w:rsidR="007128AD" w:rsidRPr="004D07D7">
              <w:rPr>
                <w:sz w:val="20"/>
                <w:szCs w:val="20"/>
                <w:lang w:val="sr-Cyrl-CS"/>
              </w:rPr>
              <w:t>и евиденција</w:t>
            </w:r>
            <w:r w:rsidRPr="004D07D7">
              <w:rPr>
                <w:sz w:val="20"/>
                <w:szCs w:val="20"/>
                <w:lang w:val="sr-Cyrl-CS"/>
              </w:rPr>
              <w:t xml:space="preserve"> који се воде код надлежних органа, као и податке у вези са акцизним производима, обвезницима акцизе и учесницима у промету, омогућава подношење електронских захтева за издавање контролних акцизних маркица, електронских захтева за издавање и обнављање дозвола за акцизна складишта, управљање пословним процесима и комуникацију између корисника система е-акциза у вези са акцизним производима и који евидентира, чува и обрађује податке у вези са кретањем акцизних производа.</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7128AD" w:rsidP="00CA6EBA">
            <w:pPr>
              <w:spacing w:before="120" w:after="120"/>
              <w:jc w:val="center"/>
              <w:rPr>
                <w:sz w:val="20"/>
                <w:szCs w:val="20"/>
                <w:lang w:val="ru-RU"/>
              </w:rPr>
            </w:pPr>
            <w:r>
              <w:rPr>
                <w:sz w:val="20"/>
                <w:szCs w:val="20"/>
                <w:lang w:val="ru-RU"/>
              </w:rPr>
              <w:lastRenderedPageBreak/>
              <w:t>ПУ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r w:rsidR="00CA6EBA" w:rsidRPr="004D07D7" w:rsidTr="007128AD">
        <w:tc>
          <w:tcPr>
            <w:tcW w:w="2117" w:type="dxa"/>
            <w:tcBorders>
              <w:top w:val="single" w:sz="6" w:space="0" w:color="000000"/>
              <w:left w:val="single" w:sz="6" w:space="0" w:color="000000"/>
              <w:bottom w:val="single" w:sz="4" w:space="0" w:color="auto"/>
              <w:right w:val="single" w:sz="6" w:space="0" w:color="000000"/>
            </w:tcBorders>
            <w:vAlign w:val="center"/>
          </w:tcPr>
          <w:p w:rsidR="00CA6EBA" w:rsidRPr="004D07D7" w:rsidRDefault="00CA6EBA" w:rsidP="00CA6EBA">
            <w:pPr>
              <w:jc w:val="center"/>
              <w:rPr>
                <w:rFonts w:eastAsia="Verdana"/>
                <w:sz w:val="20"/>
                <w:szCs w:val="20"/>
                <w:lang w:val="sr-Cyrl-RS"/>
              </w:rPr>
            </w:pPr>
            <w:r w:rsidRPr="004D07D7">
              <w:rPr>
                <w:rFonts w:eastAsia="Verdana"/>
                <w:sz w:val="20"/>
                <w:szCs w:val="20"/>
                <w:lang w:val="sr-Cyrl-RS"/>
              </w:rPr>
              <w:lastRenderedPageBreak/>
              <w:t>15.7</w:t>
            </w:r>
          </w:p>
        </w:tc>
        <w:tc>
          <w:tcPr>
            <w:tcW w:w="2231" w:type="dxa"/>
            <w:tcBorders>
              <w:top w:val="single" w:sz="6" w:space="0" w:color="000000"/>
              <w:left w:val="single" w:sz="6" w:space="0" w:color="000000"/>
              <w:bottom w:val="single" w:sz="4" w:space="0" w:color="auto"/>
              <w:right w:val="single" w:sz="6" w:space="0" w:color="000000"/>
            </w:tcBorders>
            <w:vAlign w:val="center"/>
          </w:tcPr>
          <w:p w:rsidR="00CA6EBA" w:rsidRPr="004D07D7" w:rsidRDefault="00CA6EBA" w:rsidP="00CA6EBA">
            <w:pPr>
              <w:rPr>
                <w:rFonts w:eastAsia="Verdana"/>
                <w:sz w:val="20"/>
                <w:szCs w:val="20"/>
                <w:lang w:val="sr-Cyrl-RS"/>
              </w:rPr>
            </w:pPr>
            <w:r w:rsidRPr="004D07D7">
              <w:rPr>
                <w:rFonts w:eastAsia="Verdana"/>
                <w:color w:val="000000"/>
                <w:sz w:val="20"/>
                <w:szCs w:val="20"/>
                <w:lang w:val="sr-Cyrl-RS"/>
              </w:rPr>
              <w:t xml:space="preserve">Државе чланице обезбеђују да произвођачи дуванских производа обезбеђују за све привредне субјекте укључене у трговину дуванским производима, од произвођача до последњег привредног </w:t>
            </w:r>
            <w:r w:rsidRPr="004D07D7">
              <w:rPr>
                <w:rFonts w:eastAsia="Verdana"/>
                <w:color w:val="000000"/>
                <w:sz w:val="20"/>
                <w:szCs w:val="20"/>
                <w:lang w:val="sr-Cyrl-RS"/>
              </w:rPr>
              <w:lastRenderedPageBreak/>
              <w:t>субјекта пре првог малопродајног места, укључујући увознике, складишта и транспортне компаније, опрему која је неопходна за вођење евиденције о дуванским производима који су купљени, продати, складиштени, транспортовани или се њима руковало на неки други начин.   Та опрема је у стању да очита и пренесе забележене податке електронски до места за похрањивање података у складу са ставом 8.</w:t>
            </w:r>
          </w:p>
          <w:p w:rsidR="00CA6EBA" w:rsidRPr="004D07D7" w:rsidRDefault="00CA6EBA" w:rsidP="00CA6EBA">
            <w:pP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5"/>
              <w:jc w:val="center"/>
              <w:rPr>
                <w:sz w:val="20"/>
                <w:szCs w:val="20"/>
                <w:lang w:val="ru-RU"/>
              </w:rPr>
            </w:pPr>
            <w:r w:rsidRPr="004D07D7">
              <w:rPr>
                <w:sz w:val="20"/>
                <w:szCs w:val="20"/>
                <w:lang w:val="ru-RU"/>
              </w:rPr>
              <w:lastRenderedPageBreak/>
              <w:t>Прелазне и завршне одредбе Члан 20.</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4D07D7">
            <w:pPr>
              <w:rPr>
                <w:sz w:val="20"/>
                <w:szCs w:val="20"/>
                <w:lang w:val="sr-Cyrl-CS"/>
              </w:rPr>
            </w:pPr>
            <w:r w:rsidRPr="004D07D7">
              <w:rPr>
                <w:bCs/>
                <w:sz w:val="20"/>
                <w:szCs w:val="20"/>
                <w:lang w:val="sr-Cyrl-RS"/>
              </w:rPr>
              <w:t xml:space="preserve">Подзаконски акт из члана </w:t>
            </w:r>
            <w:r w:rsidRPr="004D07D7">
              <w:rPr>
                <w:bCs/>
                <w:sz w:val="20"/>
                <w:szCs w:val="20"/>
                <w:lang w:val="sr-Latn-RS"/>
              </w:rPr>
              <w:t>8.</w:t>
            </w:r>
            <w:r w:rsidRPr="004D07D7">
              <w:rPr>
                <w:bCs/>
                <w:sz w:val="20"/>
                <w:szCs w:val="20"/>
                <w:lang w:val="sr-Cyrl-RS"/>
              </w:rPr>
              <w:t xml:space="preserve"> Овог закона којим се </w:t>
            </w:r>
            <w:r w:rsidRPr="004D07D7">
              <w:rPr>
                <w:sz w:val="20"/>
                <w:szCs w:val="20"/>
                <w:lang w:val="sr-Cyrl-CS"/>
              </w:rPr>
              <w:t>ближе прописује начин и поступак скенирања,</w:t>
            </w:r>
            <w:r w:rsidRPr="004D07D7">
              <w:rPr>
                <w:sz w:val="20"/>
                <w:szCs w:val="20"/>
              </w:rPr>
              <w:t xml:space="preserve"> </w:t>
            </w:r>
            <w:r w:rsidRPr="004D07D7">
              <w:rPr>
                <w:sz w:val="20"/>
                <w:szCs w:val="20"/>
                <w:lang w:val="sr-Cyrl-RS"/>
              </w:rPr>
              <w:t>начин и поступак увезивања и слања података,</w:t>
            </w:r>
            <w:r w:rsidRPr="004D07D7">
              <w:rPr>
                <w:sz w:val="20"/>
                <w:szCs w:val="20"/>
                <w:lang w:val="sr-Cyrl-CS"/>
              </w:rPr>
              <w:t xml:space="preserve"> садржина података у вези са акцизним производима, начин </w:t>
            </w:r>
            <w:r w:rsidRPr="004D07D7">
              <w:rPr>
                <w:sz w:val="20"/>
                <w:szCs w:val="20"/>
                <w:lang w:val="sr-Cyrl-CS"/>
              </w:rPr>
              <w:lastRenderedPageBreak/>
              <w:t>достављања тих података на систем е-акциза као и друге податке у вези са извршењем обавезе из тог члана у циљу праћења кретања цигарета, односно несагоревајућег дувана</w:t>
            </w:r>
            <w:r w:rsidRPr="004D07D7">
              <w:rPr>
                <w:bCs/>
                <w:sz w:val="20"/>
                <w:szCs w:val="20"/>
                <w:lang w:val="sr-Cyrl-RS"/>
              </w:rPr>
              <w:t xml:space="preserve"> донеће се у року од 90 дана од дана ступања на снагу овог закона.</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7128AD" w:rsidP="00CA6EBA">
            <w:pPr>
              <w:spacing w:before="120" w:after="120"/>
              <w:jc w:val="center"/>
              <w:rPr>
                <w:sz w:val="20"/>
                <w:szCs w:val="20"/>
                <w:lang w:val="ru-RU"/>
              </w:rPr>
            </w:pPr>
            <w:r>
              <w:rPr>
                <w:sz w:val="20"/>
                <w:szCs w:val="20"/>
                <w:lang w:val="ru-RU"/>
              </w:rPr>
              <w:lastRenderedPageBreak/>
              <w:t>ДУ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9760CE" w:rsidP="00CA6EBA">
            <w:pPr>
              <w:spacing w:before="120" w:after="120"/>
              <w:ind w:firstLine="21"/>
              <w:jc w:val="center"/>
              <w:rPr>
                <w:sz w:val="20"/>
                <w:szCs w:val="20"/>
                <w:lang w:val="ru-RU"/>
              </w:rPr>
            </w:pPr>
            <w:r>
              <w:rPr>
                <w:sz w:val="20"/>
                <w:szCs w:val="20"/>
                <w:lang w:val="ru-RU"/>
              </w:rPr>
              <w:t>Предвиђено је потпуно усклађивање кроз доношење подзаконских аката.</w:t>
            </w:r>
          </w:p>
        </w:tc>
      </w:tr>
      <w:tr w:rsidR="00CA6EBA" w:rsidRPr="004D07D7" w:rsidTr="00CA6EBA">
        <w:tc>
          <w:tcPr>
            <w:tcW w:w="2117" w:type="dxa"/>
            <w:tcBorders>
              <w:top w:val="single" w:sz="4" w:space="0" w:color="auto"/>
              <w:left w:val="single" w:sz="4" w:space="0" w:color="auto"/>
              <w:bottom w:val="single" w:sz="4" w:space="0" w:color="auto"/>
              <w:right w:val="single" w:sz="4" w:space="0" w:color="auto"/>
            </w:tcBorders>
            <w:vAlign w:val="center"/>
          </w:tcPr>
          <w:p w:rsidR="00CA6EBA" w:rsidRPr="004D07D7" w:rsidRDefault="00CA6EBA" w:rsidP="00CA6EBA">
            <w:pPr>
              <w:jc w:val="center"/>
              <w:rPr>
                <w:rFonts w:eastAsia="Verdana"/>
                <w:sz w:val="20"/>
                <w:szCs w:val="20"/>
                <w:lang w:val="sr-Cyrl-RS"/>
              </w:rPr>
            </w:pPr>
            <w:r w:rsidRPr="004D07D7">
              <w:rPr>
                <w:rFonts w:eastAsia="Verdana"/>
                <w:sz w:val="20"/>
                <w:szCs w:val="20"/>
                <w:lang w:val="sr-Cyrl-RS"/>
              </w:rPr>
              <w:lastRenderedPageBreak/>
              <w:t>15.13</w:t>
            </w:r>
          </w:p>
        </w:tc>
        <w:tc>
          <w:tcPr>
            <w:tcW w:w="2231" w:type="dxa"/>
            <w:tcBorders>
              <w:top w:val="single" w:sz="4" w:space="0" w:color="auto"/>
              <w:left w:val="single" w:sz="4" w:space="0" w:color="auto"/>
              <w:bottom w:val="single" w:sz="4" w:space="0" w:color="auto"/>
              <w:right w:val="single" w:sz="4" w:space="0" w:color="auto"/>
            </w:tcBorders>
            <w:vAlign w:val="center"/>
          </w:tcPr>
          <w:p w:rsidR="00CA6EBA" w:rsidRPr="004D07D7" w:rsidRDefault="00CA6EBA" w:rsidP="00CA6EBA">
            <w:pPr>
              <w:rPr>
                <w:rFonts w:eastAsia="Verdana"/>
                <w:sz w:val="20"/>
                <w:szCs w:val="20"/>
                <w:lang w:val="sr-Cyrl-RS"/>
              </w:rPr>
            </w:pPr>
            <w:r w:rsidRPr="004D07D7">
              <w:rPr>
                <w:rFonts w:eastAsia="Verdana"/>
                <w:color w:val="000000"/>
                <w:sz w:val="20"/>
                <w:szCs w:val="20"/>
                <w:lang w:val="sr-Cyrl-RS"/>
              </w:rPr>
              <w:t xml:space="preserve">Ставови 1 до 10 односе се на цигарете и резани дуван/дуван за самостално мотање од 20.маја 2019.године, и на дуванске производе који нису цигарете и резани дуван/дуван за самостално мотање од 20.маја 2024.године. </w:t>
            </w:r>
          </w:p>
          <w:p w:rsidR="00CA6EBA" w:rsidRPr="004D07D7" w:rsidRDefault="00CA6EBA" w:rsidP="00CA6EBA">
            <w:pPr>
              <w:rPr>
                <w:rFonts w:eastAsia="Verdana"/>
                <w:b/>
                <w:color w:val="000000"/>
                <w:sz w:val="20"/>
                <w:szCs w:val="20"/>
                <w:lang w:val="sr-Cyrl-RS"/>
              </w:rPr>
            </w:pPr>
          </w:p>
        </w:tc>
        <w:tc>
          <w:tcPr>
            <w:tcW w:w="299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5"/>
              <w:jc w:val="center"/>
              <w:rPr>
                <w:sz w:val="20"/>
                <w:szCs w:val="20"/>
                <w:lang w:val="ru-RU"/>
              </w:rPr>
            </w:pPr>
            <w:r w:rsidRPr="004D07D7">
              <w:rPr>
                <w:sz w:val="20"/>
                <w:szCs w:val="20"/>
                <w:lang w:val="ru-RU"/>
              </w:rPr>
              <w:t xml:space="preserve">Прелазне и завршне одредбе </w:t>
            </w:r>
          </w:p>
          <w:p w:rsidR="00CA6EBA" w:rsidRPr="004D07D7" w:rsidRDefault="00CA6EBA" w:rsidP="00CA6EBA">
            <w:pPr>
              <w:spacing w:before="120" w:after="120"/>
              <w:ind w:firstLine="5"/>
              <w:jc w:val="center"/>
              <w:rPr>
                <w:sz w:val="20"/>
                <w:szCs w:val="20"/>
                <w:lang w:val="ru-RU"/>
              </w:rPr>
            </w:pPr>
            <w:r w:rsidRPr="004D07D7">
              <w:rPr>
                <w:sz w:val="20"/>
                <w:szCs w:val="20"/>
                <w:lang w:val="ru-RU"/>
              </w:rPr>
              <w:t>Члан 15.</w:t>
            </w:r>
          </w:p>
        </w:tc>
        <w:tc>
          <w:tcPr>
            <w:tcW w:w="222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7128AD">
            <w:pPr>
              <w:rPr>
                <w:sz w:val="20"/>
                <w:szCs w:val="20"/>
                <w:lang w:val="sr-Cyrl-CS"/>
              </w:rPr>
            </w:pPr>
            <w:r w:rsidRPr="004D07D7">
              <w:rPr>
                <w:sz w:val="20"/>
                <w:szCs w:val="20"/>
                <w:lang w:val="sr-Cyrl-CS"/>
              </w:rPr>
              <w:t xml:space="preserve">Обавеза скенирања </w:t>
            </w:r>
            <w:r w:rsidRPr="004D07D7">
              <w:rPr>
                <w:sz w:val="20"/>
                <w:szCs w:val="20"/>
                <w:lang w:val="sr-Cyrl-RS"/>
              </w:rPr>
              <w:t xml:space="preserve">продукционог, односно збирног </w:t>
            </w:r>
            <w:r w:rsidRPr="004D07D7">
              <w:rPr>
                <w:sz w:val="20"/>
                <w:szCs w:val="20"/>
                <w:lang w:val="sr-Cyrl-CS"/>
              </w:rPr>
              <w:t xml:space="preserve">кода на појединачном, односно збирном паковању цигарета, односно несагоревајућег дувана од стране обвезника акциза, односно других учесника у промету и слања података систему е-акциза у складу са одредбама овог закона из члана 8. </w:t>
            </w:r>
            <w:r w:rsidR="007128AD">
              <w:rPr>
                <w:sz w:val="20"/>
                <w:szCs w:val="20"/>
                <w:lang w:val="sr-Cyrl-CS"/>
              </w:rPr>
              <w:t>о</w:t>
            </w:r>
            <w:r w:rsidRPr="004D07D7">
              <w:rPr>
                <w:sz w:val="20"/>
                <w:szCs w:val="20"/>
                <w:lang w:val="sr-Cyrl-CS"/>
              </w:rPr>
              <w:t>вог зак</w:t>
            </w:r>
            <w:r w:rsidR="007128AD">
              <w:rPr>
                <w:sz w:val="20"/>
                <w:szCs w:val="20"/>
                <w:lang w:val="sr-Cyrl-CS"/>
              </w:rPr>
              <w:t xml:space="preserve">она </w:t>
            </w:r>
            <w:r w:rsidR="007128AD">
              <w:rPr>
                <w:sz w:val="20"/>
                <w:szCs w:val="20"/>
                <w:lang w:val="sr-Cyrl-CS"/>
              </w:rPr>
              <w:lastRenderedPageBreak/>
              <w:t>почиње од 1. октобра 2025. г</w:t>
            </w:r>
            <w:r w:rsidRPr="004D07D7">
              <w:rPr>
                <w:sz w:val="20"/>
                <w:szCs w:val="20"/>
                <w:lang w:val="sr-Cyrl-CS"/>
              </w:rPr>
              <w:t>одине.</w:t>
            </w:r>
          </w:p>
        </w:tc>
        <w:tc>
          <w:tcPr>
            <w:tcW w:w="2179"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7128AD" w:rsidP="00CA6EBA">
            <w:pPr>
              <w:spacing w:before="120" w:after="120"/>
              <w:jc w:val="center"/>
              <w:rPr>
                <w:sz w:val="20"/>
                <w:szCs w:val="20"/>
                <w:lang w:val="ru-RU"/>
              </w:rPr>
            </w:pPr>
            <w:r>
              <w:rPr>
                <w:sz w:val="20"/>
                <w:szCs w:val="20"/>
                <w:lang w:val="ru-RU"/>
              </w:rPr>
              <w:lastRenderedPageBreak/>
              <w:t>ПУ</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rsidR="00CA6EBA" w:rsidRPr="004D07D7" w:rsidRDefault="00CA6EBA" w:rsidP="00CA6EBA">
            <w:pPr>
              <w:spacing w:before="120" w:after="120"/>
              <w:ind w:firstLine="21"/>
              <w:jc w:val="center"/>
              <w:rPr>
                <w:sz w:val="20"/>
                <w:szCs w:val="20"/>
                <w:lang w:val="ru-RU"/>
              </w:rPr>
            </w:pPr>
          </w:p>
        </w:tc>
      </w:tr>
    </w:tbl>
    <w:p w:rsidR="00CE0EB1" w:rsidRDefault="00CE0EB1">
      <w:pPr>
        <w:rPr>
          <w:sz w:val="20"/>
          <w:szCs w:val="20"/>
        </w:rPr>
      </w:pPr>
    </w:p>
    <w:p w:rsidR="002C1A8D" w:rsidRPr="00B22F97" w:rsidRDefault="002C1A8D">
      <w:pPr>
        <w:rPr>
          <w:sz w:val="20"/>
          <w:szCs w:val="20"/>
        </w:rPr>
      </w:pPr>
      <w:bookmarkStart w:id="0" w:name="_GoBack"/>
      <w:bookmarkEnd w:id="0"/>
    </w:p>
    <w:sectPr w:rsidR="002C1A8D" w:rsidRPr="00B22F97" w:rsidSect="00414CB5">
      <w:headerReference w:type="default" r:id="rId7"/>
      <w:pgSz w:w="16840" w:h="11907" w:orient="landscape"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5B15" w:rsidRDefault="00DE5B15" w:rsidP="00C46B35">
      <w:pPr>
        <w:spacing w:after="0" w:line="240" w:lineRule="auto"/>
      </w:pPr>
      <w:r>
        <w:separator/>
      </w:r>
    </w:p>
  </w:endnote>
  <w:endnote w:type="continuationSeparator" w:id="0">
    <w:p w:rsidR="00DE5B15" w:rsidRDefault="00DE5B15" w:rsidP="00C46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5B15" w:rsidRDefault="00DE5B15" w:rsidP="00C46B35">
      <w:pPr>
        <w:spacing w:after="0" w:line="240" w:lineRule="auto"/>
      </w:pPr>
      <w:r>
        <w:separator/>
      </w:r>
    </w:p>
  </w:footnote>
  <w:footnote w:type="continuationSeparator" w:id="0">
    <w:p w:rsidR="00DE5B15" w:rsidRDefault="00DE5B15" w:rsidP="00C46B35">
      <w:pPr>
        <w:spacing w:after="0" w:line="240" w:lineRule="auto"/>
      </w:pPr>
      <w:r>
        <w:continuationSeparator/>
      </w:r>
    </w:p>
  </w:footnote>
  <w:footnote w:id="1">
    <w:p w:rsidR="00DC1923" w:rsidRPr="003025F1" w:rsidRDefault="00DC1923" w:rsidP="00DC1923">
      <w:pPr>
        <w:pStyle w:val="FootnoteText"/>
        <w:rPr>
          <w:lang w:val="sr-Latn-CS"/>
        </w:rPr>
      </w:pPr>
      <w:r>
        <w:rPr>
          <w:rStyle w:val="FootnoteReference"/>
        </w:rPr>
        <w:footnoteRef/>
      </w:r>
      <w:r w:rsidRPr="003025F1">
        <w:rPr>
          <w:lang w:val="ru-RU"/>
        </w:rPr>
        <w:t xml:space="preserve"> </w:t>
      </w:r>
      <w:r w:rsidRPr="00303EB6">
        <w:rPr>
          <w:rFonts w:ascii="Times New Roman" w:hAnsi="Times New Roman" w:cs="Times New Roman"/>
          <w:sz w:val="18"/>
          <w:szCs w:val="18"/>
          <w:lang w:val="sr-Cyrl-CS"/>
        </w:rPr>
        <w:t>Потпуно усклађено</w:t>
      </w:r>
      <w:r w:rsidRPr="00303EB6">
        <w:rPr>
          <w:rFonts w:ascii="Times New Roman" w:hAnsi="Times New Roman" w:cs="Times New Roman"/>
          <w:sz w:val="18"/>
          <w:szCs w:val="18"/>
          <w:lang w:val="sr-Latn-CS"/>
        </w:rPr>
        <w:t xml:space="preserve"> - </w:t>
      </w:r>
      <w:r w:rsidRPr="00303EB6">
        <w:rPr>
          <w:rFonts w:ascii="Times New Roman" w:hAnsi="Times New Roman" w:cs="Times New Roman"/>
          <w:sz w:val="18"/>
          <w:szCs w:val="18"/>
          <w:lang w:val="sr-Cyrl-CS"/>
        </w:rPr>
        <w:t>ПУ, делимично усклађено - ДУ, неу</w:t>
      </w:r>
      <w:r>
        <w:rPr>
          <w:rFonts w:ascii="Times New Roman" w:hAnsi="Times New Roman" w:cs="Times New Roman"/>
          <w:sz w:val="18"/>
          <w:szCs w:val="18"/>
          <w:lang w:val="sr-Cyrl-CS"/>
        </w:rPr>
        <w:t>склађено - НУ, непреносиво – НП</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34830"/>
      <w:docPartObj>
        <w:docPartGallery w:val="Page Numbers (Top of Page)"/>
        <w:docPartUnique/>
      </w:docPartObj>
    </w:sdtPr>
    <w:sdtEndPr>
      <w:rPr>
        <w:noProof/>
      </w:rPr>
    </w:sdtEndPr>
    <w:sdtContent>
      <w:p w:rsidR="00414CB5" w:rsidRDefault="00414CB5">
        <w:pPr>
          <w:pStyle w:val="Header"/>
          <w:jc w:val="center"/>
        </w:pPr>
        <w:r>
          <w:fldChar w:fldCharType="begin"/>
        </w:r>
        <w:r>
          <w:instrText xml:space="preserve"> PAGE   \* MERGEFORMAT </w:instrText>
        </w:r>
        <w:r>
          <w:fldChar w:fldCharType="separate"/>
        </w:r>
        <w:r>
          <w:rPr>
            <w:noProof/>
          </w:rPr>
          <w:t>13</w:t>
        </w:r>
        <w:r>
          <w:rPr>
            <w:noProof/>
          </w:rPr>
          <w:fldChar w:fldCharType="end"/>
        </w:r>
      </w:p>
    </w:sdtContent>
  </w:sdt>
  <w:p w:rsidR="00414CB5" w:rsidRDefault="00414C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hideSpelling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EB1"/>
    <w:rsid w:val="00000CB3"/>
    <w:rsid w:val="00000D0B"/>
    <w:rsid w:val="00001FF8"/>
    <w:rsid w:val="0000361D"/>
    <w:rsid w:val="00003988"/>
    <w:rsid w:val="00003B38"/>
    <w:rsid w:val="000043AC"/>
    <w:rsid w:val="000043CA"/>
    <w:rsid w:val="00005D98"/>
    <w:rsid w:val="00006A1E"/>
    <w:rsid w:val="000103A9"/>
    <w:rsid w:val="000106AF"/>
    <w:rsid w:val="00012499"/>
    <w:rsid w:val="00012EEC"/>
    <w:rsid w:val="00014765"/>
    <w:rsid w:val="000171F4"/>
    <w:rsid w:val="000179D6"/>
    <w:rsid w:val="00021250"/>
    <w:rsid w:val="00021B67"/>
    <w:rsid w:val="0002445A"/>
    <w:rsid w:val="000245A6"/>
    <w:rsid w:val="00025231"/>
    <w:rsid w:val="000270A6"/>
    <w:rsid w:val="000271BB"/>
    <w:rsid w:val="00031681"/>
    <w:rsid w:val="00033224"/>
    <w:rsid w:val="00034430"/>
    <w:rsid w:val="00035900"/>
    <w:rsid w:val="00035D81"/>
    <w:rsid w:val="00036474"/>
    <w:rsid w:val="00036E0D"/>
    <w:rsid w:val="00036FBE"/>
    <w:rsid w:val="00036FE3"/>
    <w:rsid w:val="00037AA9"/>
    <w:rsid w:val="00037ADD"/>
    <w:rsid w:val="00041278"/>
    <w:rsid w:val="00041592"/>
    <w:rsid w:val="00042048"/>
    <w:rsid w:val="00042220"/>
    <w:rsid w:val="000427C8"/>
    <w:rsid w:val="00044070"/>
    <w:rsid w:val="000465D6"/>
    <w:rsid w:val="00046F51"/>
    <w:rsid w:val="00050EFE"/>
    <w:rsid w:val="00051DFF"/>
    <w:rsid w:val="00052E92"/>
    <w:rsid w:val="000549DF"/>
    <w:rsid w:val="00054CF9"/>
    <w:rsid w:val="00055916"/>
    <w:rsid w:val="00056941"/>
    <w:rsid w:val="00057310"/>
    <w:rsid w:val="00060183"/>
    <w:rsid w:val="00062105"/>
    <w:rsid w:val="000631F4"/>
    <w:rsid w:val="000639A3"/>
    <w:rsid w:val="00064213"/>
    <w:rsid w:val="00064487"/>
    <w:rsid w:val="000646ED"/>
    <w:rsid w:val="000721CC"/>
    <w:rsid w:val="00072293"/>
    <w:rsid w:val="00072BF0"/>
    <w:rsid w:val="00073301"/>
    <w:rsid w:val="00073F47"/>
    <w:rsid w:val="00074622"/>
    <w:rsid w:val="000752CD"/>
    <w:rsid w:val="00075A16"/>
    <w:rsid w:val="000826B8"/>
    <w:rsid w:val="00083B1D"/>
    <w:rsid w:val="00085719"/>
    <w:rsid w:val="0008611B"/>
    <w:rsid w:val="00086B20"/>
    <w:rsid w:val="00086D2E"/>
    <w:rsid w:val="000910CE"/>
    <w:rsid w:val="0009195B"/>
    <w:rsid w:val="00091FA7"/>
    <w:rsid w:val="00093961"/>
    <w:rsid w:val="00093BAB"/>
    <w:rsid w:val="0009429D"/>
    <w:rsid w:val="000A0C3A"/>
    <w:rsid w:val="000A0E81"/>
    <w:rsid w:val="000A1B68"/>
    <w:rsid w:val="000A1BD9"/>
    <w:rsid w:val="000A3A97"/>
    <w:rsid w:val="000A5A4C"/>
    <w:rsid w:val="000B0D99"/>
    <w:rsid w:val="000B1D42"/>
    <w:rsid w:val="000B3D71"/>
    <w:rsid w:val="000B3F18"/>
    <w:rsid w:val="000B430F"/>
    <w:rsid w:val="000B4C4E"/>
    <w:rsid w:val="000B572D"/>
    <w:rsid w:val="000B6CE1"/>
    <w:rsid w:val="000B74ED"/>
    <w:rsid w:val="000B7A16"/>
    <w:rsid w:val="000C435E"/>
    <w:rsid w:val="000C4E1F"/>
    <w:rsid w:val="000C5221"/>
    <w:rsid w:val="000C7CD1"/>
    <w:rsid w:val="000C7DC5"/>
    <w:rsid w:val="000D0D2C"/>
    <w:rsid w:val="000D1737"/>
    <w:rsid w:val="000D23F9"/>
    <w:rsid w:val="000D2A72"/>
    <w:rsid w:val="000D3643"/>
    <w:rsid w:val="000D4D95"/>
    <w:rsid w:val="000D5D76"/>
    <w:rsid w:val="000D706E"/>
    <w:rsid w:val="000E0949"/>
    <w:rsid w:val="000E0D3F"/>
    <w:rsid w:val="000E27A1"/>
    <w:rsid w:val="000E5CC0"/>
    <w:rsid w:val="000E7396"/>
    <w:rsid w:val="000F15B2"/>
    <w:rsid w:val="000F1F37"/>
    <w:rsid w:val="000F1FC3"/>
    <w:rsid w:val="000F2A53"/>
    <w:rsid w:val="000F3A3C"/>
    <w:rsid w:val="000F5290"/>
    <w:rsid w:val="000F587F"/>
    <w:rsid w:val="001009C8"/>
    <w:rsid w:val="00100F41"/>
    <w:rsid w:val="00102759"/>
    <w:rsid w:val="00104FB3"/>
    <w:rsid w:val="001069BE"/>
    <w:rsid w:val="001109C4"/>
    <w:rsid w:val="001109F4"/>
    <w:rsid w:val="0011169F"/>
    <w:rsid w:val="00111703"/>
    <w:rsid w:val="00111A51"/>
    <w:rsid w:val="00111DA6"/>
    <w:rsid w:val="001123F9"/>
    <w:rsid w:val="00112C2C"/>
    <w:rsid w:val="00112FCF"/>
    <w:rsid w:val="001135D4"/>
    <w:rsid w:val="001144F6"/>
    <w:rsid w:val="00115ABA"/>
    <w:rsid w:val="0011700A"/>
    <w:rsid w:val="001175DF"/>
    <w:rsid w:val="00117C7A"/>
    <w:rsid w:val="00120986"/>
    <w:rsid w:val="00120C1E"/>
    <w:rsid w:val="00122589"/>
    <w:rsid w:val="00122D91"/>
    <w:rsid w:val="00123662"/>
    <w:rsid w:val="00123A93"/>
    <w:rsid w:val="00124410"/>
    <w:rsid w:val="00124424"/>
    <w:rsid w:val="001245F3"/>
    <w:rsid w:val="00124B9B"/>
    <w:rsid w:val="00125C96"/>
    <w:rsid w:val="001261A6"/>
    <w:rsid w:val="00127035"/>
    <w:rsid w:val="0012712C"/>
    <w:rsid w:val="00130464"/>
    <w:rsid w:val="00130C99"/>
    <w:rsid w:val="00132EE3"/>
    <w:rsid w:val="00133435"/>
    <w:rsid w:val="00141971"/>
    <w:rsid w:val="00143A73"/>
    <w:rsid w:val="00144437"/>
    <w:rsid w:val="00145242"/>
    <w:rsid w:val="00145940"/>
    <w:rsid w:val="0014637D"/>
    <w:rsid w:val="0014658F"/>
    <w:rsid w:val="00151C30"/>
    <w:rsid w:val="00153BB3"/>
    <w:rsid w:val="00154858"/>
    <w:rsid w:val="00154AF4"/>
    <w:rsid w:val="0015501E"/>
    <w:rsid w:val="001557D0"/>
    <w:rsid w:val="00156E86"/>
    <w:rsid w:val="00157E03"/>
    <w:rsid w:val="00161108"/>
    <w:rsid w:val="00161133"/>
    <w:rsid w:val="00161EF0"/>
    <w:rsid w:val="00163024"/>
    <w:rsid w:val="00165066"/>
    <w:rsid w:val="0016549E"/>
    <w:rsid w:val="001667DD"/>
    <w:rsid w:val="001708E6"/>
    <w:rsid w:val="0017335A"/>
    <w:rsid w:val="00173A66"/>
    <w:rsid w:val="00175C09"/>
    <w:rsid w:val="00176542"/>
    <w:rsid w:val="0018167D"/>
    <w:rsid w:val="00182579"/>
    <w:rsid w:val="00182B2B"/>
    <w:rsid w:val="00182C43"/>
    <w:rsid w:val="00183A61"/>
    <w:rsid w:val="00184019"/>
    <w:rsid w:val="00184DDD"/>
    <w:rsid w:val="001877AD"/>
    <w:rsid w:val="00190550"/>
    <w:rsid w:val="00190B4C"/>
    <w:rsid w:val="00191C7F"/>
    <w:rsid w:val="00191DD8"/>
    <w:rsid w:val="00192749"/>
    <w:rsid w:val="001959DB"/>
    <w:rsid w:val="00196557"/>
    <w:rsid w:val="0019659F"/>
    <w:rsid w:val="00196F07"/>
    <w:rsid w:val="00197D2B"/>
    <w:rsid w:val="001A0D3F"/>
    <w:rsid w:val="001A0FE5"/>
    <w:rsid w:val="001A108A"/>
    <w:rsid w:val="001A3345"/>
    <w:rsid w:val="001A3F71"/>
    <w:rsid w:val="001A59DC"/>
    <w:rsid w:val="001A719C"/>
    <w:rsid w:val="001B10E3"/>
    <w:rsid w:val="001B11D7"/>
    <w:rsid w:val="001B3330"/>
    <w:rsid w:val="001B3405"/>
    <w:rsid w:val="001C0790"/>
    <w:rsid w:val="001C2448"/>
    <w:rsid w:val="001C3A42"/>
    <w:rsid w:val="001C46EF"/>
    <w:rsid w:val="001C4EF1"/>
    <w:rsid w:val="001C52E3"/>
    <w:rsid w:val="001C6A9D"/>
    <w:rsid w:val="001C6F94"/>
    <w:rsid w:val="001C7DA3"/>
    <w:rsid w:val="001D0F92"/>
    <w:rsid w:val="001D1F68"/>
    <w:rsid w:val="001D250A"/>
    <w:rsid w:val="001D59A5"/>
    <w:rsid w:val="001D60A0"/>
    <w:rsid w:val="001D776E"/>
    <w:rsid w:val="001E036E"/>
    <w:rsid w:val="001E2550"/>
    <w:rsid w:val="001E43B5"/>
    <w:rsid w:val="001E54CE"/>
    <w:rsid w:val="001E6C1B"/>
    <w:rsid w:val="001F0624"/>
    <w:rsid w:val="001F15DA"/>
    <w:rsid w:val="001F1B62"/>
    <w:rsid w:val="001F2AE2"/>
    <w:rsid w:val="001F41B1"/>
    <w:rsid w:val="00203F3F"/>
    <w:rsid w:val="0020447B"/>
    <w:rsid w:val="00207EE6"/>
    <w:rsid w:val="00210A40"/>
    <w:rsid w:val="00210BAE"/>
    <w:rsid w:val="002112EF"/>
    <w:rsid w:val="00211C06"/>
    <w:rsid w:val="00214344"/>
    <w:rsid w:val="0021438A"/>
    <w:rsid w:val="00215AC2"/>
    <w:rsid w:val="00216608"/>
    <w:rsid w:val="00216A3D"/>
    <w:rsid w:val="00216F0A"/>
    <w:rsid w:val="002172AE"/>
    <w:rsid w:val="00217685"/>
    <w:rsid w:val="002237B7"/>
    <w:rsid w:val="00223DB7"/>
    <w:rsid w:val="00225647"/>
    <w:rsid w:val="002309AD"/>
    <w:rsid w:val="002309E7"/>
    <w:rsid w:val="00231238"/>
    <w:rsid w:val="00232C45"/>
    <w:rsid w:val="002346FB"/>
    <w:rsid w:val="00234F68"/>
    <w:rsid w:val="00234F70"/>
    <w:rsid w:val="00236E63"/>
    <w:rsid w:val="002403B5"/>
    <w:rsid w:val="00240586"/>
    <w:rsid w:val="00240993"/>
    <w:rsid w:val="00241173"/>
    <w:rsid w:val="00241698"/>
    <w:rsid w:val="00244C2E"/>
    <w:rsid w:val="00244C85"/>
    <w:rsid w:val="0024617C"/>
    <w:rsid w:val="00251B40"/>
    <w:rsid w:val="00251F69"/>
    <w:rsid w:val="00252B33"/>
    <w:rsid w:val="00253BEF"/>
    <w:rsid w:val="002558F8"/>
    <w:rsid w:val="00255F87"/>
    <w:rsid w:val="00257D34"/>
    <w:rsid w:val="00261078"/>
    <w:rsid w:val="00261F19"/>
    <w:rsid w:val="0026236B"/>
    <w:rsid w:val="00263723"/>
    <w:rsid w:val="00266FBD"/>
    <w:rsid w:val="00267782"/>
    <w:rsid w:val="00267DC1"/>
    <w:rsid w:val="00267FB8"/>
    <w:rsid w:val="0027177B"/>
    <w:rsid w:val="00273375"/>
    <w:rsid w:val="002753C5"/>
    <w:rsid w:val="00276A8B"/>
    <w:rsid w:val="0027791F"/>
    <w:rsid w:val="0027792C"/>
    <w:rsid w:val="00277F24"/>
    <w:rsid w:val="00280180"/>
    <w:rsid w:val="00280EED"/>
    <w:rsid w:val="00281D36"/>
    <w:rsid w:val="0028255D"/>
    <w:rsid w:val="0028261D"/>
    <w:rsid w:val="00282F0C"/>
    <w:rsid w:val="002833C4"/>
    <w:rsid w:val="00283B31"/>
    <w:rsid w:val="002853AF"/>
    <w:rsid w:val="002853D9"/>
    <w:rsid w:val="002872DE"/>
    <w:rsid w:val="002909D4"/>
    <w:rsid w:val="00290A3B"/>
    <w:rsid w:val="00292116"/>
    <w:rsid w:val="0029722C"/>
    <w:rsid w:val="002978B6"/>
    <w:rsid w:val="002A1679"/>
    <w:rsid w:val="002A2BB8"/>
    <w:rsid w:val="002A2BE9"/>
    <w:rsid w:val="002A302F"/>
    <w:rsid w:val="002A583F"/>
    <w:rsid w:val="002A5BEB"/>
    <w:rsid w:val="002A6EE1"/>
    <w:rsid w:val="002A73FD"/>
    <w:rsid w:val="002A7913"/>
    <w:rsid w:val="002B0081"/>
    <w:rsid w:val="002B0739"/>
    <w:rsid w:val="002B2FE3"/>
    <w:rsid w:val="002B341E"/>
    <w:rsid w:val="002B4786"/>
    <w:rsid w:val="002B614A"/>
    <w:rsid w:val="002C03EE"/>
    <w:rsid w:val="002C05DE"/>
    <w:rsid w:val="002C081C"/>
    <w:rsid w:val="002C1A8D"/>
    <w:rsid w:val="002C2C6D"/>
    <w:rsid w:val="002C2D4A"/>
    <w:rsid w:val="002C2E9D"/>
    <w:rsid w:val="002C459C"/>
    <w:rsid w:val="002C5953"/>
    <w:rsid w:val="002C5EE5"/>
    <w:rsid w:val="002C6EF0"/>
    <w:rsid w:val="002D02A6"/>
    <w:rsid w:val="002D1AA7"/>
    <w:rsid w:val="002D2500"/>
    <w:rsid w:val="002D3A79"/>
    <w:rsid w:val="002D4772"/>
    <w:rsid w:val="002D5655"/>
    <w:rsid w:val="002D67CE"/>
    <w:rsid w:val="002D67EE"/>
    <w:rsid w:val="002D7873"/>
    <w:rsid w:val="002E0C68"/>
    <w:rsid w:val="002E3207"/>
    <w:rsid w:val="002E4B73"/>
    <w:rsid w:val="002E61B5"/>
    <w:rsid w:val="002E7519"/>
    <w:rsid w:val="002F34E3"/>
    <w:rsid w:val="002F3529"/>
    <w:rsid w:val="002F56B0"/>
    <w:rsid w:val="002F579B"/>
    <w:rsid w:val="002F77D1"/>
    <w:rsid w:val="003002BC"/>
    <w:rsid w:val="003004A6"/>
    <w:rsid w:val="003007C4"/>
    <w:rsid w:val="00304AE9"/>
    <w:rsid w:val="00305557"/>
    <w:rsid w:val="00305AAB"/>
    <w:rsid w:val="0030708C"/>
    <w:rsid w:val="0030750E"/>
    <w:rsid w:val="00307A30"/>
    <w:rsid w:val="00310783"/>
    <w:rsid w:val="00312822"/>
    <w:rsid w:val="00312F77"/>
    <w:rsid w:val="00313544"/>
    <w:rsid w:val="0031414C"/>
    <w:rsid w:val="00314367"/>
    <w:rsid w:val="00314778"/>
    <w:rsid w:val="00316B32"/>
    <w:rsid w:val="00317ED1"/>
    <w:rsid w:val="00321A89"/>
    <w:rsid w:val="00323058"/>
    <w:rsid w:val="003236E6"/>
    <w:rsid w:val="00324D30"/>
    <w:rsid w:val="00325D6B"/>
    <w:rsid w:val="00326707"/>
    <w:rsid w:val="0032695A"/>
    <w:rsid w:val="00327143"/>
    <w:rsid w:val="003272CA"/>
    <w:rsid w:val="0032779E"/>
    <w:rsid w:val="00327F9A"/>
    <w:rsid w:val="00330269"/>
    <w:rsid w:val="003304C1"/>
    <w:rsid w:val="00332159"/>
    <w:rsid w:val="0034023D"/>
    <w:rsid w:val="00340D89"/>
    <w:rsid w:val="00341BF0"/>
    <w:rsid w:val="00341D7E"/>
    <w:rsid w:val="00345E72"/>
    <w:rsid w:val="0035189E"/>
    <w:rsid w:val="00351A35"/>
    <w:rsid w:val="00351CC5"/>
    <w:rsid w:val="00352945"/>
    <w:rsid w:val="00352EA1"/>
    <w:rsid w:val="00353441"/>
    <w:rsid w:val="00353A6C"/>
    <w:rsid w:val="00355708"/>
    <w:rsid w:val="00355A69"/>
    <w:rsid w:val="003564C5"/>
    <w:rsid w:val="00356DD3"/>
    <w:rsid w:val="003603E8"/>
    <w:rsid w:val="00360E27"/>
    <w:rsid w:val="00361000"/>
    <w:rsid w:val="0036183C"/>
    <w:rsid w:val="00361D29"/>
    <w:rsid w:val="0036242C"/>
    <w:rsid w:val="003626F9"/>
    <w:rsid w:val="00362799"/>
    <w:rsid w:val="00362A78"/>
    <w:rsid w:val="003648E4"/>
    <w:rsid w:val="00364FD5"/>
    <w:rsid w:val="00366CBA"/>
    <w:rsid w:val="00370171"/>
    <w:rsid w:val="00371DE4"/>
    <w:rsid w:val="003720C5"/>
    <w:rsid w:val="003732B8"/>
    <w:rsid w:val="00374206"/>
    <w:rsid w:val="003744A6"/>
    <w:rsid w:val="00376567"/>
    <w:rsid w:val="00376D7A"/>
    <w:rsid w:val="0038038A"/>
    <w:rsid w:val="00380E19"/>
    <w:rsid w:val="0038157B"/>
    <w:rsid w:val="00381DD9"/>
    <w:rsid w:val="00381F0F"/>
    <w:rsid w:val="003832AC"/>
    <w:rsid w:val="00385490"/>
    <w:rsid w:val="00386232"/>
    <w:rsid w:val="00386859"/>
    <w:rsid w:val="00386A22"/>
    <w:rsid w:val="003924D1"/>
    <w:rsid w:val="003927CC"/>
    <w:rsid w:val="00392A13"/>
    <w:rsid w:val="003944C8"/>
    <w:rsid w:val="0039755F"/>
    <w:rsid w:val="003A03B7"/>
    <w:rsid w:val="003A1162"/>
    <w:rsid w:val="003A1B18"/>
    <w:rsid w:val="003A2C38"/>
    <w:rsid w:val="003A3059"/>
    <w:rsid w:val="003A5538"/>
    <w:rsid w:val="003A62D3"/>
    <w:rsid w:val="003A6946"/>
    <w:rsid w:val="003B0BDF"/>
    <w:rsid w:val="003B14A5"/>
    <w:rsid w:val="003B4BEC"/>
    <w:rsid w:val="003B5518"/>
    <w:rsid w:val="003B624E"/>
    <w:rsid w:val="003B79CE"/>
    <w:rsid w:val="003C0AA1"/>
    <w:rsid w:val="003C1306"/>
    <w:rsid w:val="003C1FD5"/>
    <w:rsid w:val="003C204F"/>
    <w:rsid w:val="003C3537"/>
    <w:rsid w:val="003C526F"/>
    <w:rsid w:val="003C56BD"/>
    <w:rsid w:val="003C61A6"/>
    <w:rsid w:val="003C6A8E"/>
    <w:rsid w:val="003C730F"/>
    <w:rsid w:val="003D03BE"/>
    <w:rsid w:val="003D38A8"/>
    <w:rsid w:val="003D6A8E"/>
    <w:rsid w:val="003E0E16"/>
    <w:rsid w:val="003E14D0"/>
    <w:rsid w:val="003E27DA"/>
    <w:rsid w:val="003E6EA6"/>
    <w:rsid w:val="003E7979"/>
    <w:rsid w:val="003F0B13"/>
    <w:rsid w:val="003F10A2"/>
    <w:rsid w:val="003F2B95"/>
    <w:rsid w:val="003F32AE"/>
    <w:rsid w:val="003F36BB"/>
    <w:rsid w:val="003F3BE5"/>
    <w:rsid w:val="003F44FA"/>
    <w:rsid w:val="003F57ED"/>
    <w:rsid w:val="003F6254"/>
    <w:rsid w:val="003F6910"/>
    <w:rsid w:val="003F77C1"/>
    <w:rsid w:val="00401C43"/>
    <w:rsid w:val="004020D6"/>
    <w:rsid w:val="0040456D"/>
    <w:rsid w:val="00404754"/>
    <w:rsid w:val="00406F63"/>
    <w:rsid w:val="00407355"/>
    <w:rsid w:val="004079FC"/>
    <w:rsid w:val="004102A9"/>
    <w:rsid w:val="00410F44"/>
    <w:rsid w:val="00411140"/>
    <w:rsid w:val="0041115A"/>
    <w:rsid w:val="00412100"/>
    <w:rsid w:val="00414CB5"/>
    <w:rsid w:val="004175FC"/>
    <w:rsid w:val="004204D5"/>
    <w:rsid w:val="00421041"/>
    <w:rsid w:val="00422987"/>
    <w:rsid w:val="00423EB7"/>
    <w:rsid w:val="00426176"/>
    <w:rsid w:val="0042627A"/>
    <w:rsid w:val="00427C4F"/>
    <w:rsid w:val="00430587"/>
    <w:rsid w:val="00430D16"/>
    <w:rsid w:val="00432D04"/>
    <w:rsid w:val="00436CB4"/>
    <w:rsid w:val="004400FD"/>
    <w:rsid w:val="00440256"/>
    <w:rsid w:val="00442379"/>
    <w:rsid w:val="00442B42"/>
    <w:rsid w:val="00442F44"/>
    <w:rsid w:val="004440A6"/>
    <w:rsid w:val="00444813"/>
    <w:rsid w:val="00445C7B"/>
    <w:rsid w:val="004463AA"/>
    <w:rsid w:val="0044752B"/>
    <w:rsid w:val="004500F0"/>
    <w:rsid w:val="00453908"/>
    <w:rsid w:val="00454A8B"/>
    <w:rsid w:val="00455278"/>
    <w:rsid w:val="00455397"/>
    <w:rsid w:val="004564DD"/>
    <w:rsid w:val="0045681D"/>
    <w:rsid w:val="00460142"/>
    <w:rsid w:val="004602E8"/>
    <w:rsid w:val="00460BE5"/>
    <w:rsid w:val="0046310F"/>
    <w:rsid w:val="00463517"/>
    <w:rsid w:val="00463DEB"/>
    <w:rsid w:val="00464AB7"/>
    <w:rsid w:val="00470F63"/>
    <w:rsid w:val="00471D20"/>
    <w:rsid w:val="004731CE"/>
    <w:rsid w:val="00473444"/>
    <w:rsid w:val="00474499"/>
    <w:rsid w:val="0047573F"/>
    <w:rsid w:val="00476137"/>
    <w:rsid w:val="00480270"/>
    <w:rsid w:val="00480C4A"/>
    <w:rsid w:val="00481075"/>
    <w:rsid w:val="00482026"/>
    <w:rsid w:val="00482382"/>
    <w:rsid w:val="00482529"/>
    <w:rsid w:val="00482901"/>
    <w:rsid w:val="00483400"/>
    <w:rsid w:val="004841AD"/>
    <w:rsid w:val="00484469"/>
    <w:rsid w:val="00484AFF"/>
    <w:rsid w:val="00485A8C"/>
    <w:rsid w:val="0048721B"/>
    <w:rsid w:val="004872BA"/>
    <w:rsid w:val="00487315"/>
    <w:rsid w:val="00490B06"/>
    <w:rsid w:val="00491547"/>
    <w:rsid w:val="0049181C"/>
    <w:rsid w:val="00492BB1"/>
    <w:rsid w:val="0049368E"/>
    <w:rsid w:val="00494BD3"/>
    <w:rsid w:val="00495137"/>
    <w:rsid w:val="00495ABE"/>
    <w:rsid w:val="0049642C"/>
    <w:rsid w:val="004A0FB3"/>
    <w:rsid w:val="004A10FC"/>
    <w:rsid w:val="004A193F"/>
    <w:rsid w:val="004A1D13"/>
    <w:rsid w:val="004A1E49"/>
    <w:rsid w:val="004A3543"/>
    <w:rsid w:val="004A7A34"/>
    <w:rsid w:val="004B04D6"/>
    <w:rsid w:val="004B0523"/>
    <w:rsid w:val="004B192D"/>
    <w:rsid w:val="004B3BCB"/>
    <w:rsid w:val="004B407B"/>
    <w:rsid w:val="004B5A65"/>
    <w:rsid w:val="004B747C"/>
    <w:rsid w:val="004C0AE9"/>
    <w:rsid w:val="004C0E34"/>
    <w:rsid w:val="004C174A"/>
    <w:rsid w:val="004C1B3E"/>
    <w:rsid w:val="004C2431"/>
    <w:rsid w:val="004C6690"/>
    <w:rsid w:val="004D07D7"/>
    <w:rsid w:val="004D09EE"/>
    <w:rsid w:val="004D2771"/>
    <w:rsid w:val="004D27CB"/>
    <w:rsid w:val="004D3015"/>
    <w:rsid w:val="004D32A1"/>
    <w:rsid w:val="004E12CF"/>
    <w:rsid w:val="004E1BB3"/>
    <w:rsid w:val="004E4102"/>
    <w:rsid w:val="004E5BBF"/>
    <w:rsid w:val="004F0108"/>
    <w:rsid w:val="004F1200"/>
    <w:rsid w:val="004F1CBF"/>
    <w:rsid w:val="004F25E0"/>
    <w:rsid w:val="004F4445"/>
    <w:rsid w:val="004F451B"/>
    <w:rsid w:val="004F4A41"/>
    <w:rsid w:val="004F4E06"/>
    <w:rsid w:val="004F563C"/>
    <w:rsid w:val="004F60F4"/>
    <w:rsid w:val="004F71BE"/>
    <w:rsid w:val="00501669"/>
    <w:rsid w:val="00502E31"/>
    <w:rsid w:val="00503005"/>
    <w:rsid w:val="00503A86"/>
    <w:rsid w:val="005070EC"/>
    <w:rsid w:val="00510AF9"/>
    <w:rsid w:val="00512291"/>
    <w:rsid w:val="00513B26"/>
    <w:rsid w:val="0051532D"/>
    <w:rsid w:val="00515DFE"/>
    <w:rsid w:val="005169CE"/>
    <w:rsid w:val="005179F0"/>
    <w:rsid w:val="00517C58"/>
    <w:rsid w:val="00520171"/>
    <w:rsid w:val="00520ED6"/>
    <w:rsid w:val="005216C5"/>
    <w:rsid w:val="00521B17"/>
    <w:rsid w:val="00522383"/>
    <w:rsid w:val="00526A34"/>
    <w:rsid w:val="00526C55"/>
    <w:rsid w:val="00534F0D"/>
    <w:rsid w:val="0053585D"/>
    <w:rsid w:val="00537F86"/>
    <w:rsid w:val="005404CE"/>
    <w:rsid w:val="0054126E"/>
    <w:rsid w:val="00542494"/>
    <w:rsid w:val="00542698"/>
    <w:rsid w:val="0054294A"/>
    <w:rsid w:val="00542FD0"/>
    <w:rsid w:val="005432D1"/>
    <w:rsid w:val="00547900"/>
    <w:rsid w:val="00547CB7"/>
    <w:rsid w:val="005501DA"/>
    <w:rsid w:val="0055032A"/>
    <w:rsid w:val="005508DA"/>
    <w:rsid w:val="00552ED9"/>
    <w:rsid w:val="00560BE1"/>
    <w:rsid w:val="0056202D"/>
    <w:rsid w:val="005620B6"/>
    <w:rsid w:val="0056236A"/>
    <w:rsid w:val="00564B95"/>
    <w:rsid w:val="005651BB"/>
    <w:rsid w:val="00565CCD"/>
    <w:rsid w:val="00567E44"/>
    <w:rsid w:val="00576EC5"/>
    <w:rsid w:val="005800C8"/>
    <w:rsid w:val="00580497"/>
    <w:rsid w:val="00580CF7"/>
    <w:rsid w:val="00581ED7"/>
    <w:rsid w:val="00582EB9"/>
    <w:rsid w:val="00584F9B"/>
    <w:rsid w:val="00591D4C"/>
    <w:rsid w:val="005926F8"/>
    <w:rsid w:val="00593E48"/>
    <w:rsid w:val="00594CD7"/>
    <w:rsid w:val="00594D49"/>
    <w:rsid w:val="0059604C"/>
    <w:rsid w:val="005961C0"/>
    <w:rsid w:val="005963EF"/>
    <w:rsid w:val="005964F0"/>
    <w:rsid w:val="00596989"/>
    <w:rsid w:val="005A1286"/>
    <w:rsid w:val="005A33A6"/>
    <w:rsid w:val="005A443D"/>
    <w:rsid w:val="005A7120"/>
    <w:rsid w:val="005B1433"/>
    <w:rsid w:val="005B2C27"/>
    <w:rsid w:val="005B32CA"/>
    <w:rsid w:val="005B4891"/>
    <w:rsid w:val="005B4F4D"/>
    <w:rsid w:val="005B5272"/>
    <w:rsid w:val="005B6805"/>
    <w:rsid w:val="005C014C"/>
    <w:rsid w:val="005C167A"/>
    <w:rsid w:val="005C220D"/>
    <w:rsid w:val="005C2A66"/>
    <w:rsid w:val="005C6B15"/>
    <w:rsid w:val="005C778C"/>
    <w:rsid w:val="005D16B5"/>
    <w:rsid w:val="005D2ECD"/>
    <w:rsid w:val="005D3427"/>
    <w:rsid w:val="005D45CC"/>
    <w:rsid w:val="005D5E45"/>
    <w:rsid w:val="005D61EF"/>
    <w:rsid w:val="005D67B0"/>
    <w:rsid w:val="005D6B8F"/>
    <w:rsid w:val="005D7B88"/>
    <w:rsid w:val="005E0FDD"/>
    <w:rsid w:val="005E2C2E"/>
    <w:rsid w:val="005E2CB9"/>
    <w:rsid w:val="005E38A8"/>
    <w:rsid w:val="005E39CD"/>
    <w:rsid w:val="005E76FC"/>
    <w:rsid w:val="005F0699"/>
    <w:rsid w:val="005F1F78"/>
    <w:rsid w:val="005F2FB2"/>
    <w:rsid w:val="005F5AE1"/>
    <w:rsid w:val="005F7D29"/>
    <w:rsid w:val="00600990"/>
    <w:rsid w:val="00601E21"/>
    <w:rsid w:val="00602D38"/>
    <w:rsid w:val="00602DCA"/>
    <w:rsid w:val="0060354A"/>
    <w:rsid w:val="006046E1"/>
    <w:rsid w:val="00604F0C"/>
    <w:rsid w:val="00605396"/>
    <w:rsid w:val="0060541B"/>
    <w:rsid w:val="006068EB"/>
    <w:rsid w:val="00607D61"/>
    <w:rsid w:val="006107CA"/>
    <w:rsid w:val="006121C3"/>
    <w:rsid w:val="00615382"/>
    <w:rsid w:val="00620286"/>
    <w:rsid w:val="0062029F"/>
    <w:rsid w:val="006209EC"/>
    <w:rsid w:val="0062122C"/>
    <w:rsid w:val="0062163F"/>
    <w:rsid w:val="0062654C"/>
    <w:rsid w:val="00630078"/>
    <w:rsid w:val="0063030C"/>
    <w:rsid w:val="006319F5"/>
    <w:rsid w:val="00632086"/>
    <w:rsid w:val="00632D44"/>
    <w:rsid w:val="00634449"/>
    <w:rsid w:val="00635169"/>
    <w:rsid w:val="006353DA"/>
    <w:rsid w:val="0063703F"/>
    <w:rsid w:val="00640906"/>
    <w:rsid w:val="00640BDA"/>
    <w:rsid w:val="00641B21"/>
    <w:rsid w:val="00641DC1"/>
    <w:rsid w:val="00641E8A"/>
    <w:rsid w:val="006422C6"/>
    <w:rsid w:val="006448D8"/>
    <w:rsid w:val="00644BAE"/>
    <w:rsid w:val="00645D85"/>
    <w:rsid w:val="00651096"/>
    <w:rsid w:val="00651826"/>
    <w:rsid w:val="00655719"/>
    <w:rsid w:val="00656C83"/>
    <w:rsid w:val="006617F3"/>
    <w:rsid w:val="00662C43"/>
    <w:rsid w:val="00662CC8"/>
    <w:rsid w:val="006636DE"/>
    <w:rsid w:val="006640C3"/>
    <w:rsid w:val="006659E8"/>
    <w:rsid w:val="00665ABF"/>
    <w:rsid w:val="00665DA6"/>
    <w:rsid w:val="0066613D"/>
    <w:rsid w:val="00667615"/>
    <w:rsid w:val="006678F0"/>
    <w:rsid w:val="006700E3"/>
    <w:rsid w:val="00670872"/>
    <w:rsid w:val="00672C76"/>
    <w:rsid w:val="0067338A"/>
    <w:rsid w:val="00673A60"/>
    <w:rsid w:val="00674C8D"/>
    <w:rsid w:val="006762DD"/>
    <w:rsid w:val="00676B2A"/>
    <w:rsid w:val="00677D4F"/>
    <w:rsid w:val="0068066F"/>
    <w:rsid w:val="006809F2"/>
    <w:rsid w:val="00680F85"/>
    <w:rsid w:val="00681FB7"/>
    <w:rsid w:val="00683087"/>
    <w:rsid w:val="006834FC"/>
    <w:rsid w:val="00683EA1"/>
    <w:rsid w:val="0068473B"/>
    <w:rsid w:val="00687285"/>
    <w:rsid w:val="00687661"/>
    <w:rsid w:val="00691C1B"/>
    <w:rsid w:val="006926CD"/>
    <w:rsid w:val="00694F21"/>
    <w:rsid w:val="006958DF"/>
    <w:rsid w:val="006A3A37"/>
    <w:rsid w:val="006A4140"/>
    <w:rsid w:val="006A7D26"/>
    <w:rsid w:val="006B116E"/>
    <w:rsid w:val="006B25CE"/>
    <w:rsid w:val="006B411D"/>
    <w:rsid w:val="006B4E4B"/>
    <w:rsid w:val="006B635F"/>
    <w:rsid w:val="006B6CFC"/>
    <w:rsid w:val="006B6EBA"/>
    <w:rsid w:val="006B7E14"/>
    <w:rsid w:val="006C0969"/>
    <w:rsid w:val="006C12D5"/>
    <w:rsid w:val="006C17D8"/>
    <w:rsid w:val="006C605C"/>
    <w:rsid w:val="006C7E00"/>
    <w:rsid w:val="006D17B8"/>
    <w:rsid w:val="006D28B5"/>
    <w:rsid w:val="006D3624"/>
    <w:rsid w:val="006D3936"/>
    <w:rsid w:val="006D3C31"/>
    <w:rsid w:val="006D3C47"/>
    <w:rsid w:val="006D4200"/>
    <w:rsid w:val="006D4680"/>
    <w:rsid w:val="006D5A56"/>
    <w:rsid w:val="006D5DFD"/>
    <w:rsid w:val="006D6E4F"/>
    <w:rsid w:val="006D7987"/>
    <w:rsid w:val="006E1AA2"/>
    <w:rsid w:val="006E23C9"/>
    <w:rsid w:val="006E383B"/>
    <w:rsid w:val="006E401F"/>
    <w:rsid w:val="006E7AB4"/>
    <w:rsid w:val="006E7BE2"/>
    <w:rsid w:val="006F0F5F"/>
    <w:rsid w:val="006F27AA"/>
    <w:rsid w:val="006F2A0A"/>
    <w:rsid w:val="006F3420"/>
    <w:rsid w:val="006F4588"/>
    <w:rsid w:val="006F651D"/>
    <w:rsid w:val="006F7A7C"/>
    <w:rsid w:val="00701915"/>
    <w:rsid w:val="007028AE"/>
    <w:rsid w:val="00704A0A"/>
    <w:rsid w:val="00707615"/>
    <w:rsid w:val="00710BAE"/>
    <w:rsid w:val="00711368"/>
    <w:rsid w:val="0071146D"/>
    <w:rsid w:val="007128AD"/>
    <w:rsid w:val="007133EA"/>
    <w:rsid w:val="007139A2"/>
    <w:rsid w:val="00713AE2"/>
    <w:rsid w:val="00714E88"/>
    <w:rsid w:val="007164C8"/>
    <w:rsid w:val="007170DD"/>
    <w:rsid w:val="007177D1"/>
    <w:rsid w:val="007204DD"/>
    <w:rsid w:val="0072116B"/>
    <w:rsid w:val="0072254D"/>
    <w:rsid w:val="00723100"/>
    <w:rsid w:val="00725D42"/>
    <w:rsid w:val="00727191"/>
    <w:rsid w:val="00727896"/>
    <w:rsid w:val="007314FA"/>
    <w:rsid w:val="00731D2E"/>
    <w:rsid w:val="00732015"/>
    <w:rsid w:val="00733CEA"/>
    <w:rsid w:val="0074068D"/>
    <w:rsid w:val="0074076C"/>
    <w:rsid w:val="00741C72"/>
    <w:rsid w:val="00741ED7"/>
    <w:rsid w:val="00743C65"/>
    <w:rsid w:val="007440C5"/>
    <w:rsid w:val="00744958"/>
    <w:rsid w:val="00745E72"/>
    <w:rsid w:val="00747B4B"/>
    <w:rsid w:val="00750001"/>
    <w:rsid w:val="00750079"/>
    <w:rsid w:val="00750B6E"/>
    <w:rsid w:val="00752636"/>
    <w:rsid w:val="00753BA8"/>
    <w:rsid w:val="00755242"/>
    <w:rsid w:val="00756909"/>
    <w:rsid w:val="00760B98"/>
    <w:rsid w:val="00761FCA"/>
    <w:rsid w:val="0076261B"/>
    <w:rsid w:val="00762D0C"/>
    <w:rsid w:val="00763013"/>
    <w:rsid w:val="00763AAA"/>
    <w:rsid w:val="007643F7"/>
    <w:rsid w:val="007649E3"/>
    <w:rsid w:val="007670BB"/>
    <w:rsid w:val="007704FC"/>
    <w:rsid w:val="007706DC"/>
    <w:rsid w:val="00771074"/>
    <w:rsid w:val="00771B60"/>
    <w:rsid w:val="00772B5A"/>
    <w:rsid w:val="00772E4A"/>
    <w:rsid w:val="007730CA"/>
    <w:rsid w:val="0077426D"/>
    <w:rsid w:val="00780B33"/>
    <w:rsid w:val="00781DE5"/>
    <w:rsid w:val="007832B4"/>
    <w:rsid w:val="007837E9"/>
    <w:rsid w:val="00783EBE"/>
    <w:rsid w:val="0078430B"/>
    <w:rsid w:val="007863A2"/>
    <w:rsid w:val="007865E2"/>
    <w:rsid w:val="0078683F"/>
    <w:rsid w:val="00790E2A"/>
    <w:rsid w:val="007912CB"/>
    <w:rsid w:val="00793103"/>
    <w:rsid w:val="0079335D"/>
    <w:rsid w:val="00794C56"/>
    <w:rsid w:val="00795F2A"/>
    <w:rsid w:val="00796DA2"/>
    <w:rsid w:val="00796FDA"/>
    <w:rsid w:val="007977E6"/>
    <w:rsid w:val="00797A71"/>
    <w:rsid w:val="007A0D13"/>
    <w:rsid w:val="007A0EE9"/>
    <w:rsid w:val="007A17E5"/>
    <w:rsid w:val="007A7CC2"/>
    <w:rsid w:val="007B0AF5"/>
    <w:rsid w:val="007B18FD"/>
    <w:rsid w:val="007B2258"/>
    <w:rsid w:val="007B2A5A"/>
    <w:rsid w:val="007B5444"/>
    <w:rsid w:val="007B5AAF"/>
    <w:rsid w:val="007B6ADC"/>
    <w:rsid w:val="007C172F"/>
    <w:rsid w:val="007C1842"/>
    <w:rsid w:val="007C1BC0"/>
    <w:rsid w:val="007C1F0B"/>
    <w:rsid w:val="007C323D"/>
    <w:rsid w:val="007C36CD"/>
    <w:rsid w:val="007C4B34"/>
    <w:rsid w:val="007C5ACC"/>
    <w:rsid w:val="007C6DB2"/>
    <w:rsid w:val="007D0B97"/>
    <w:rsid w:val="007D14C5"/>
    <w:rsid w:val="007D2350"/>
    <w:rsid w:val="007D33FB"/>
    <w:rsid w:val="007D4609"/>
    <w:rsid w:val="007D531C"/>
    <w:rsid w:val="007D54A2"/>
    <w:rsid w:val="007D748D"/>
    <w:rsid w:val="007D7F71"/>
    <w:rsid w:val="007E02EA"/>
    <w:rsid w:val="007E03E7"/>
    <w:rsid w:val="007E0FDE"/>
    <w:rsid w:val="007E25A7"/>
    <w:rsid w:val="007E3107"/>
    <w:rsid w:val="007E547D"/>
    <w:rsid w:val="007E5B53"/>
    <w:rsid w:val="007E71EA"/>
    <w:rsid w:val="007F0BBC"/>
    <w:rsid w:val="007F0FFC"/>
    <w:rsid w:val="007F2D2D"/>
    <w:rsid w:val="007F37C3"/>
    <w:rsid w:val="007F3BB2"/>
    <w:rsid w:val="007F44CB"/>
    <w:rsid w:val="007F4DB6"/>
    <w:rsid w:val="007F68C4"/>
    <w:rsid w:val="00801B94"/>
    <w:rsid w:val="008032FD"/>
    <w:rsid w:val="0080350E"/>
    <w:rsid w:val="00803C0A"/>
    <w:rsid w:val="00804D9A"/>
    <w:rsid w:val="00806CE1"/>
    <w:rsid w:val="008079C1"/>
    <w:rsid w:val="008105F2"/>
    <w:rsid w:val="00811153"/>
    <w:rsid w:val="00814F4F"/>
    <w:rsid w:val="008151DA"/>
    <w:rsid w:val="00815C41"/>
    <w:rsid w:val="0081663F"/>
    <w:rsid w:val="00820692"/>
    <w:rsid w:val="0082088B"/>
    <w:rsid w:val="00820C77"/>
    <w:rsid w:val="00820D9D"/>
    <w:rsid w:val="008211EF"/>
    <w:rsid w:val="0082255C"/>
    <w:rsid w:val="00822A8C"/>
    <w:rsid w:val="00823A06"/>
    <w:rsid w:val="0082463D"/>
    <w:rsid w:val="008255F1"/>
    <w:rsid w:val="0082585A"/>
    <w:rsid w:val="00825BCA"/>
    <w:rsid w:val="008264CC"/>
    <w:rsid w:val="008275BA"/>
    <w:rsid w:val="00830540"/>
    <w:rsid w:val="0083125C"/>
    <w:rsid w:val="008318D9"/>
    <w:rsid w:val="008321DA"/>
    <w:rsid w:val="008324D2"/>
    <w:rsid w:val="00832EAC"/>
    <w:rsid w:val="008338AE"/>
    <w:rsid w:val="00834517"/>
    <w:rsid w:val="00834595"/>
    <w:rsid w:val="0083460F"/>
    <w:rsid w:val="008346CA"/>
    <w:rsid w:val="00834816"/>
    <w:rsid w:val="0083564E"/>
    <w:rsid w:val="00837BD5"/>
    <w:rsid w:val="00840100"/>
    <w:rsid w:val="00842939"/>
    <w:rsid w:val="00843A18"/>
    <w:rsid w:val="00843EAA"/>
    <w:rsid w:val="0084526A"/>
    <w:rsid w:val="00847BC9"/>
    <w:rsid w:val="0085194A"/>
    <w:rsid w:val="00851F70"/>
    <w:rsid w:val="008525F1"/>
    <w:rsid w:val="00852A37"/>
    <w:rsid w:val="00852B76"/>
    <w:rsid w:val="00852D0D"/>
    <w:rsid w:val="008531D7"/>
    <w:rsid w:val="0085373B"/>
    <w:rsid w:val="00860B9A"/>
    <w:rsid w:val="00861A24"/>
    <w:rsid w:val="00862D78"/>
    <w:rsid w:val="0086366D"/>
    <w:rsid w:val="008639E9"/>
    <w:rsid w:val="00866F5A"/>
    <w:rsid w:val="00867142"/>
    <w:rsid w:val="008722FC"/>
    <w:rsid w:val="00873641"/>
    <w:rsid w:val="00873BED"/>
    <w:rsid w:val="00873E3F"/>
    <w:rsid w:val="008759F0"/>
    <w:rsid w:val="0087617D"/>
    <w:rsid w:val="00876C6C"/>
    <w:rsid w:val="00877C3D"/>
    <w:rsid w:val="008812E1"/>
    <w:rsid w:val="00883480"/>
    <w:rsid w:val="00883C03"/>
    <w:rsid w:val="0088479D"/>
    <w:rsid w:val="008852B2"/>
    <w:rsid w:val="00886386"/>
    <w:rsid w:val="0089196C"/>
    <w:rsid w:val="00892F1B"/>
    <w:rsid w:val="00893182"/>
    <w:rsid w:val="00894434"/>
    <w:rsid w:val="008952FC"/>
    <w:rsid w:val="00895A90"/>
    <w:rsid w:val="00897798"/>
    <w:rsid w:val="008A5A7E"/>
    <w:rsid w:val="008B3815"/>
    <w:rsid w:val="008B385A"/>
    <w:rsid w:val="008B39C8"/>
    <w:rsid w:val="008B4350"/>
    <w:rsid w:val="008B6716"/>
    <w:rsid w:val="008B7292"/>
    <w:rsid w:val="008B768A"/>
    <w:rsid w:val="008C0265"/>
    <w:rsid w:val="008C0A33"/>
    <w:rsid w:val="008C0F03"/>
    <w:rsid w:val="008C1027"/>
    <w:rsid w:val="008C1D43"/>
    <w:rsid w:val="008C242E"/>
    <w:rsid w:val="008C2C95"/>
    <w:rsid w:val="008C3118"/>
    <w:rsid w:val="008C352B"/>
    <w:rsid w:val="008C3C06"/>
    <w:rsid w:val="008C5173"/>
    <w:rsid w:val="008C5400"/>
    <w:rsid w:val="008C6608"/>
    <w:rsid w:val="008C6E25"/>
    <w:rsid w:val="008C6F30"/>
    <w:rsid w:val="008C7379"/>
    <w:rsid w:val="008C772D"/>
    <w:rsid w:val="008D0FFE"/>
    <w:rsid w:val="008D214B"/>
    <w:rsid w:val="008D25EA"/>
    <w:rsid w:val="008D56D7"/>
    <w:rsid w:val="008D6212"/>
    <w:rsid w:val="008D67AB"/>
    <w:rsid w:val="008D7118"/>
    <w:rsid w:val="008D788F"/>
    <w:rsid w:val="008E0335"/>
    <w:rsid w:val="008E4064"/>
    <w:rsid w:val="008E4811"/>
    <w:rsid w:val="008E648D"/>
    <w:rsid w:val="008E740A"/>
    <w:rsid w:val="008E782D"/>
    <w:rsid w:val="008F07A9"/>
    <w:rsid w:val="008F097B"/>
    <w:rsid w:val="008F1E92"/>
    <w:rsid w:val="008F1EC4"/>
    <w:rsid w:val="008F51A5"/>
    <w:rsid w:val="008F7570"/>
    <w:rsid w:val="008F78DB"/>
    <w:rsid w:val="009002F9"/>
    <w:rsid w:val="0090068A"/>
    <w:rsid w:val="00901CDD"/>
    <w:rsid w:val="00903CC6"/>
    <w:rsid w:val="00904547"/>
    <w:rsid w:val="00910EE3"/>
    <w:rsid w:val="00911D8C"/>
    <w:rsid w:val="0091262A"/>
    <w:rsid w:val="00912B9F"/>
    <w:rsid w:val="00913C97"/>
    <w:rsid w:val="00914214"/>
    <w:rsid w:val="00914DF0"/>
    <w:rsid w:val="00916BB3"/>
    <w:rsid w:val="00920AB6"/>
    <w:rsid w:val="00921835"/>
    <w:rsid w:val="009222FB"/>
    <w:rsid w:val="00922393"/>
    <w:rsid w:val="00922B1D"/>
    <w:rsid w:val="00926294"/>
    <w:rsid w:val="00930786"/>
    <w:rsid w:val="00933116"/>
    <w:rsid w:val="00933518"/>
    <w:rsid w:val="00933DE6"/>
    <w:rsid w:val="00934703"/>
    <w:rsid w:val="009356F9"/>
    <w:rsid w:val="009362EC"/>
    <w:rsid w:val="0093779A"/>
    <w:rsid w:val="00941404"/>
    <w:rsid w:val="009414BF"/>
    <w:rsid w:val="00941886"/>
    <w:rsid w:val="00942405"/>
    <w:rsid w:val="00942513"/>
    <w:rsid w:val="009437F3"/>
    <w:rsid w:val="00944848"/>
    <w:rsid w:val="00945071"/>
    <w:rsid w:val="009477DE"/>
    <w:rsid w:val="009479BB"/>
    <w:rsid w:val="00950CE2"/>
    <w:rsid w:val="0095248A"/>
    <w:rsid w:val="0095597A"/>
    <w:rsid w:val="00955F7A"/>
    <w:rsid w:val="009569B0"/>
    <w:rsid w:val="009571A0"/>
    <w:rsid w:val="00960330"/>
    <w:rsid w:val="00960F37"/>
    <w:rsid w:val="00961949"/>
    <w:rsid w:val="00961D20"/>
    <w:rsid w:val="009635FD"/>
    <w:rsid w:val="009639A5"/>
    <w:rsid w:val="00963CC7"/>
    <w:rsid w:val="00963E3A"/>
    <w:rsid w:val="00965043"/>
    <w:rsid w:val="00965D1A"/>
    <w:rsid w:val="00966B69"/>
    <w:rsid w:val="00970665"/>
    <w:rsid w:val="00974773"/>
    <w:rsid w:val="009760CE"/>
    <w:rsid w:val="00977D0D"/>
    <w:rsid w:val="00977EA2"/>
    <w:rsid w:val="00977FF6"/>
    <w:rsid w:val="00980C2F"/>
    <w:rsid w:val="0098132B"/>
    <w:rsid w:val="00983510"/>
    <w:rsid w:val="00983DE6"/>
    <w:rsid w:val="00985409"/>
    <w:rsid w:val="00985755"/>
    <w:rsid w:val="00985AF7"/>
    <w:rsid w:val="0098609E"/>
    <w:rsid w:val="0099022B"/>
    <w:rsid w:val="00991211"/>
    <w:rsid w:val="00994E4F"/>
    <w:rsid w:val="009A02ED"/>
    <w:rsid w:val="009A25B1"/>
    <w:rsid w:val="009A2B6C"/>
    <w:rsid w:val="009A2C9C"/>
    <w:rsid w:val="009A350D"/>
    <w:rsid w:val="009A3B14"/>
    <w:rsid w:val="009A3B7E"/>
    <w:rsid w:val="009A52C0"/>
    <w:rsid w:val="009A59A5"/>
    <w:rsid w:val="009B12AD"/>
    <w:rsid w:val="009B29F7"/>
    <w:rsid w:val="009B304F"/>
    <w:rsid w:val="009B3489"/>
    <w:rsid w:val="009B3E2D"/>
    <w:rsid w:val="009B4107"/>
    <w:rsid w:val="009B481A"/>
    <w:rsid w:val="009B4DAC"/>
    <w:rsid w:val="009B617C"/>
    <w:rsid w:val="009B6D83"/>
    <w:rsid w:val="009B6FCB"/>
    <w:rsid w:val="009B7D26"/>
    <w:rsid w:val="009C503A"/>
    <w:rsid w:val="009C5B80"/>
    <w:rsid w:val="009C5ED0"/>
    <w:rsid w:val="009C683B"/>
    <w:rsid w:val="009D28AE"/>
    <w:rsid w:val="009D322A"/>
    <w:rsid w:val="009D3970"/>
    <w:rsid w:val="009D3DCB"/>
    <w:rsid w:val="009D50CA"/>
    <w:rsid w:val="009D537A"/>
    <w:rsid w:val="009D5933"/>
    <w:rsid w:val="009D5AF4"/>
    <w:rsid w:val="009D5F35"/>
    <w:rsid w:val="009D69A5"/>
    <w:rsid w:val="009E24CE"/>
    <w:rsid w:val="009E2E76"/>
    <w:rsid w:val="009E3082"/>
    <w:rsid w:val="009E4F1D"/>
    <w:rsid w:val="009E5873"/>
    <w:rsid w:val="009E58CC"/>
    <w:rsid w:val="009E7AA7"/>
    <w:rsid w:val="009F0E31"/>
    <w:rsid w:val="009F271B"/>
    <w:rsid w:val="009F286D"/>
    <w:rsid w:val="009F342A"/>
    <w:rsid w:val="009F40F0"/>
    <w:rsid w:val="009F6034"/>
    <w:rsid w:val="009F6237"/>
    <w:rsid w:val="00A0001A"/>
    <w:rsid w:val="00A01575"/>
    <w:rsid w:val="00A015A9"/>
    <w:rsid w:val="00A02396"/>
    <w:rsid w:val="00A04090"/>
    <w:rsid w:val="00A04CE5"/>
    <w:rsid w:val="00A05883"/>
    <w:rsid w:val="00A05A9E"/>
    <w:rsid w:val="00A1073F"/>
    <w:rsid w:val="00A10C8C"/>
    <w:rsid w:val="00A10DEC"/>
    <w:rsid w:val="00A112A8"/>
    <w:rsid w:val="00A114B4"/>
    <w:rsid w:val="00A12CD4"/>
    <w:rsid w:val="00A16197"/>
    <w:rsid w:val="00A166A6"/>
    <w:rsid w:val="00A20143"/>
    <w:rsid w:val="00A21B9B"/>
    <w:rsid w:val="00A22088"/>
    <w:rsid w:val="00A22B21"/>
    <w:rsid w:val="00A22CEB"/>
    <w:rsid w:val="00A24345"/>
    <w:rsid w:val="00A2501B"/>
    <w:rsid w:val="00A2720B"/>
    <w:rsid w:val="00A2776C"/>
    <w:rsid w:val="00A303C6"/>
    <w:rsid w:val="00A31BA7"/>
    <w:rsid w:val="00A323D7"/>
    <w:rsid w:val="00A32A90"/>
    <w:rsid w:val="00A332FE"/>
    <w:rsid w:val="00A35C9C"/>
    <w:rsid w:val="00A36B52"/>
    <w:rsid w:val="00A3744E"/>
    <w:rsid w:val="00A402F4"/>
    <w:rsid w:val="00A4281A"/>
    <w:rsid w:val="00A446FD"/>
    <w:rsid w:val="00A45A29"/>
    <w:rsid w:val="00A50D37"/>
    <w:rsid w:val="00A53BA6"/>
    <w:rsid w:val="00A550FE"/>
    <w:rsid w:val="00A55B1E"/>
    <w:rsid w:val="00A57B23"/>
    <w:rsid w:val="00A60267"/>
    <w:rsid w:val="00A6148C"/>
    <w:rsid w:val="00A62520"/>
    <w:rsid w:val="00A62898"/>
    <w:rsid w:val="00A67008"/>
    <w:rsid w:val="00A701B3"/>
    <w:rsid w:val="00A707F4"/>
    <w:rsid w:val="00A71C6C"/>
    <w:rsid w:val="00A720EF"/>
    <w:rsid w:val="00A7234D"/>
    <w:rsid w:val="00A72E79"/>
    <w:rsid w:val="00A73F61"/>
    <w:rsid w:val="00A8066B"/>
    <w:rsid w:val="00A80EC5"/>
    <w:rsid w:val="00A8164C"/>
    <w:rsid w:val="00A81AB1"/>
    <w:rsid w:val="00A82AD7"/>
    <w:rsid w:val="00A82C4A"/>
    <w:rsid w:val="00A84387"/>
    <w:rsid w:val="00A857E9"/>
    <w:rsid w:val="00A85EB5"/>
    <w:rsid w:val="00A87325"/>
    <w:rsid w:val="00A9391A"/>
    <w:rsid w:val="00A95896"/>
    <w:rsid w:val="00A95D2F"/>
    <w:rsid w:val="00A9715D"/>
    <w:rsid w:val="00A97E02"/>
    <w:rsid w:val="00AA0607"/>
    <w:rsid w:val="00AA0DC8"/>
    <w:rsid w:val="00AA2391"/>
    <w:rsid w:val="00AA40C8"/>
    <w:rsid w:val="00AA60E9"/>
    <w:rsid w:val="00AA6DB8"/>
    <w:rsid w:val="00AB1210"/>
    <w:rsid w:val="00AB2C2D"/>
    <w:rsid w:val="00AB2D70"/>
    <w:rsid w:val="00AB300F"/>
    <w:rsid w:val="00AB36FA"/>
    <w:rsid w:val="00AB3AC1"/>
    <w:rsid w:val="00AB3C5A"/>
    <w:rsid w:val="00AB3CB8"/>
    <w:rsid w:val="00AB5EEF"/>
    <w:rsid w:val="00AB6EB8"/>
    <w:rsid w:val="00AC1144"/>
    <w:rsid w:val="00AC1E7E"/>
    <w:rsid w:val="00AC2EAF"/>
    <w:rsid w:val="00AC3300"/>
    <w:rsid w:val="00AC4305"/>
    <w:rsid w:val="00AC58BF"/>
    <w:rsid w:val="00AC6643"/>
    <w:rsid w:val="00AD050D"/>
    <w:rsid w:val="00AD1F13"/>
    <w:rsid w:val="00AD2599"/>
    <w:rsid w:val="00AD28A6"/>
    <w:rsid w:val="00AD297B"/>
    <w:rsid w:val="00AD2B78"/>
    <w:rsid w:val="00AD47CB"/>
    <w:rsid w:val="00AD4B1E"/>
    <w:rsid w:val="00AD4D5D"/>
    <w:rsid w:val="00AD509A"/>
    <w:rsid w:val="00AD53A1"/>
    <w:rsid w:val="00AD593E"/>
    <w:rsid w:val="00AD60AD"/>
    <w:rsid w:val="00AE1818"/>
    <w:rsid w:val="00AE28FD"/>
    <w:rsid w:val="00AE2E70"/>
    <w:rsid w:val="00AE37DA"/>
    <w:rsid w:val="00AE4091"/>
    <w:rsid w:val="00AE509C"/>
    <w:rsid w:val="00AE50BD"/>
    <w:rsid w:val="00AE5444"/>
    <w:rsid w:val="00AE5727"/>
    <w:rsid w:val="00AE7369"/>
    <w:rsid w:val="00AF0CAC"/>
    <w:rsid w:val="00AF221F"/>
    <w:rsid w:val="00AF4B2A"/>
    <w:rsid w:val="00B000F6"/>
    <w:rsid w:val="00B03A7E"/>
    <w:rsid w:val="00B10555"/>
    <w:rsid w:val="00B1170C"/>
    <w:rsid w:val="00B117D8"/>
    <w:rsid w:val="00B1187F"/>
    <w:rsid w:val="00B1190E"/>
    <w:rsid w:val="00B13E6A"/>
    <w:rsid w:val="00B13E91"/>
    <w:rsid w:val="00B17166"/>
    <w:rsid w:val="00B175E0"/>
    <w:rsid w:val="00B21772"/>
    <w:rsid w:val="00B2208B"/>
    <w:rsid w:val="00B224BB"/>
    <w:rsid w:val="00B22F97"/>
    <w:rsid w:val="00B242B4"/>
    <w:rsid w:val="00B256C4"/>
    <w:rsid w:val="00B26BB5"/>
    <w:rsid w:val="00B26CE3"/>
    <w:rsid w:val="00B279AD"/>
    <w:rsid w:val="00B30526"/>
    <w:rsid w:val="00B307DD"/>
    <w:rsid w:val="00B35AE6"/>
    <w:rsid w:val="00B3627E"/>
    <w:rsid w:val="00B364CF"/>
    <w:rsid w:val="00B366C7"/>
    <w:rsid w:val="00B37708"/>
    <w:rsid w:val="00B37789"/>
    <w:rsid w:val="00B378F8"/>
    <w:rsid w:val="00B40234"/>
    <w:rsid w:val="00B43B4E"/>
    <w:rsid w:val="00B43B50"/>
    <w:rsid w:val="00B45355"/>
    <w:rsid w:val="00B45822"/>
    <w:rsid w:val="00B46BA6"/>
    <w:rsid w:val="00B5010C"/>
    <w:rsid w:val="00B50B87"/>
    <w:rsid w:val="00B51A55"/>
    <w:rsid w:val="00B546A1"/>
    <w:rsid w:val="00B54E7C"/>
    <w:rsid w:val="00B56268"/>
    <w:rsid w:val="00B5657A"/>
    <w:rsid w:val="00B567EC"/>
    <w:rsid w:val="00B56FDC"/>
    <w:rsid w:val="00B61ECC"/>
    <w:rsid w:val="00B63EF2"/>
    <w:rsid w:val="00B65981"/>
    <w:rsid w:val="00B67BCE"/>
    <w:rsid w:val="00B708B1"/>
    <w:rsid w:val="00B71F24"/>
    <w:rsid w:val="00B76503"/>
    <w:rsid w:val="00B76C12"/>
    <w:rsid w:val="00B7780B"/>
    <w:rsid w:val="00B77E4E"/>
    <w:rsid w:val="00B81885"/>
    <w:rsid w:val="00B820C2"/>
    <w:rsid w:val="00B82214"/>
    <w:rsid w:val="00B83730"/>
    <w:rsid w:val="00B8661A"/>
    <w:rsid w:val="00B90E89"/>
    <w:rsid w:val="00B92D10"/>
    <w:rsid w:val="00B92DD8"/>
    <w:rsid w:val="00B93A90"/>
    <w:rsid w:val="00B93AE5"/>
    <w:rsid w:val="00B958BD"/>
    <w:rsid w:val="00B9735C"/>
    <w:rsid w:val="00B97DD9"/>
    <w:rsid w:val="00BA2A84"/>
    <w:rsid w:val="00BA3BE5"/>
    <w:rsid w:val="00BA5EBD"/>
    <w:rsid w:val="00BA746E"/>
    <w:rsid w:val="00BB1234"/>
    <w:rsid w:val="00BB1356"/>
    <w:rsid w:val="00BB1DA5"/>
    <w:rsid w:val="00BB254D"/>
    <w:rsid w:val="00BB2D82"/>
    <w:rsid w:val="00BB3E86"/>
    <w:rsid w:val="00BB4AB3"/>
    <w:rsid w:val="00BC0BA4"/>
    <w:rsid w:val="00BC16B4"/>
    <w:rsid w:val="00BC50D8"/>
    <w:rsid w:val="00BC540D"/>
    <w:rsid w:val="00BC6D87"/>
    <w:rsid w:val="00BD17FB"/>
    <w:rsid w:val="00BD1952"/>
    <w:rsid w:val="00BD3DF3"/>
    <w:rsid w:val="00BD5C49"/>
    <w:rsid w:val="00BE01BB"/>
    <w:rsid w:val="00BE146A"/>
    <w:rsid w:val="00BE498C"/>
    <w:rsid w:val="00BE66B0"/>
    <w:rsid w:val="00BE6CBC"/>
    <w:rsid w:val="00BF0F78"/>
    <w:rsid w:val="00BF1798"/>
    <w:rsid w:val="00BF1BA5"/>
    <w:rsid w:val="00BF24BE"/>
    <w:rsid w:val="00BF4190"/>
    <w:rsid w:val="00BF5DBA"/>
    <w:rsid w:val="00BF6A17"/>
    <w:rsid w:val="00C030C6"/>
    <w:rsid w:val="00C03647"/>
    <w:rsid w:val="00C06FF1"/>
    <w:rsid w:val="00C07675"/>
    <w:rsid w:val="00C07FF3"/>
    <w:rsid w:val="00C10E6D"/>
    <w:rsid w:val="00C12E46"/>
    <w:rsid w:val="00C12F44"/>
    <w:rsid w:val="00C13038"/>
    <w:rsid w:val="00C1470A"/>
    <w:rsid w:val="00C14CF8"/>
    <w:rsid w:val="00C161FA"/>
    <w:rsid w:val="00C16AC4"/>
    <w:rsid w:val="00C178F7"/>
    <w:rsid w:val="00C206E0"/>
    <w:rsid w:val="00C2089F"/>
    <w:rsid w:val="00C20ADC"/>
    <w:rsid w:val="00C20E8C"/>
    <w:rsid w:val="00C22C03"/>
    <w:rsid w:val="00C2319C"/>
    <w:rsid w:val="00C24343"/>
    <w:rsid w:val="00C249DD"/>
    <w:rsid w:val="00C24B4E"/>
    <w:rsid w:val="00C26139"/>
    <w:rsid w:val="00C3007D"/>
    <w:rsid w:val="00C30F92"/>
    <w:rsid w:val="00C32F30"/>
    <w:rsid w:val="00C333D6"/>
    <w:rsid w:val="00C35319"/>
    <w:rsid w:val="00C3611B"/>
    <w:rsid w:val="00C379E4"/>
    <w:rsid w:val="00C37FB6"/>
    <w:rsid w:val="00C41F99"/>
    <w:rsid w:val="00C43F41"/>
    <w:rsid w:val="00C4407B"/>
    <w:rsid w:val="00C45139"/>
    <w:rsid w:val="00C45348"/>
    <w:rsid w:val="00C4548F"/>
    <w:rsid w:val="00C46B35"/>
    <w:rsid w:val="00C517B5"/>
    <w:rsid w:val="00C518B1"/>
    <w:rsid w:val="00C5404C"/>
    <w:rsid w:val="00C5503E"/>
    <w:rsid w:val="00C56346"/>
    <w:rsid w:val="00C570CE"/>
    <w:rsid w:val="00C57EF6"/>
    <w:rsid w:val="00C611CE"/>
    <w:rsid w:val="00C63753"/>
    <w:rsid w:val="00C63EC3"/>
    <w:rsid w:val="00C648A9"/>
    <w:rsid w:val="00C648C4"/>
    <w:rsid w:val="00C64B48"/>
    <w:rsid w:val="00C72B9B"/>
    <w:rsid w:val="00C72BAA"/>
    <w:rsid w:val="00C7396E"/>
    <w:rsid w:val="00C74A9A"/>
    <w:rsid w:val="00C753B3"/>
    <w:rsid w:val="00C754C6"/>
    <w:rsid w:val="00C754F5"/>
    <w:rsid w:val="00C757CF"/>
    <w:rsid w:val="00C76F52"/>
    <w:rsid w:val="00C7701B"/>
    <w:rsid w:val="00C77164"/>
    <w:rsid w:val="00C800AE"/>
    <w:rsid w:val="00C8247C"/>
    <w:rsid w:val="00C82F55"/>
    <w:rsid w:val="00C83530"/>
    <w:rsid w:val="00C847F5"/>
    <w:rsid w:val="00C85BF1"/>
    <w:rsid w:val="00C85F99"/>
    <w:rsid w:val="00C9120B"/>
    <w:rsid w:val="00C91AF4"/>
    <w:rsid w:val="00C9208C"/>
    <w:rsid w:val="00C92E5F"/>
    <w:rsid w:val="00C95591"/>
    <w:rsid w:val="00C9622C"/>
    <w:rsid w:val="00CA0A69"/>
    <w:rsid w:val="00CA412C"/>
    <w:rsid w:val="00CA6EBA"/>
    <w:rsid w:val="00CA7217"/>
    <w:rsid w:val="00CA775D"/>
    <w:rsid w:val="00CB16DF"/>
    <w:rsid w:val="00CB1DE4"/>
    <w:rsid w:val="00CB3377"/>
    <w:rsid w:val="00CB39C4"/>
    <w:rsid w:val="00CB3DC0"/>
    <w:rsid w:val="00CB5A34"/>
    <w:rsid w:val="00CB7435"/>
    <w:rsid w:val="00CC0512"/>
    <w:rsid w:val="00CC0A5E"/>
    <w:rsid w:val="00CC0D77"/>
    <w:rsid w:val="00CC0F5F"/>
    <w:rsid w:val="00CC26D7"/>
    <w:rsid w:val="00CC2BE4"/>
    <w:rsid w:val="00CC44AA"/>
    <w:rsid w:val="00CC5919"/>
    <w:rsid w:val="00CC6409"/>
    <w:rsid w:val="00CC71F5"/>
    <w:rsid w:val="00CC7B42"/>
    <w:rsid w:val="00CD13F4"/>
    <w:rsid w:val="00CD2593"/>
    <w:rsid w:val="00CD498D"/>
    <w:rsid w:val="00CD637A"/>
    <w:rsid w:val="00CE092C"/>
    <w:rsid w:val="00CE0EB1"/>
    <w:rsid w:val="00CE1CB7"/>
    <w:rsid w:val="00CE581A"/>
    <w:rsid w:val="00CF0867"/>
    <w:rsid w:val="00CF144F"/>
    <w:rsid w:val="00CF375E"/>
    <w:rsid w:val="00CF3AA1"/>
    <w:rsid w:val="00CF3F21"/>
    <w:rsid w:val="00CF4B92"/>
    <w:rsid w:val="00CF5262"/>
    <w:rsid w:val="00CF67F4"/>
    <w:rsid w:val="00CF7876"/>
    <w:rsid w:val="00D03513"/>
    <w:rsid w:val="00D05018"/>
    <w:rsid w:val="00D064C8"/>
    <w:rsid w:val="00D06537"/>
    <w:rsid w:val="00D07264"/>
    <w:rsid w:val="00D101DE"/>
    <w:rsid w:val="00D117FF"/>
    <w:rsid w:val="00D12AE6"/>
    <w:rsid w:val="00D141B0"/>
    <w:rsid w:val="00D145B7"/>
    <w:rsid w:val="00D1562F"/>
    <w:rsid w:val="00D15B16"/>
    <w:rsid w:val="00D15FEE"/>
    <w:rsid w:val="00D1604D"/>
    <w:rsid w:val="00D162FE"/>
    <w:rsid w:val="00D165BD"/>
    <w:rsid w:val="00D2221E"/>
    <w:rsid w:val="00D24709"/>
    <w:rsid w:val="00D26642"/>
    <w:rsid w:val="00D26B64"/>
    <w:rsid w:val="00D26EED"/>
    <w:rsid w:val="00D273B8"/>
    <w:rsid w:val="00D30514"/>
    <w:rsid w:val="00D30840"/>
    <w:rsid w:val="00D309B4"/>
    <w:rsid w:val="00D31A60"/>
    <w:rsid w:val="00D3333D"/>
    <w:rsid w:val="00D336B6"/>
    <w:rsid w:val="00D33BC9"/>
    <w:rsid w:val="00D353D5"/>
    <w:rsid w:val="00D3634C"/>
    <w:rsid w:val="00D42B3A"/>
    <w:rsid w:val="00D43A1D"/>
    <w:rsid w:val="00D441AD"/>
    <w:rsid w:val="00D506DA"/>
    <w:rsid w:val="00D5251B"/>
    <w:rsid w:val="00D528F0"/>
    <w:rsid w:val="00D56DA7"/>
    <w:rsid w:val="00D578BA"/>
    <w:rsid w:val="00D579A9"/>
    <w:rsid w:val="00D61012"/>
    <w:rsid w:val="00D616A8"/>
    <w:rsid w:val="00D618C9"/>
    <w:rsid w:val="00D638C6"/>
    <w:rsid w:val="00D64B93"/>
    <w:rsid w:val="00D65A13"/>
    <w:rsid w:val="00D65BB3"/>
    <w:rsid w:val="00D65ED6"/>
    <w:rsid w:val="00D66762"/>
    <w:rsid w:val="00D668EF"/>
    <w:rsid w:val="00D6791F"/>
    <w:rsid w:val="00D67E12"/>
    <w:rsid w:val="00D70360"/>
    <w:rsid w:val="00D713AD"/>
    <w:rsid w:val="00D72282"/>
    <w:rsid w:val="00D736F1"/>
    <w:rsid w:val="00D739A5"/>
    <w:rsid w:val="00D820A1"/>
    <w:rsid w:val="00D8311B"/>
    <w:rsid w:val="00D83A4C"/>
    <w:rsid w:val="00D8461F"/>
    <w:rsid w:val="00D85319"/>
    <w:rsid w:val="00D86227"/>
    <w:rsid w:val="00D866B5"/>
    <w:rsid w:val="00D86704"/>
    <w:rsid w:val="00D87EAE"/>
    <w:rsid w:val="00D929EC"/>
    <w:rsid w:val="00D9604A"/>
    <w:rsid w:val="00D977ED"/>
    <w:rsid w:val="00DA18E0"/>
    <w:rsid w:val="00DA2788"/>
    <w:rsid w:val="00DA6D9E"/>
    <w:rsid w:val="00DA7316"/>
    <w:rsid w:val="00DA7612"/>
    <w:rsid w:val="00DB2096"/>
    <w:rsid w:val="00DB4727"/>
    <w:rsid w:val="00DB6FFE"/>
    <w:rsid w:val="00DB77F7"/>
    <w:rsid w:val="00DC0C10"/>
    <w:rsid w:val="00DC166E"/>
    <w:rsid w:val="00DC1923"/>
    <w:rsid w:val="00DC227A"/>
    <w:rsid w:val="00DC3C13"/>
    <w:rsid w:val="00DC4038"/>
    <w:rsid w:val="00DC43E7"/>
    <w:rsid w:val="00DC475A"/>
    <w:rsid w:val="00DC562D"/>
    <w:rsid w:val="00DC6096"/>
    <w:rsid w:val="00DC66EB"/>
    <w:rsid w:val="00DC6BAC"/>
    <w:rsid w:val="00DD1BED"/>
    <w:rsid w:val="00DD3674"/>
    <w:rsid w:val="00DD39E2"/>
    <w:rsid w:val="00DD45CD"/>
    <w:rsid w:val="00DD475A"/>
    <w:rsid w:val="00DD50B3"/>
    <w:rsid w:val="00DD59FB"/>
    <w:rsid w:val="00DD79E6"/>
    <w:rsid w:val="00DE0C38"/>
    <w:rsid w:val="00DE31DA"/>
    <w:rsid w:val="00DE3DCB"/>
    <w:rsid w:val="00DE402E"/>
    <w:rsid w:val="00DE5B15"/>
    <w:rsid w:val="00DE7946"/>
    <w:rsid w:val="00DF213D"/>
    <w:rsid w:val="00DF2C36"/>
    <w:rsid w:val="00DF7274"/>
    <w:rsid w:val="00DF7C00"/>
    <w:rsid w:val="00E010EF"/>
    <w:rsid w:val="00E017C0"/>
    <w:rsid w:val="00E034BF"/>
    <w:rsid w:val="00E055AE"/>
    <w:rsid w:val="00E065B4"/>
    <w:rsid w:val="00E07DB6"/>
    <w:rsid w:val="00E07F53"/>
    <w:rsid w:val="00E10909"/>
    <w:rsid w:val="00E117C5"/>
    <w:rsid w:val="00E12B75"/>
    <w:rsid w:val="00E150DD"/>
    <w:rsid w:val="00E15288"/>
    <w:rsid w:val="00E16C45"/>
    <w:rsid w:val="00E20643"/>
    <w:rsid w:val="00E20A23"/>
    <w:rsid w:val="00E2208D"/>
    <w:rsid w:val="00E22E84"/>
    <w:rsid w:val="00E27020"/>
    <w:rsid w:val="00E304F7"/>
    <w:rsid w:val="00E3063C"/>
    <w:rsid w:val="00E32592"/>
    <w:rsid w:val="00E33502"/>
    <w:rsid w:val="00E33A9F"/>
    <w:rsid w:val="00E357B2"/>
    <w:rsid w:val="00E37A3B"/>
    <w:rsid w:val="00E416EF"/>
    <w:rsid w:val="00E434DA"/>
    <w:rsid w:val="00E43791"/>
    <w:rsid w:val="00E440DE"/>
    <w:rsid w:val="00E445C8"/>
    <w:rsid w:val="00E44903"/>
    <w:rsid w:val="00E449A2"/>
    <w:rsid w:val="00E4506F"/>
    <w:rsid w:val="00E46C92"/>
    <w:rsid w:val="00E476DD"/>
    <w:rsid w:val="00E5335C"/>
    <w:rsid w:val="00E53DDB"/>
    <w:rsid w:val="00E5422C"/>
    <w:rsid w:val="00E54DD3"/>
    <w:rsid w:val="00E5503E"/>
    <w:rsid w:val="00E56172"/>
    <w:rsid w:val="00E60030"/>
    <w:rsid w:val="00E6237A"/>
    <w:rsid w:val="00E649E0"/>
    <w:rsid w:val="00E64AEA"/>
    <w:rsid w:val="00E64CAD"/>
    <w:rsid w:val="00E64CB0"/>
    <w:rsid w:val="00E66DAE"/>
    <w:rsid w:val="00E70842"/>
    <w:rsid w:val="00E70879"/>
    <w:rsid w:val="00E70F8A"/>
    <w:rsid w:val="00E72175"/>
    <w:rsid w:val="00E7289D"/>
    <w:rsid w:val="00E728E1"/>
    <w:rsid w:val="00E74765"/>
    <w:rsid w:val="00E74A62"/>
    <w:rsid w:val="00E75D43"/>
    <w:rsid w:val="00E800E3"/>
    <w:rsid w:val="00E80964"/>
    <w:rsid w:val="00E80A08"/>
    <w:rsid w:val="00E832E4"/>
    <w:rsid w:val="00E8359A"/>
    <w:rsid w:val="00E838DC"/>
    <w:rsid w:val="00E844FE"/>
    <w:rsid w:val="00E8465C"/>
    <w:rsid w:val="00E84E97"/>
    <w:rsid w:val="00E90130"/>
    <w:rsid w:val="00E91F45"/>
    <w:rsid w:val="00E94502"/>
    <w:rsid w:val="00E952D5"/>
    <w:rsid w:val="00E95755"/>
    <w:rsid w:val="00E97E8A"/>
    <w:rsid w:val="00EA0265"/>
    <w:rsid w:val="00EA1F61"/>
    <w:rsid w:val="00EA1FDA"/>
    <w:rsid w:val="00EA2282"/>
    <w:rsid w:val="00EA249D"/>
    <w:rsid w:val="00EA32B7"/>
    <w:rsid w:val="00EA3B92"/>
    <w:rsid w:val="00EA452B"/>
    <w:rsid w:val="00EA4B45"/>
    <w:rsid w:val="00EA6BCA"/>
    <w:rsid w:val="00EA7710"/>
    <w:rsid w:val="00EA78A4"/>
    <w:rsid w:val="00EB176D"/>
    <w:rsid w:val="00EB3714"/>
    <w:rsid w:val="00EB3791"/>
    <w:rsid w:val="00EB4196"/>
    <w:rsid w:val="00EB52DC"/>
    <w:rsid w:val="00EB54E1"/>
    <w:rsid w:val="00EB63DD"/>
    <w:rsid w:val="00EB6771"/>
    <w:rsid w:val="00EB70E0"/>
    <w:rsid w:val="00EC1393"/>
    <w:rsid w:val="00EC2B11"/>
    <w:rsid w:val="00EC3530"/>
    <w:rsid w:val="00EC5D72"/>
    <w:rsid w:val="00EC7866"/>
    <w:rsid w:val="00EC7D48"/>
    <w:rsid w:val="00ED0C6D"/>
    <w:rsid w:val="00ED1D51"/>
    <w:rsid w:val="00ED24BC"/>
    <w:rsid w:val="00ED2DDF"/>
    <w:rsid w:val="00ED3A1E"/>
    <w:rsid w:val="00ED4501"/>
    <w:rsid w:val="00ED4EB8"/>
    <w:rsid w:val="00ED50D7"/>
    <w:rsid w:val="00ED52A5"/>
    <w:rsid w:val="00ED60F1"/>
    <w:rsid w:val="00ED65FC"/>
    <w:rsid w:val="00ED788A"/>
    <w:rsid w:val="00EE0650"/>
    <w:rsid w:val="00EE26B9"/>
    <w:rsid w:val="00EE3E56"/>
    <w:rsid w:val="00EE46C3"/>
    <w:rsid w:val="00EE5B9C"/>
    <w:rsid w:val="00EE5FD3"/>
    <w:rsid w:val="00EE6533"/>
    <w:rsid w:val="00EE6888"/>
    <w:rsid w:val="00EE7D13"/>
    <w:rsid w:val="00EF0D3D"/>
    <w:rsid w:val="00EF209F"/>
    <w:rsid w:val="00EF2BEB"/>
    <w:rsid w:val="00F00779"/>
    <w:rsid w:val="00F00B8A"/>
    <w:rsid w:val="00F0155F"/>
    <w:rsid w:val="00F0164F"/>
    <w:rsid w:val="00F02BDE"/>
    <w:rsid w:val="00F0326C"/>
    <w:rsid w:val="00F03F18"/>
    <w:rsid w:val="00F04DC6"/>
    <w:rsid w:val="00F06ABC"/>
    <w:rsid w:val="00F117DA"/>
    <w:rsid w:val="00F1241B"/>
    <w:rsid w:val="00F12F75"/>
    <w:rsid w:val="00F12FB2"/>
    <w:rsid w:val="00F13143"/>
    <w:rsid w:val="00F132D8"/>
    <w:rsid w:val="00F142BE"/>
    <w:rsid w:val="00F14D81"/>
    <w:rsid w:val="00F15F5B"/>
    <w:rsid w:val="00F20DCA"/>
    <w:rsid w:val="00F22354"/>
    <w:rsid w:val="00F23AB0"/>
    <w:rsid w:val="00F24488"/>
    <w:rsid w:val="00F26EA4"/>
    <w:rsid w:val="00F305EB"/>
    <w:rsid w:val="00F30D8A"/>
    <w:rsid w:val="00F31ED9"/>
    <w:rsid w:val="00F32553"/>
    <w:rsid w:val="00F34C54"/>
    <w:rsid w:val="00F35784"/>
    <w:rsid w:val="00F35889"/>
    <w:rsid w:val="00F35EA6"/>
    <w:rsid w:val="00F360E4"/>
    <w:rsid w:val="00F418A4"/>
    <w:rsid w:val="00F419DA"/>
    <w:rsid w:val="00F420C4"/>
    <w:rsid w:val="00F423B4"/>
    <w:rsid w:val="00F42480"/>
    <w:rsid w:val="00F44235"/>
    <w:rsid w:val="00F444FC"/>
    <w:rsid w:val="00F44E22"/>
    <w:rsid w:val="00F4653D"/>
    <w:rsid w:val="00F52EC9"/>
    <w:rsid w:val="00F5376D"/>
    <w:rsid w:val="00F53A60"/>
    <w:rsid w:val="00F5415C"/>
    <w:rsid w:val="00F5447A"/>
    <w:rsid w:val="00F54AF2"/>
    <w:rsid w:val="00F5596C"/>
    <w:rsid w:val="00F563DD"/>
    <w:rsid w:val="00F57368"/>
    <w:rsid w:val="00F613FF"/>
    <w:rsid w:val="00F63CC2"/>
    <w:rsid w:val="00F6485E"/>
    <w:rsid w:val="00F64F48"/>
    <w:rsid w:val="00F655E3"/>
    <w:rsid w:val="00F65AD4"/>
    <w:rsid w:val="00F70C77"/>
    <w:rsid w:val="00F72E1C"/>
    <w:rsid w:val="00F73727"/>
    <w:rsid w:val="00F73DF9"/>
    <w:rsid w:val="00F75FB1"/>
    <w:rsid w:val="00F77BBC"/>
    <w:rsid w:val="00F83947"/>
    <w:rsid w:val="00F83D92"/>
    <w:rsid w:val="00F841FC"/>
    <w:rsid w:val="00F846F9"/>
    <w:rsid w:val="00F86710"/>
    <w:rsid w:val="00F878F4"/>
    <w:rsid w:val="00F90FBC"/>
    <w:rsid w:val="00F92D48"/>
    <w:rsid w:val="00F936BD"/>
    <w:rsid w:val="00F949F9"/>
    <w:rsid w:val="00F9577F"/>
    <w:rsid w:val="00F9698E"/>
    <w:rsid w:val="00F96D7B"/>
    <w:rsid w:val="00FA167D"/>
    <w:rsid w:val="00FA1A6F"/>
    <w:rsid w:val="00FA1E1A"/>
    <w:rsid w:val="00FA2134"/>
    <w:rsid w:val="00FA2DFE"/>
    <w:rsid w:val="00FA32BC"/>
    <w:rsid w:val="00FA460F"/>
    <w:rsid w:val="00FA4686"/>
    <w:rsid w:val="00FA4E86"/>
    <w:rsid w:val="00FA56AD"/>
    <w:rsid w:val="00FA58FA"/>
    <w:rsid w:val="00FA77F3"/>
    <w:rsid w:val="00FB3B45"/>
    <w:rsid w:val="00FB530A"/>
    <w:rsid w:val="00FB56D7"/>
    <w:rsid w:val="00FB6385"/>
    <w:rsid w:val="00FB68D6"/>
    <w:rsid w:val="00FB6B48"/>
    <w:rsid w:val="00FC0314"/>
    <w:rsid w:val="00FC17A7"/>
    <w:rsid w:val="00FC528A"/>
    <w:rsid w:val="00FC5A0A"/>
    <w:rsid w:val="00FC79D6"/>
    <w:rsid w:val="00FD107A"/>
    <w:rsid w:val="00FD33FB"/>
    <w:rsid w:val="00FD3528"/>
    <w:rsid w:val="00FD3AB4"/>
    <w:rsid w:val="00FD3F65"/>
    <w:rsid w:val="00FD4859"/>
    <w:rsid w:val="00FE3FC0"/>
    <w:rsid w:val="00FE53DF"/>
    <w:rsid w:val="00FE5AC2"/>
    <w:rsid w:val="00FF0650"/>
    <w:rsid w:val="00FF1AEB"/>
    <w:rsid w:val="00FF269A"/>
    <w:rsid w:val="00FF39F8"/>
    <w:rsid w:val="00FF5207"/>
    <w:rsid w:val="00FF59E9"/>
    <w:rsid w:val="00FF666D"/>
    <w:rsid w:val="00FF767B"/>
    <w:rsid w:val="00FF7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23D26"/>
  <w15:chartTrackingRefBased/>
  <w15:docId w15:val="{97306456-6B65-4FD6-AC27-EC173EBCE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0E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DefaultParagraphFont"/>
    <w:rsid w:val="00CE0EB1"/>
  </w:style>
  <w:style w:type="table" w:customStyle="1" w:styleId="TableNormal1">
    <w:name w:val="Table Normal1"/>
    <w:rsid w:val="00CE0EB1"/>
    <w:pPr>
      <w:spacing w:after="0" w:line="240" w:lineRule="auto"/>
    </w:pPr>
    <w:rPr>
      <w:rFonts w:eastAsia="Times New Roman"/>
      <w:lang w:val="en-GB" w:eastAsia="sl-SI"/>
    </w:rPr>
    <w:tblPr>
      <w:tblCellMar>
        <w:top w:w="0" w:type="dxa"/>
        <w:left w:w="0" w:type="dxa"/>
        <w:bottom w:w="0" w:type="dxa"/>
        <w:right w:w="0" w:type="dxa"/>
      </w:tblCellMar>
    </w:tblPr>
  </w:style>
  <w:style w:type="paragraph" w:styleId="Title">
    <w:name w:val="Title"/>
    <w:basedOn w:val="Normal"/>
    <w:next w:val="Normal"/>
    <w:link w:val="TitleChar"/>
    <w:rsid w:val="00CE0EB1"/>
    <w:pPr>
      <w:keepNext/>
      <w:keepLines/>
      <w:spacing w:before="480" w:after="120" w:line="240" w:lineRule="auto"/>
    </w:pPr>
    <w:rPr>
      <w:rFonts w:eastAsia="Times New Roman"/>
      <w:b/>
      <w:sz w:val="72"/>
      <w:szCs w:val="72"/>
      <w:lang w:val="en-GB" w:eastAsia="sl-SI"/>
    </w:rPr>
  </w:style>
  <w:style w:type="character" w:customStyle="1" w:styleId="TitleChar">
    <w:name w:val="Title Char"/>
    <w:basedOn w:val="DefaultParagraphFont"/>
    <w:link w:val="Title"/>
    <w:rsid w:val="00CE0EB1"/>
    <w:rPr>
      <w:rFonts w:eastAsia="Times New Roman"/>
      <w:b/>
      <w:sz w:val="72"/>
      <w:szCs w:val="72"/>
      <w:lang w:val="en-GB" w:eastAsia="sl-SI"/>
    </w:rPr>
  </w:style>
  <w:style w:type="character" w:customStyle="1" w:styleId="viiyi">
    <w:name w:val="viiyi"/>
    <w:basedOn w:val="DefaultParagraphFont"/>
    <w:rsid w:val="00CE0EB1"/>
  </w:style>
  <w:style w:type="paragraph" w:styleId="FootnoteText">
    <w:name w:val="footnote text"/>
    <w:basedOn w:val="Normal"/>
    <w:link w:val="FootnoteTextChar"/>
    <w:semiHidden/>
    <w:rsid w:val="00C46B35"/>
    <w:pPr>
      <w:spacing w:after="0" w:line="240" w:lineRule="auto"/>
    </w:pPr>
    <w:rPr>
      <w:rFonts w:ascii="Arial" w:eastAsia="Calibri" w:hAnsi="Arial" w:cs="Arial"/>
      <w:sz w:val="20"/>
      <w:szCs w:val="20"/>
    </w:rPr>
  </w:style>
  <w:style w:type="character" w:customStyle="1" w:styleId="FootnoteTextChar">
    <w:name w:val="Footnote Text Char"/>
    <w:basedOn w:val="DefaultParagraphFont"/>
    <w:link w:val="FootnoteText"/>
    <w:semiHidden/>
    <w:rsid w:val="00C46B35"/>
    <w:rPr>
      <w:rFonts w:ascii="Arial" w:eastAsia="Calibri" w:hAnsi="Arial" w:cs="Arial"/>
      <w:sz w:val="20"/>
      <w:szCs w:val="20"/>
    </w:rPr>
  </w:style>
  <w:style w:type="character" w:styleId="FootnoteReference">
    <w:name w:val="footnote reference"/>
    <w:semiHidden/>
    <w:rsid w:val="00C46B35"/>
    <w:rPr>
      <w:vertAlign w:val="superscript"/>
    </w:rPr>
  </w:style>
  <w:style w:type="character" w:customStyle="1" w:styleId="markedcontent">
    <w:name w:val="markedcontent"/>
    <w:basedOn w:val="DefaultParagraphFont"/>
    <w:rsid w:val="00C46B35"/>
  </w:style>
  <w:style w:type="character" w:customStyle="1" w:styleId="hps">
    <w:name w:val="hps"/>
    <w:basedOn w:val="DefaultParagraphFont"/>
    <w:rsid w:val="00C46B35"/>
  </w:style>
  <w:style w:type="paragraph" w:styleId="NoSpacing">
    <w:name w:val="No Spacing"/>
    <w:basedOn w:val="Normal"/>
    <w:uiPriority w:val="1"/>
    <w:qFormat/>
    <w:rsid w:val="00D15FEE"/>
    <w:pPr>
      <w:spacing w:before="100" w:beforeAutospacing="1" w:after="100" w:afterAutospacing="1" w:line="240" w:lineRule="auto"/>
    </w:pPr>
    <w:rPr>
      <w:rFonts w:eastAsia="Times New Roman"/>
    </w:rPr>
  </w:style>
  <w:style w:type="paragraph" w:customStyle="1" w:styleId="P68B1DB1-Normal10">
    <w:name w:val="P68B1DB1-Normal10"/>
    <w:basedOn w:val="Normal"/>
    <w:rsid w:val="00CA6EBA"/>
    <w:pPr>
      <w:spacing w:after="0" w:line="240" w:lineRule="auto"/>
    </w:pPr>
    <w:rPr>
      <w:rFonts w:ascii="Verdana" w:eastAsia="Verdana" w:hAnsi="Verdana" w:cs="Verdana"/>
      <w:color w:val="000000"/>
      <w:sz w:val="15"/>
      <w:szCs w:val="20"/>
    </w:rPr>
  </w:style>
  <w:style w:type="paragraph" w:styleId="BalloonText">
    <w:name w:val="Balloon Text"/>
    <w:basedOn w:val="Normal"/>
    <w:link w:val="BalloonTextChar"/>
    <w:uiPriority w:val="99"/>
    <w:semiHidden/>
    <w:unhideWhenUsed/>
    <w:rsid w:val="003529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2945"/>
    <w:rPr>
      <w:rFonts w:ascii="Segoe UI" w:hAnsi="Segoe UI" w:cs="Segoe UI"/>
      <w:sz w:val="18"/>
      <w:szCs w:val="18"/>
    </w:rPr>
  </w:style>
  <w:style w:type="paragraph" w:styleId="Header">
    <w:name w:val="header"/>
    <w:basedOn w:val="Normal"/>
    <w:link w:val="HeaderChar"/>
    <w:uiPriority w:val="99"/>
    <w:unhideWhenUsed/>
    <w:rsid w:val="00414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CB5"/>
  </w:style>
  <w:style w:type="paragraph" w:styleId="Footer">
    <w:name w:val="footer"/>
    <w:basedOn w:val="Normal"/>
    <w:link w:val="FooterChar"/>
    <w:uiPriority w:val="99"/>
    <w:unhideWhenUsed/>
    <w:rsid w:val="00414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C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9BEA1-C4CC-4179-9E62-4A3C37F6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14</Pages>
  <Words>1879</Words>
  <Characters>10711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Sonja Avramovic</dc:creator>
  <cp:keywords/>
  <dc:description/>
  <cp:lastModifiedBy>Snezana Marinovic</cp:lastModifiedBy>
  <cp:revision>12</cp:revision>
  <cp:lastPrinted>2024-10-21T09:48:00Z</cp:lastPrinted>
  <dcterms:created xsi:type="dcterms:W3CDTF">2023-09-26T11:00:00Z</dcterms:created>
  <dcterms:modified xsi:type="dcterms:W3CDTF">2024-11-06T10:23:00Z</dcterms:modified>
</cp:coreProperties>
</file>