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380B3" w14:textId="77777777" w:rsidR="00AE1132" w:rsidRPr="005B62C6" w:rsidRDefault="00AE1132" w:rsidP="002C1D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Ж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</w:p>
    <w:p w14:paraId="3ECD5A59" w14:textId="77777777" w:rsidR="003B743B" w:rsidRPr="005B62C6" w:rsidRDefault="003B743B" w:rsidP="002C1D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0FE3F8" w14:textId="77777777" w:rsidR="00AE1132" w:rsidRPr="005B62C6" w:rsidRDefault="007B56D0" w:rsidP="003B743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УСТАВНИ ОСНОВ ЗА ДОНОШЕЊЕ ЗАКОНА</w:t>
      </w:r>
    </w:p>
    <w:p w14:paraId="67A9808D" w14:textId="77777777" w:rsidR="0024659C" w:rsidRPr="005B62C6" w:rsidRDefault="0024659C" w:rsidP="00AE113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Уставни основ за доношење 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 садржан је у члану 97.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тачка 6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Устава Републике Србије, који прописује да Република Србија уређује и обезбеђује, између осталог, монетарни и банкарски систем.</w:t>
      </w:r>
    </w:p>
    <w:p w14:paraId="6CB58ACB" w14:textId="77777777" w:rsidR="00AE1132" w:rsidRPr="005B62C6" w:rsidRDefault="007B56D0" w:rsidP="003B743B">
      <w:pPr>
        <w:spacing w:after="0" w:line="240" w:lineRule="auto"/>
        <w:ind w:right="-45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E1132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РАЗЛОЗИ ЗА ДОНОШЕЊЕ ЗАКОНА</w:t>
      </w:r>
    </w:p>
    <w:p w14:paraId="0B9A8B54" w14:textId="579AC376" w:rsidR="0024659C" w:rsidRPr="005B62C6" w:rsidRDefault="0024659C" w:rsidP="00AE113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Разлози за 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измен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E177D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акона </w:t>
      </w:r>
      <w:r w:rsidR="00E177D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сигурањ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депозита</w:t>
      </w:r>
      <w:r w:rsidR="00AE1132" w:rsidRPr="005B62C6">
        <w:rPr>
          <w:sz w:val="24"/>
          <w:szCs w:val="24"/>
          <w:lang w:val="sr-Cyrl-CS"/>
        </w:rPr>
        <w:t xml:space="preserve"> 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РСˮ, бр. 14/15, 51/17 и 73/19 - у даљем тексту: Закон)</w:t>
      </w:r>
      <w:r w:rsidR="00E177D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огледају се у томе што </w:t>
      </w:r>
      <w:r w:rsidR="003D34C1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8659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Предлогом</w:t>
      </w:r>
      <w:r w:rsidR="006A71F5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</w:t>
      </w:r>
      <w:r w:rsidR="00E177D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Агенциј</w:t>
      </w:r>
      <w:r w:rsidR="003D34C1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за осигурање депозита измењене одредбе које су </w:t>
      </w:r>
      <w:r w:rsidR="006A71F5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део 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закона. </w:t>
      </w:r>
      <w:r w:rsidR="003D34C1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изменама</w:t>
      </w:r>
      <w:r w:rsidR="00C4336D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 се само усклађивање два прописа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2DFD97A" w14:textId="77777777" w:rsidR="0024659C" w:rsidRPr="005B62C6" w:rsidRDefault="007B56D0" w:rsidP="003B743B">
      <w:pPr>
        <w:spacing w:before="100" w:beforeAutospacing="1" w:after="100" w:afterAutospacing="1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III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E1132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E1132" w:rsidRPr="005B62C6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ОБЈАШЊЕЊЕ ПОЈЕДИНАЧНИХ РЕШЕЊА</w:t>
      </w:r>
    </w:p>
    <w:p w14:paraId="20A6ED7F" w14:textId="3F4D5F9B" w:rsidR="006D4994" w:rsidRPr="005B62C6" w:rsidRDefault="006D4994" w:rsidP="00AE113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5F330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D865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Предлога закона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мења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одредб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</w:t>
      </w:r>
      <w:r w:rsidR="00C0238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6. став 3. тач.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3)</w:t>
      </w:r>
      <w:r w:rsidR="00C0238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5) </w:t>
      </w:r>
      <w:r w:rsidR="00D86599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</w:t>
      </w:r>
      <w:r w:rsidR="00D86599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0238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којима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предвиђено да се средства фонда за осигурање депозита користе за финансирање трошкова управљања средствима фонда за осигурање депозита и покривање оперативних трошкова Агенције до износа утврђеног законом којим се уређује Агенција</w:t>
      </w:r>
      <w:r w:rsidR="00C0238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за финансирање улагања Агенције у основна средства и нематеријалну имовину у пуном износу утврђених улагања.</w:t>
      </w:r>
    </w:p>
    <w:p w14:paraId="3EF1E240" w14:textId="1C6E26E7" w:rsidR="006D4994" w:rsidRPr="005B62C6" w:rsidRDefault="006D4994" w:rsidP="00AE113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5F330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344B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Предлога закона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мења се члан 7.</w:t>
      </w:r>
      <w:r w:rsidR="005D2A97" w:rsidRPr="005B62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4B0E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 се Агенцији дозвољава да поред динарских улаже и девизна средства у дужничке хартије од вредности које издају Република Србија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Народна банка Србије, аутономна покрајина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јединице локалне самоуправе</w:t>
      </w:r>
      <w:r w:rsidR="003B743B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Републици Србији.</w:t>
      </w:r>
    </w:p>
    <w:p w14:paraId="6081852B" w14:textId="3FCF710F" w:rsidR="005D2A97" w:rsidRPr="005B62C6" w:rsidRDefault="006D4994" w:rsidP="005D2A97">
      <w:pPr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5F330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344B0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D86599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44B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</w:t>
      </w: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мењају се одредбе члана 12. став 7. тач. 1) и 2)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44B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којима је предвиђено да Агенција може обуставити обрачун</w:t>
      </w:r>
      <w:r w:rsidR="005D2A97" w:rsidRPr="005B62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и наплату редовне премије ако средства фонда за осигурање депозита достигну циљни износ фонда дефинисан чланом 23. овог закона, осим за износ неопходан за покриће</w:t>
      </w:r>
      <w:r w:rsidR="005D2A97" w:rsidRPr="005B62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2A97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стварно утврђених оперативних трошкова Агенције до нивоа средстава издвојених из фонда за покриће оперативних трошкова у претходној календарској години, као и улагања Агенције у основна средства и нематеријалну имовину.</w:t>
      </w:r>
    </w:p>
    <w:p w14:paraId="63DEAD3E" w14:textId="0BC912C6" w:rsidR="00972E38" w:rsidRPr="005B62C6" w:rsidRDefault="005D2A97" w:rsidP="005F3304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Чланом </w:t>
      </w:r>
      <w:r w:rsidR="005F3304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C905EE" w:rsidRPr="005B62C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D865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Предлога закона</w:t>
      </w:r>
      <w:r w:rsidR="00C905EE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одређено је да овај закон ступ</w:t>
      </w:r>
      <w:r w:rsidR="003B743B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="00C905EE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снагу ос</w:t>
      </w:r>
      <w:r w:rsidR="003B743B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</w:t>
      </w:r>
      <w:r w:rsidR="00C905EE"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70A90F91" w14:textId="143116DB" w:rsidR="00E177D4" w:rsidRPr="005B62C6" w:rsidRDefault="00E177D4" w:rsidP="003B74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62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B56D0" w:rsidRPr="005B62C6">
        <w:rPr>
          <w:rFonts w:ascii="Times New Roman" w:eastAsia="Calibri" w:hAnsi="Times New Roman" w:cs="Times New Roman"/>
          <w:sz w:val="24"/>
          <w:szCs w:val="24"/>
          <w:lang w:val="sr-Cyrl-CS"/>
        </w:rPr>
        <w:t>IV</w:t>
      </w:r>
      <w:r w:rsidR="00D8659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972E38" w:rsidRPr="005B62C6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ФИНАНСИЈСКА СРЕДСТВА ПОТРЕБНА ЗА СПРОВОЂЕЊЕ ОВОГ ЗАКОНА</w:t>
      </w:r>
    </w:p>
    <w:p w14:paraId="20C72B08" w14:textId="77777777" w:rsidR="007B56D0" w:rsidRPr="005B62C6" w:rsidRDefault="00E177D4" w:rsidP="002F36B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 потребе спровођења овог закона није потребно обезбедити средства у буџету Републике Србије.</w:t>
      </w:r>
    </w:p>
    <w:p w14:paraId="5272A292" w14:textId="2A2E1E7A" w:rsidR="003430DE" w:rsidRPr="005B62C6" w:rsidRDefault="003430DE" w:rsidP="00ED29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A181EFC" w14:textId="77777777" w:rsidR="00362F67" w:rsidRPr="003B743B" w:rsidRDefault="00362F67" w:rsidP="00362F67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 w:rsidRPr="003B743B">
        <w:rPr>
          <w:rFonts w:ascii="Times New Roman" w:eastAsia="Calibri" w:hAnsi="Times New Roman" w:cs="Times New Roman"/>
          <w:sz w:val="24"/>
          <w:szCs w:val="24"/>
          <w:lang w:val="sr-Cyrl-RS"/>
        </w:rPr>
        <w:t>V.</w:t>
      </w:r>
      <w:r w:rsidRPr="003B743B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3B743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АНАЛИЗА ЕФЕКАТА ЗАКОНА</w:t>
      </w:r>
    </w:p>
    <w:p w14:paraId="5A695F92" w14:textId="77777777" w:rsidR="00362F67" w:rsidRPr="003B743B" w:rsidRDefault="00362F67" w:rsidP="00362F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14:paraId="2D1CEAF0" w14:textId="4EE05E61" w:rsidR="00362F67" w:rsidRPr="00362F67" w:rsidRDefault="00362F67" w:rsidP="00362F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B743B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Предложена измена не утиче на привредни систем и на трошкове привреде и односе међу тржишним учесницима. С обзиром на горе наведено, анализа ефеката овог закона није потребна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60E402" w14:textId="77777777" w:rsidR="00362F67" w:rsidRDefault="00362F67" w:rsidP="00362F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</w:p>
    <w:p w14:paraId="12D3933C" w14:textId="10918316" w:rsidR="00E177D4" w:rsidRPr="005B62C6" w:rsidRDefault="001004FF" w:rsidP="003B743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V</w:t>
      </w:r>
      <w:r w:rsidR="00362F67">
        <w:rPr>
          <w:rFonts w:ascii="Times New Roman" w:eastAsia="Times New Roman" w:hAnsi="Times New Roman" w:cs="Times New Roman"/>
          <w:bCs/>
          <w:iCs/>
          <w:sz w:val="24"/>
          <w:szCs w:val="24"/>
        </w:rPr>
        <w:t>I</w:t>
      </w:r>
      <w:r w:rsidR="00B31B1E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Pr="005B62C6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 </w:t>
      </w:r>
      <w:r w:rsidRPr="005B62C6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</w:r>
      <w:r w:rsidR="005B62C6" w:rsidRPr="005B62C6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ПРЕГЛЕД ОДРЕДАБА ЗАКОНА О ОСИГУРАЊУ ДЕПОЗИТА</w:t>
      </w:r>
      <w:r w:rsidR="00D86599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,</w:t>
      </w:r>
      <w:r w:rsidR="005B62C6" w:rsidRPr="005B62C6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КОЈЕ СЕ МЕЊАЈУ</w:t>
      </w:r>
    </w:p>
    <w:p w14:paraId="59C41041" w14:textId="77777777" w:rsidR="005F3304" w:rsidRPr="005B62C6" w:rsidRDefault="005F3304" w:rsidP="003B743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</w:p>
    <w:p w14:paraId="51B074F0" w14:textId="77777777" w:rsidR="005D2A97" w:rsidRPr="005B62C6" w:rsidRDefault="005D2A97" w:rsidP="00E916A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79830788" w14:textId="77777777" w:rsidR="00E916AF" w:rsidRPr="005B62C6" w:rsidRDefault="00E916AF" w:rsidP="00E916A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Ради обезбеђења средстава за осигурање депозита Агенција управља фондом за осигурање депозита. </w:t>
      </w:r>
    </w:p>
    <w:p w14:paraId="32C4DF46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Фонд за осигурање депозита састоји се од: </w:t>
      </w:r>
    </w:p>
    <w:p w14:paraId="45B64570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1) премија које плаћају банке; </w:t>
      </w:r>
    </w:p>
    <w:p w14:paraId="7C92BEB0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2) прихода од улагања средстава фонда за осигурање депозита; </w:t>
      </w:r>
    </w:p>
    <w:p w14:paraId="24AA6072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3) средстава остварених наплатом потраживања Агенције из стечајне, односно ликвидационе масе банке по основу исплате осигураних износа депозита са припадајућим трошковима у вези са обезбеђењем, управљањем и исплатом средстава фонда (трошкови услуга, камата, накнада и пореза, као и сви други стварни трошкови које је Агенција имала при прибављању средстава ради исплате осигураних износа депозита, спровођења те исплате и наплате средстава из стечајне односно ликвидационе масе банке), односно остварених у поступку реструктурирања банке у складу са законом којим се уређују банке; </w:t>
      </w:r>
    </w:p>
    <w:p w14:paraId="3742CEA8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4) средстава обезбеђених задуживањем; </w:t>
      </w:r>
    </w:p>
    <w:p w14:paraId="18FEC353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5) средстава из буџета Републике Србије; </w:t>
      </w:r>
    </w:p>
    <w:p w14:paraId="0097F4CA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6) донација; и </w:t>
      </w:r>
    </w:p>
    <w:p w14:paraId="60968E3F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7) других средстава, у складу са законом. </w:t>
      </w:r>
    </w:p>
    <w:p w14:paraId="0ADBEED1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Средства фонда за осигурање депозита користе се за: </w:t>
      </w:r>
    </w:p>
    <w:p w14:paraId="32658465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1) исплату осигураних износа депозита са припадајућим трошковима исплате у случају стечаја или ликвидације банке (трошкови услуга, камата, накнада и пореза, као и сви други стварни трошкови које је Агенција имала при прибављању средстава ради исплате осигураних износа депозита, спровођења те исплате и наплате средстава из стечајне, односно ликвидационе масе банке); </w:t>
      </w:r>
    </w:p>
    <w:p w14:paraId="7B94E091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2) финансирање поступка реструктурирања банке, у обиму и под условима утврђеним законом којим се уређују банке; </w:t>
      </w:r>
    </w:p>
    <w:p w14:paraId="19781EA1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lastRenderedPageBreak/>
        <w:tab/>
        <w:t xml:space="preserve">3) </w:t>
      </w:r>
      <w:r w:rsidRPr="005B62C6">
        <w:rPr>
          <w:strike/>
          <w:lang w:val="sr-Cyrl-CS"/>
        </w:rPr>
        <w:t>финансирање трошкова управљања средствима фонда за осигурање депозита и покривање оперативних трошкова Агенције ради реализације послова који се односе на осигурање депозита, и то до износа утврђеног законом којим се уређује Агенција;</w:t>
      </w:r>
      <w:r w:rsidRPr="005B62C6">
        <w:rPr>
          <w:lang w:val="sr-Cyrl-CS"/>
        </w:rPr>
        <w:t xml:space="preserve"> </w:t>
      </w:r>
    </w:p>
    <w:p w14:paraId="303BB505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>3) ФИНАНСИРАЊЕ ТРОШКОВА УПРАВЉАЊА СРЕДСТВИМА ФОНДА ЗА ОСИГУРАЊЕ ДЕПОЗИТА И ПОКРИВАЊЕ ОПЕРАТИВНИХ ТРОШКОВА АГЕНЦИЈЕ ДО ИЗНОСА УТВРЂЕНОГ ЗАКОНОМ КОЈИМ СЕ УРЕЂУЈЕ АГЕНЦИЈА;</w:t>
      </w:r>
    </w:p>
    <w:p w14:paraId="7D9C52EF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>4) повраћај позајмљених средстава употребљених за намене из овог става (повраћај главнице и свих припадајућих обавеза по основу камата, накнада, пореза и других трошкова);</w:t>
      </w:r>
    </w:p>
    <w:p w14:paraId="71269E05" w14:textId="77777777" w:rsidR="00E916AF" w:rsidRPr="005B62C6" w:rsidRDefault="00E916AF" w:rsidP="00E916AF">
      <w:pPr>
        <w:pStyle w:val="Normal20"/>
        <w:jc w:val="both"/>
        <w:rPr>
          <w:strike/>
          <w:lang w:val="sr-Cyrl-CS"/>
        </w:rPr>
      </w:pPr>
      <w:r w:rsidRPr="005B62C6">
        <w:rPr>
          <w:lang w:val="sr-Cyrl-CS"/>
        </w:rPr>
        <w:tab/>
        <w:t xml:space="preserve">5) </w:t>
      </w:r>
      <w:r w:rsidRPr="005B62C6">
        <w:rPr>
          <w:strike/>
          <w:lang w:val="sr-Cyrl-CS"/>
        </w:rPr>
        <w:t>финансирање улагања Агенције у основна средства и нематеријалну имовину ради реализације послова који се односе на осигурање депозита, у пуном износу утврђених улагања.</w:t>
      </w:r>
    </w:p>
    <w:p w14:paraId="7189281D" w14:textId="77777777" w:rsidR="00C0238B" w:rsidRPr="005B62C6" w:rsidRDefault="00C0238B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>5) ФИНАНСИРАЊЕ УЛАГАЊА АГЕНЦИЈЕ У ОСНОВНА СРЕДСТВА И НЕМАТЕРИЈАЛНУ ИМОВИНУ У ПУНОМ ИЗНОСУ УТВРЂЕНИХ УЛАГАЊА.</w:t>
      </w:r>
    </w:p>
    <w:p w14:paraId="35D4DBF1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>Директор Агенције утврђује критеријуме за распоређивање улагања из става 3. тачка 5) овог члана и за раздвајање ових улагања од улагања ради обављања других послова Агенције.</w:t>
      </w:r>
    </w:p>
    <w:p w14:paraId="42068CAF" w14:textId="77777777" w:rsidR="00E916AF" w:rsidRPr="005B62C6" w:rsidRDefault="00E916AF" w:rsidP="00E916AF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Средства фонда за осигурање депозита не могу бити предмет извршења, принудне наплате нити се на њима може успоставити залога. </w:t>
      </w:r>
    </w:p>
    <w:p w14:paraId="104FF124" w14:textId="77777777" w:rsidR="001004FF" w:rsidRPr="005B62C6" w:rsidRDefault="001004FF" w:rsidP="00CD1561">
      <w:pPr>
        <w:pStyle w:val="NoSpacing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  <w:t>Члан 7.</w:t>
      </w:r>
    </w:p>
    <w:p w14:paraId="65E2A434" w14:textId="77777777" w:rsidR="001004FF" w:rsidRPr="005B62C6" w:rsidRDefault="001004FF" w:rsidP="003B743B">
      <w:pPr>
        <w:pStyle w:val="NoSpacing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  <w:t>Агенција је дужна да новчана средства фонда за осигурање депозита држи на посебном депозитном рачуну отвореном код Народне банке Србије.</w:t>
      </w:r>
    </w:p>
    <w:p w14:paraId="42C24C96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3300ED56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  <w:t>Агенција динарска средства фонда за осигурање депозита, на основу одлуке Управног одбора, улаже у дужничке хартије од вредности које издаје Република Србија или Народна банка Србије.</w:t>
      </w:r>
    </w:p>
    <w:p w14:paraId="459DC3B9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506A74FC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  <w:t>На основу одлуке Управног одбора Агенције и уговора закљученог са Агенцијом и по налогу Агенције, Народна банка Србије, у своје име, а за рачун Агенције, девизна средства фонда за осигурање депозита улажу у страну хартије од вредности или их полажу као депозит код страних банака, у складу са политиком управљања девизним резервама.</w:t>
      </w:r>
    </w:p>
    <w:p w14:paraId="1F16CD27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48C91055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  <w:t>Изузетно од става 3. овог члана, у околностима значајних промена на међународном финансијском тржишту узрокованих постојањем негативне каматне стопе на депозите код страних банака, Агенција може да ради једне четвртине девизних средстава фонда за осигурање депозита улагати и у девизне дужничке хартије од вредности које издаје Република Србија или Народна банка Србије.</w:t>
      </w:r>
    </w:p>
    <w:p w14:paraId="64846B70" w14:textId="77777777" w:rsidR="001004FF" w:rsidRPr="005B62C6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471A8A5E" w14:textId="6684B3A0" w:rsidR="001004FF" w:rsidRDefault="001004FF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  <w:r w:rsidRPr="005B62C6"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  <w:t>Средства фонда за осигурање депозита улажу се на начин којим се умањује ризик, одржава ликвидност овог фонда и остварују одговарајуће приходе.</w:t>
      </w:r>
    </w:p>
    <w:p w14:paraId="0BEBE7DB" w14:textId="742A7128" w:rsidR="00B31B1E" w:rsidRDefault="00B31B1E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1B43F901" w14:textId="19B45D61" w:rsidR="00B31B1E" w:rsidRDefault="00B31B1E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376F06B0" w14:textId="77777777" w:rsidR="00B31B1E" w:rsidRPr="005B62C6" w:rsidRDefault="00B31B1E" w:rsidP="001004F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/>
        </w:rPr>
      </w:pPr>
    </w:p>
    <w:p w14:paraId="603B1A74" w14:textId="77777777" w:rsidR="003430DE" w:rsidRPr="005B62C6" w:rsidRDefault="003430DE" w:rsidP="003430DE">
      <w:pPr>
        <w:shd w:val="clear" w:color="auto" w:fill="FFFFFF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672B9F8" w14:textId="3DE37800" w:rsidR="00E177D4" w:rsidRDefault="005B62C6" w:rsidP="00CD1561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noProof/>
          <w:sz w:val="24"/>
          <w:szCs w:val="24"/>
          <w:lang w:val="sr-Cyrl-CS"/>
        </w:rPr>
        <w:t>ЧЛАН 7.</w:t>
      </w:r>
    </w:p>
    <w:p w14:paraId="5FE961CF" w14:textId="477F38E4" w:rsidR="005B62C6" w:rsidRPr="00703B7F" w:rsidRDefault="005B62C6" w:rsidP="005B62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АГЕНЦИЈА ЈЕ ДУЖНА ДА СРЕДСТВА ФОНДА ЗА ОСИГУРАЊЕ ДЕПОЗИТА ДРЖИ НА ПОСЕБНИМ ДЕПОЗИТНИМ РАЧУНИМА ОТВОРЕНИМ КОД НАРОДНЕ БАНКЕ СРБИЈЕ. </w:t>
      </w:r>
    </w:p>
    <w:p w14:paraId="175A31FF" w14:textId="7BE8EBA7" w:rsidR="005B62C6" w:rsidRPr="00703B7F" w:rsidRDefault="005B62C6" w:rsidP="005B62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ДИНАРСКА И ДЕВИЗНА СРЕДСТВА ИЗ СТАВА 1. ОВОГ ЧЛАНА АГЕНЦИЈА УЛАЖЕ У ДУЖНИЧКЕ ХАРТИЈЕ ОД ВРЕДНОСТИ КОЈЕ ИЗДАЈУ РЕПУБЛИКА СРБИЈА, НАРОДНА БАНКА СРБИЈЕ, АУТОНОМНА ПОКРАЈИНА ИЛИ ЈЕДИНИЦЕ ЛОКАЛНЕ САМОУПРАВЕ У РЕПУБЛИЦИ СРБИЈИ.  </w:t>
      </w:r>
    </w:p>
    <w:p w14:paraId="7A3CB769" w14:textId="1E873F46" w:rsidR="005B62C6" w:rsidRPr="00703B7F" w:rsidRDefault="005B62C6" w:rsidP="005B62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НА ОСНОВУ ОДЛУКЕ УПРАВНОГ ОДБОРА АГЕНЦИЈЕ И УГОВОРА ЗАКЉУЧЕНОГ СА АГЕНЦИЈОМ, И ПО НАЛОГУ АГЕНЦИЈЕ, НАРОДНА БАНКА СРБИЈЕ, У СВОЈЕ ИМЕ, А ЗА РАЧУН АГЕНЦИЈЕ, ДЕВИЗНА СРЕДСТВА ФОНДА ЗА ОСИГУРАЊЕ ДЕПОЗИТА МОЖЕ УЛАГАТИ И У СТРАНЕ ХАРТИЈЕ ОД ВРЕДНОСТИ ИЛИ ИХ ПОЛАЖЕ КАО ДЕПОЗИТ КОД СТРАНИХ БАНАКА, У СКЛАДУ СА ПОЛИТИКОМ УПРАВЉАЊА ДЕВИЗНИМ РЕЗЕРВАМА.</w:t>
      </w:r>
    </w:p>
    <w:p w14:paraId="69438F9D" w14:textId="5D6FADD5" w:rsidR="005B62C6" w:rsidRDefault="005B62C6" w:rsidP="005B62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СРЕДСТВА ФОНДА ЗА ОСИГУРАЊЕ ДЕПОЗИТА УЛАЖУ СЕ НА НАЧИН КОЈИМ СЕ УМАЊУЈЕ РИЗИК, ОДРЖАВА ЛИКВИДНОСТ ОВОГ ФОНДА И ОСТВАРУЈУ ОДГОВАРАЈУЋИ ПРИХОДИ.</w:t>
      </w:r>
    </w:p>
    <w:p w14:paraId="206C9FA5" w14:textId="77777777" w:rsidR="005B62C6" w:rsidRPr="005B62C6" w:rsidRDefault="005B62C6" w:rsidP="005B62C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8CF36DE" w14:textId="4EEDFAC4" w:rsidR="00E916AF" w:rsidRPr="005B62C6" w:rsidRDefault="005B62C6" w:rsidP="00E916A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2078DAB0" w14:textId="77777777" w:rsidR="00E916AF" w:rsidRPr="005B62C6" w:rsidRDefault="00E916AF" w:rsidP="00E916A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B62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Агенција утврђује стопу редовне премије за наредну годину најкасније до 30. септембра текуће године, узимајући у обзир стање у банкарском и укупном финансијском систему Републике Србије, степен ризика коме је изложен, као и однос укупне висине расположивих средстава фонда за осигурање депозита и процењеног износа потребног за исплату осигураних износа у случају истовременог стечаја или ликвидације три банке средње величине. </w:t>
      </w:r>
    </w:p>
    <w:p w14:paraId="576A44F6" w14:textId="77777777" w:rsidR="00E916AF" w:rsidRPr="005B62C6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Стопа редовне премије износи највише 0,2% квартално у односу на укупне осигуране износе депозита банака. </w:t>
      </w:r>
    </w:p>
    <w:p w14:paraId="22E485F5" w14:textId="77777777" w:rsidR="00E916AF" w:rsidRPr="005B62C6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Основица за обрачун премије израчунава се као просечно стање укупних осигураних износа депозита у банци у претходном тромесечју које се утврђује на основу извештаја банке о укупним, осигураним депозитима и осигураним износима депозита из члана 8. став 4. овог закона. </w:t>
      </w:r>
    </w:p>
    <w:p w14:paraId="33F3D3C2" w14:textId="77777777" w:rsidR="00E916AF" w:rsidRPr="005B62C6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Редовну премију Агенција обрачунава и наплаћује тромесечно као производ основице за обрачун премије и утврђене стопе редовне премије из става 1. овог члана, на начин и у роковима које пропише Агенција сагласно члану 8. став 1. овог закона. </w:t>
      </w:r>
    </w:p>
    <w:p w14:paraId="2C0F8575" w14:textId="77777777" w:rsidR="00E916AF" w:rsidRPr="005B62C6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У случају примене обрачуна премије на основу нивоа ризика у пословању банака, редовна премија се израчунава као производ основице за обрачун премије, стопе редовне премије из става 1. овог члана и процењеног фактора ризика у пословању сваке појединачне банке који Агенција утврђује у складу са методологијом. </w:t>
      </w:r>
    </w:p>
    <w:p w14:paraId="6A7F9405" w14:textId="77777777" w:rsidR="00E916AF" w:rsidRPr="005B62C6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lastRenderedPageBreak/>
        <w:tab/>
        <w:t xml:space="preserve">Агенција редовну премију за динарске депозите обрачунава и наплаћује у динарима. За девизне депозите положене у еврима и девизне депозите положене у осталим валутама (различитим од евра), редовна премија обрачунава се и наплаћује у еврима. При утврђивању основице из става 3. овог члана за обрачун редовне премије за депозите положене у еврима и депозите положене у осталим валутама (различитим од евра) примењује се курс евра према одређеној валути, израчунат на основу званичног средњег курса динара према евру и званичног средњег курса динара према тој валути који важе на последњи дан сваког месеца у тромесечју. </w:t>
      </w:r>
    </w:p>
    <w:p w14:paraId="3B5E7EB3" w14:textId="77777777" w:rsidR="00E916AF" w:rsidRPr="005B62C6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Агенција може обуставити обрачун и наплату редовне премије ако средства фонда за осигурање депозита достигну циљни износ фонда дефинисан чланом 23. овог закона, осим за износ неопходан за покриће: </w:t>
      </w:r>
    </w:p>
    <w:p w14:paraId="332F6EAC" w14:textId="77777777" w:rsidR="003B743B" w:rsidRPr="005B62C6" w:rsidRDefault="003B743B" w:rsidP="003B743B">
      <w:pPr>
        <w:pStyle w:val="Normal20"/>
        <w:jc w:val="both"/>
        <w:rPr>
          <w:strike/>
          <w:lang w:val="sr-Cyrl-CS"/>
        </w:rPr>
      </w:pPr>
      <w:r w:rsidRPr="005B62C6">
        <w:rPr>
          <w:lang w:val="sr-Cyrl-CS"/>
        </w:rPr>
        <w:tab/>
      </w:r>
      <w:r w:rsidRPr="005B62C6">
        <w:rPr>
          <w:strike/>
          <w:lang w:val="sr-Cyrl-CS"/>
        </w:rPr>
        <w:t xml:space="preserve">1) стварно утврђених оперативних трошкова Агенције насталих обављањем послова који се односе на осигурање депозита, до нивоа средстава издвојених из фонда за покриће оперативних трошкова у претходној календарској години; </w:t>
      </w:r>
    </w:p>
    <w:p w14:paraId="3DB58790" w14:textId="77777777" w:rsidR="003B743B" w:rsidRPr="005B62C6" w:rsidRDefault="003B743B" w:rsidP="003B743B">
      <w:pPr>
        <w:pStyle w:val="Normal20"/>
        <w:jc w:val="both"/>
        <w:rPr>
          <w:strike/>
          <w:lang w:val="sr-Cyrl-CS"/>
        </w:rPr>
      </w:pPr>
      <w:r w:rsidRPr="005B62C6">
        <w:rPr>
          <w:lang w:val="sr-Cyrl-CS"/>
        </w:rPr>
        <w:tab/>
      </w:r>
      <w:r w:rsidRPr="005B62C6">
        <w:rPr>
          <w:strike/>
          <w:lang w:val="sr-Cyrl-CS"/>
        </w:rPr>
        <w:t xml:space="preserve">2) улагања Агенције у основна средства и нематеријалну имовину која су у вези са обављањем послова који се односе на осигурање депозита; </w:t>
      </w:r>
    </w:p>
    <w:p w14:paraId="781E794C" w14:textId="77777777" w:rsidR="00E916AF" w:rsidRPr="005B62C6" w:rsidRDefault="003B743B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1) СТВАРНО УТВРЂЕНИХ ОПЕРАТИВНИХ ТРОШКОВА АГЕНЦИЈЕ ДО НИВОА СРЕДСТАВА ИЗДВОЈЕНИХ ИЗ ФОНДА ЗА ПОКРИЋЕ ОПЕРАТИВНИХ ТРОШКОВА У ПРЕТХОДНОЈ КАЛЕНДАРСКОЈ ГОДИНИ; </w:t>
      </w:r>
    </w:p>
    <w:p w14:paraId="44205E95" w14:textId="77777777" w:rsidR="00E916AF" w:rsidRPr="005B62C6" w:rsidRDefault="003B743B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 xml:space="preserve">2) УЛАГАЊА АГЕНЦИЈЕ У ОСНОВНА СРЕДСТВА И НЕМАТЕРИЈАЛНУ ИМОВИНУ; </w:t>
      </w:r>
    </w:p>
    <w:p w14:paraId="28D94B47" w14:textId="399360C1" w:rsidR="00E916AF" w:rsidRDefault="00E916AF" w:rsidP="00474222">
      <w:pPr>
        <w:pStyle w:val="Normal20"/>
        <w:jc w:val="both"/>
        <w:rPr>
          <w:lang w:val="sr-Cyrl-CS"/>
        </w:rPr>
      </w:pPr>
      <w:r w:rsidRPr="005B62C6">
        <w:rPr>
          <w:lang w:val="sr-Cyrl-CS"/>
        </w:rPr>
        <w:tab/>
        <w:t>3) трошкова отплате позајмљених средстава фонда.</w:t>
      </w:r>
    </w:p>
    <w:p w14:paraId="4D4F690A" w14:textId="72A1FC60" w:rsidR="00344B0E" w:rsidRPr="00703B7F" w:rsidRDefault="00344B0E" w:rsidP="00344B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7A7D7FD1" w14:textId="371A1F4B" w:rsidR="00344B0E" w:rsidRPr="00703B7F" w:rsidRDefault="00344B0E" w:rsidP="00344B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СРБИЈЕ”.</w:t>
      </w:r>
    </w:p>
    <w:p w14:paraId="3B9D774D" w14:textId="77777777" w:rsidR="00344B0E" w:rsidRPr="00703B7F" w:rsidRDefault="00344B0E" w:rsidP="00344B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2F6A0E9" w14:textId="77777777" w:rsidR="00344B0E" w:rsidRPr="00703B7F" w:rsidRDefault="00344B0E" w:rsidP="00344B0E">
      <w:pPr>
        <w:rPr>
          <w:lang w:val="sr-Cyrl-CS"/>
        </w:rPr>
      </w:pPr>
    </w:p>
    <w:p w14:paraId="65F3995D" w14:textId="77777777" w:rsidR="00344B0E" w:rsidRPr="005B62C6" w:rsidRDefault="00344B0E" w:rsidP="00474222">
      <w:pPr>
        <w:pStyle w:val="Normal20"/>
        <w:jc w:val="both"/>
        <w:rPr>
          <w:lang w:val="sr-Cyrl-CS"/>
        </w:rPr>
      </w:pPr>
    </w:p>
    <w:sectPr w:rsidR="00344B0E" w:rsidRPr="005B62C6" w:rsidSect="006B161F">
      <w:footerReference w:type="default" r:id="rId7"/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975DC" w14:textId="77777777" w:rsidR="00653A51" w:rsidRDefault="00653A51" w:rsidP="006B161F">
      <w:pPr>
        <w:spacing w:after="0" w:line="240" w:lineRule="auto"/>
      </w:pPr>
      <w:r>
        <w:separator/>
      </w:r>
    </w:p>
  </w:endnote>
  <w:endnote w:type="continuationSeparator" w:id="0">
    <w:p w14:paraId="600F4CC0" w14:textId="77777777" w:rsidR="00653A51" w:rsidRDefault="00653A51" w:rsidP="006B1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181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4D94B2" w14:textId="4F8AD6B4" w:rsidR="006B161F" w:rsidRDefault="006B16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39B7E8" w14:textId="77777777" w:rsidR="006B161F" w:rsidRDefault="006B16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8E32" w14:textId="77777777" w:rsidR="00653A51" w:rsidRDefault="00653A51" w:rsidP="006B161F">
      <w:pPr>
        <w:spacing w:after="0" w:line="240" w:lineRule="auto"/>
      </w:pPr>
      <w:r>
        <w:separator/>
      </w:r>
    </w:p>
  </w:footnote>
  <w:footnote w:type="continuationSeparator" w:id="0">
    <w:p w14:paraId="20BE3D69" w14:textId="77777777" w:rsidR="00653A51" w:rsidRDefault="00653A51" w:rsidP="006B1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91472"/>
    <w:multiLevelType w:val="hybridMultilevel"/>
    <w:tmpl w:val="C20A9854"/>
    <w:lvl w:ilvl="0" w:tplc="C4A0D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441E6"/>
    <w:multiLevelType w:val="hybridMultilevel"/>
    <w:tmpl w:val="06DA13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602E8"/>
    <w:multiLevelType w:val="hybridMultilevel"/>
    <w:tmpl w:val="0686A018"/>
    <w:lvl w:ilvl="0" w:tplc="56E030B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9C"/>
    <w:rsid w:val="000B2D52"/>
    <w:rsid w:val="000D2D84"/>
    <w:rsid w:val="001004FF"/>
    <w:rsid w:val="001620F7"/>
    <w:rsid w:val="001848DC"/>
    <w:rsid w:val="0024659C"/>
    <w:rsid w:val="002C1D14"/>
    <w:rsid w:val="002F36BC"/>
    <w:rsid w:val="003430DE"/>
    <w:rsid w:val="00344B0E"/>
    <w:rsid w:val="00362F67"/>
    <w:rsid w:val="003B743B"/>
    <w:rsid w:val="003D34C1"/>
    <w:rsid w:val="004307A3"/>
    <w:rsid w:val="005B62C6"/>
    <w:rsid w:val="005C0760"/>
    <w:rsid w:val="005D2A97"/>
    <w:rsid w:val="005D716B"/>
    <w:rsid w:val="005F3304"/>
    <w:rsid w:val="00647A28"/>
    <w:rsid w:val="00653A51"/>
    <w:rsid w:val="006A71F5"/>
    <w:rsid w:val="006B161F"/>
    <w:rsid w:val="006D4994"/>
    <w:rsid w:val="00795C2E"/>
    <w:rsid w:val="007B56D0"/>
    <w:rsid w:val="0081092E"/>
    <w:rsid w:val="00860650"/>
    <w:rsid w:val="008757D5"/>
    <w:rsid w:val="00932CF8"/>
    <w:rsid w:val="009362F3"/>
    <w:rsid w:val="00947F50"/>
    <w:rsid w:val="00972E38"/>
    <w:rsid w:val="00AE1132"/>
    <w:rsid w:val="00B31B1E"/>
    <w:rsid w:val="00C0238B"/>
    <w:rsid w:val="00C4336D"/>
    <w:rsid w:val="00C905EE"/>
    <w:rsid w:val="00CB083D"/>
    <w:rsid w:val="00CD1561"/>
    <w:rsid w:val="00CF4E55"/>
    <w:rsid w:val="00D17F8B"/>
    <w:rsid w:val="00D86599"/>
    <w:rsid w:val="00E177D4"/>
    <w:rsid w:val="00E916AF"/>
    <w:rsid w:val="00E9566F"/>
    <w:rsid w:val="00EA326E"/>
    <w:rsid w:val="00ED294A"/>
    <w:rsid w:val="00ED2CA0"/>
    <w:rsid w:val="00F6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59746"/>
  <w15:chartTrackingRefBased/>
  <w15:docId w15:val="{FE69917E-8531-4099-89AE-2A0F0748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16B"/>
  </w:style>
  <w:style w:type="paragraph" w:styleId="Heading3">
    <w:name w:val="heading 3"/>
    <w:basedOn w:val="Normal"/>
    <w:link w:val="Heading3Char"/>
    <w:uiPriority w:val="9"/>
    <w:qFormat/>
    <w:rsid w:val="002465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465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46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659C"/>
    <w:rPr>
      <w:b/>
      <w:bCs/>
    </w:rPr>
  </w:style>
  <w:style w:type="paragraph" w:customStyle="1" w:styleId="Normal1">
    <w:name w:val="Normal1"/>
    <w:basedOn w:val="Normal"/>
    <w:rsid w:val="0079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AE1132"/>
    <w:pPr>
      <w:ind w:left="720"/>
      <w:contextualSpacing/>
    </w:pPr>
  </w:style>
  <w:style w:type="paragraph" w:styleId="NoSpacing">
    <w:name w:val="No Spacing"/>
    <w:uiPriority w:val="1"/>
    <w:qFormat/>
    <w:rsid w:val="00C905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0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60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5D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5D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5D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5B62C6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62C6"/>
    <w:rPr>
      <w:rFonts w:eastAsiaTheme="minorEastAsia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B1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61F"/>
  </w:style>
  <w:style w:type="paragraph" w:styleId="Footer">
    <w:name w:val="footer"/>
    <w:basedOn w:val="Normal"/>
    <w:link w:val="FooterChar"/>
    <w:uiPriority w:val="99"/>
    <w:unhideWhenUsed/>
    <w:rsid w:val="006B1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Popović</dc:creator>
  <cp:keywords/>
  <dc:description/>
  <cp:lastModifiedBy>Andjelka Opacic</cp:lastModifiedBy>
  <cp:revision>8</cp:revision>
  <cp:lastPrinted>2024-10-17T11:53:00Z</cp:lastPrinted>
  <dcterms:created xsi:type="dcterms:W3CDTF">2024-11-07T09:14:00Z</dcterms:created>
  <dcterms:modified xsi:type="dcterms:W3CDTF">2024-11-08T07:07:00Z</dcterms:modified>
</cp:coreProperties>
</file>