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98EDB" w14:textId="19320463" w:rsidR="00084238" w:rsidRPr="000436EE" w:rsidRDefault="00084238" w:rsidP="00084238">
      <w:pPr>
        <w:pStyle w:val="basic-paragraph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D83A5F" w14:textId="253CBE94" w:rsidR="00084238" w:rsidRPr="000436EE" w:rsidRDefault="00084238" w:rsidP="00084238">
      <w:pPr>
        <w:pStyle w:val="basic-paragraph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На основу члана 54. став 3. Закона о електронским комуникацијама („Службени гласник РС”, број 35/23),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03DAA147" w14:textId="4960252A" w:rsidR="00084238" w:rsidRPr="000436EE" w:rsidRDefault="00084238" w:rsidP="00084238">
      <w:pPr>
        <w:pStyle w:val="basic-paragraph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087E90B5" w14:textId="1A545182" w:rsidR="00084238" w:rsidRPr="000436EE" w:rsidRDefault="00084238" w:rsidP="00652B54">
      <w:pPr>
        <w:pStyle w:val="basic-paragraph"/>
        <w:spacing w:after="0"/>
        <w:ind w:firstLine="709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УРЕДБУ</w:t>
      </w:r>
    </w:p>
    <w:p w14:paraId="13C847B8" w14:textId="0F167DEA" w:rsidR="00084238" w:rsidRPr="000436EE" w:rsidRDefault="004E6AAC" w:rsidP="00652B54">
      <w:pPr>
        <w:pStyle w:val="basic-paragraph"/>
        <w:spacing w:after="0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О МАКСИМАЛНОМ ИЗНОСУ ВИСИНЕ НАКНАДЕ ЗА ЗАСНИВАЊЕ ПРАВА СЛУЖБЕНОСТИ НА НЕПОКРЕТНОСТИМА У ЈАВНОЈ СВОЈИНИ ПРИЛИКОМ ИЗГРАДЊЕ ЕЛЕКТРОНСКИХ КОМУНИКАЦИОНИХ МРЕЖА</w:t>
      </w:r>
    </w:p>
    <w:p w14:paraId="4F8756F2" w14:textId="4DF4B93B" w:rsidR="00084238" w:rsidRPr="000436EE" w:rsidRDefault="00084238" w:rsidP="00084238">
      <w:pPr>
        <w:pStyle w:val="basic-paragraph"/>
        <w:spacing w:after="0"/>
        <w:ind w:firstLine="708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</w:p>
    <w:p w14:paraId="4072D9D6" w14:textId="77777777" w:rsidR="009C0C47" w:rsidRPr="000436EE" w:rsidRDefault="009C0C47" w:rsidP="00084238">
      <w:pPr>
        <w:pStyle w:val="basic-paragraph"/>
        <w:spacing w:after="0"/>
        <w:ind w:firstLine="708"/>
        <w:jc w:val="both"/>
        <w:rPr>
          <w:rFonts w:ascii="Times New Roman" w:hAnsi="Times New Roman"/>
          <w:strike/>
          <w:sz w:val="24"/>
          <w:szCs w:val="24"/>
          <w:lang w:val="sr-Cyrl-CS"/>
        </w:rPr>
      </w:pPr>
    </w:p>
    <w:p w14:paraId="41CB4C8F" w14:textId="7013F961" w:rsidR="00084238" w:rsidRPr="000436EE" w:rsidRDefault="00084238" w:rsidP="004E0DE0">
      <w:pPr>
        <w:pStyle w:val="clan"/>
        <w:spacing w:before="0" w:beforeAutospacing="0" w:after="0" w:afterAutospacing="0"/>
        <w:ind w:firstLine="4678"/>
        <w:rPr>
          <w:lang w:val="sr-Cyrl-CS"/>
        </w:rPr>
      </w:pPr>
      <w:r w:rsidRPr="000436EE">
        <w:rPr>
          <w:lang w:val="sr-Cyrl-CS"/>
        </w:rPr>
        <w:t>Члан 1.</w:t>
      </w:r>
    </w:p>
    <w:p w14:paraId="4952ED6E" w14:textId="77777777" w:rsidR="00330C26" w:rsidRPr="000436EE" w:rsidRDefault="00330C26" w:rsidP="006F0A0A">
      <w:pPr>
        <w:pStyle w:val="clan"/>
        <w:spacing w:before="0" w:beforeAutospacing="0" w:after="0" w:afterAutospacing="0"/>
        <w:ind w:firstLine="4678"/>
        <w:rPr>
          <w:lang w:val="sr-Cyrl-CS"/>
        </w:rPr>
      </w:pPr>
    </w:p>
    <w:p w14:paraId="44EA29A3" w14:textId="70EC741C" w:rsidR="00084238" w:rsidRPr="000436EE" w:rsidRDefault="00084238" w:rsidP="00084238">
      <w:pPr>
        <w:pStyle w:val="basic-paragraph"/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Овом уредбом прописуј</w:t>
      </w:r>
      <w:r w:rsidR="00EF59BD" w:rsidRPr="000436EE">
        <w:rPr>
          <w:rFonts w:ascii="Times New Roman" w:hAnsi="Times New Roman"/>
          <w:sz w:val="24"/>
          <w:szCs w:val="24"/>
          <w:lang w:val="sr-Cyrl-CS"/>
        </w:rPr>
        <w:t>е</w:t>
      </w:r>
      <w:r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F59BD" w:rsidRPr="000436EE">
        <w:rPr>
          <w:rFonts w:ascii="Times New Roman" w:hAnsi="Times New Roman"/>
          <w:sz w:val="24"/>
          <w:szCs w:val="24"/>
          <w:lang w:val="sr-Cyrl-CS"/>
        </w:rPr>
        <w:t xml:space="preserve">се </w:t>
      </w:r>
      <w:bookmarkStart w:id="0" w:name="_Hlk187846448"/>
      <w:r w:rsidRPr="000436EE">
        <w:rPr>
          <w:rFonts w:ascii="Times New Roman" w:hAnsi="Times New Roman"/>
          <w:sz w:val="24"/>
          <w:szCs w:val="24"/>
          <w:lang w:val="sr-Cyrl-CS"/>
        </w:rPr>
        <w:t xml:space="preserve">максимални износ висине накнаде </w:t>
      </w:r>
      <w:bookmarkEnd w:id="0"/>
      <w:r w:rsidRPr="000436EE">
        <w:rPr>
          <w:rFonts w:ascii="Times New Roman" w:hAnsi="Times New Roman"/>
          <w:sz w:val="24"/>
          <w:szCs w:val="24"/>
          <w:lang w:val="sr-Cyrl-CS"/>
        </w:rPr>
        <w:t>за засн</w:t>
      </w:r>
      <w:r w:rsidR="0052416D" w:rsidRPr="000436EE">
        <w:rPr>
          <w:rFonts w:ascii="Times New Roman" w:hAnsi="Times New Roman"/>
          <w:sz w:val="24"/>
          <w:szCs w:val="24"/>
          <w:lang w:val="sr-Cyrl-CS"/>
        </w:rPr>
        <w:t>и</w:t>
      </w:r>
      <w:r w:rsidRPr="000436EE">
        <w:rPr>
          <w:rFonts w:ascii="Times New Roman" w:hAnsi="Times New Roman"/>
          <w:sz w:val="24"/>
          <w:szCs w:val="24"/>
          <w:lang w:val="sr-Cyrl-CS"/>
        </w:rPr>
        <w:t xml:space="preserve">вање права службености </w:t>
      </w:r>
      <w:bookmarkStart w:id="1" w:name="_Hlk182475257"/>
      <w:r w:rsidR="00CF3D1A" w:rsidRPr="000436EE">
        <w:rPr>
          <w:rFonts w:ascii="Times New Roman" w:hAnsi="Times New Roman"/>
          <w:sz w:val="24"/>
          <w:szCs w:val="24"/>
          <w:lang w:val="sr-Cyrl-CS"/>
        </w:rPr>
        <w:t>на непокретности</w:t>
      </w:r>
      <w:r w:rsidR="00804833" w:rsidRPr="000436EE">
        <w:rPr>
          <w:rFonts w:ascii="Times New Roman" w:hAnsi="Times New Roman"/>
          <w:sz w:val="24"/>
          <w:szCs w:val="24"/>
          <w:lang w:val="sr-Cyrl-CS"/>
        </w:rPr>
        <w:t>ма</w:t>
      </w:r>
      <w:r w:rsidR="00CF3D1A" w:rsidRPr="000436EE">
        <w:rPr>
          <w:rFonts w:ascii="Times New Roman" w:hAnsi="Times New Roman"/>
          <w:sz w:val="24"/>
          <w:szCs w:val="24"/>
          <w:lang w:val="sr-Cyrl-CS"/>
        </w:rPr>
        <w:t xml:space="preserve"> у јавној својини </w:t>
      </w:r>
      <w:r w:rsidR="00610ECA" w:rsidRPr="000436EE">
        <w:rPr>
          <w:rFonts w:ascii="Times New Roman" w:hAnsi="Times New Roman"/>
          <w:sz w:val="24"/>
          <w:szCs w:val="24"/>
          <w:lang w:val="sr-Cyrl-CS"/>
        </w:rPr>
        <w:t>приликом изградње електронских комуникаци</w:t>
      </w:r>
      <w:r w:rsidR="005F42F8" w:rsidRPr="000436EE">
        <w:rPr>
          <w:rFonts w:ascii="Times New Roman" w:hAnsi="Times New Roman"/>
          <w:sz w:val="24"/>
          <w:szCs w:val="24"/>
          <w:lang w:val="sr-Cyrl-CS"/>
        </w:rPr>
        <w:t>оних мрежа.</w:t>
      </w:r>
      <w:r w:rsidR="005F42F8" w:rsidRPr="000436EE" w:rsidDel="00610ECA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End w:id="1"/>
    </w:p>
    <w:p w14:paraId="5BF1DCF9" w14:textId="3F5C060C" w:rsidR="00CB3831" w:rsidRPr="000436EE" w:rsidRDefault="00972624" w:rsidP="00084238">
      <w:pPr>
        <w:pStyle w:val="basic-paragraph"/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Н</w:t>
      </w:r>
      <w:r w:rsidR="00CB44C4" w:rsidRPr="000436EE">
        <w:rPr>
          <w:rFonts w:ascii="Times New Roman" w:hAnsi="Times New Roman"/>
          <w:sz w:val="24"/>
          <w:szCs w:val="24"/>
          <w:lang w:val="sr-Cyrl-CS"/>
        </w:rPr>
        <w:t>акнад</w:t>
      </w:r>
      <w:r w:rsidR="009837A3" w:rsidRPr="000436EE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417A30" w:rsidRPr="000436EE">
        <w:rPr>
          <w:rFonts w:ascii="Times New Roman" w:hAnsi="Times New Roman"/>
          <w:sz w:val="24"/>
          <w:szCs w:val="24"/>
          <w:lang w:val="sr-Cyrl-CS"/>
        </w:rPr>
        <w:t xml:space="preserve">из става 1. овог члана 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дужни су да плаћају </w:t>
      </w:r>
      <w:r w:rsidR="00F33500" w:rsidRPr="000436EE">
        <w:rPr>
          <w:rFonts w:ascii="Times New Roman" w:hAnsi="Times New Roman"/>
          <w:color w:val="000000"/>
          <w:sz w:val="24"/>
          <w:szCs w:val="24"/>
          <w:lang w:val="sr-Cyrl-CS"/>
        </w:rPr>
        <w:t>обвезни</w:t>
      </w:r>
      <w:r w:rsidR="00365C24" w:rsidRPr="000436EE">
        <w:rPr>
          <w:rFonts w:ascii="Times New Roman" w:hAnsi="Times New Roman"/>
          <w:color w:val="000000"/>
          <w:sz w:val="24"/>
          <w:szCs w:val="24"/>
          <w:lang w:val="sr-Cyrl-CS"/>
        </w:rPr>
        <w:t>ци</w:t>
      </w:r>
      <w:r w:rsidR="00F33500" w:rsidRPr="000436EE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  <w:r w:rsidR="00283F03" w:rsidRPr="000436EE">
        <w:rPr>
          <w:rFonts w:ascii="Times New Roman" w:hAnsi="Times New Roman"/>
          <w:color w:val="000000"/>
          <w:sz w:val="24"/>
          <w:szCs w:val="24"/>
          <w:lang w:val="sr-Cyrl-CS"/>
        </w:rPr>
        <w:t>накнаде</w:t>
      </w:r>
      <w:r w:rsidR="00F33500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D153C" w:rsidRPr="000436EE">
        <w:rPr>
          <w:rFonts w:ascii="Times New Roman" w:hAnsi="Times New Roman"/>
          <w:sz w:val="24"/>
          <w:szCs w:val="24"/>
          <w:lang w:val="sr-Cyrl-CS"/>
        </w:rPr>
        <w:t xml:space="preserve">односно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о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ператор,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као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и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лице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које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искључиво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за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сопствене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потребе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гради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или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поставља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електронску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комуникациону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мрежу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и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припадајућа</w:t>
      </w:r>
      <w:r w:rsidR="00AD63C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3831" w:rsidRPr="000436EE">
        <w:rPr>
          <w:rFonts w:ascii="Times New Roman" w:hAnsi="Times New Roman"/>
          <w:sz w:val="24"/>
          <w:szCs w:val="24"/>
          <w:lang w:val="sr-Cyrl-CS"/>
        </w:rPr>
        <w:t>средства</w:t>
      </w:r>
      <w:r w:rsidR="00DD153C" w:rsidRPr="000436EE">
        <w:rPr>
          <w:rFonts w:ascii="Times New Roman" w:hAnsi="Times New Roman"/>
          <w:sz w:val="24"/>
          <w:szCs w:val="24"/>
          <w:lang w:val="sr-Cyrl-CS"/>
        </w:rPr>
        <w:t>, у смислу прописа којим се уређуј</w:t>
      </w:r>
      <w:r w:rsidR="005D0E32" w:rsidRPr="000436EE">
        <w:rPr>
          <w:rFonts w:ascii="Times New Roman" w:hAnsi="Times New Roman"/>
          <w:sz w:val="24"/>
          <w:szCs w:val="24"/>
          <w:lang w:val="sr-Cyrl-CS"/>
        </w:rPr>
        <w:t>е област електронских комуникација.</w:t>
      </w:r>
    </w:p>
    <w:p w14:paraId="606F5BAE" w14:textId="220FC6EF" w:rsidR="006F0A0A" w:rsidRPr="000436EE" w:rsidRDefault="006F0A0A" w:rsidP="0051072A">
      <w:pPr>
        <w:pStyle w:val="basic-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4FF2B0" w14:textId="56CAAE19" w:rsidR="00017EC8" w:rsidRPr="000436EE" w:rsidRDefault="004E0DE0" w:rsidP="004E0DE0">
      <w:pPr>
        <w:pStyle w:val="basic-paragraph"/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="00017EC8" w:rsidRPr="000436EE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65B9B2DD" w14:textId="77777777" w:rsidR="00401B3D" w:rsidRPr="000436EE" w:rsidRDefault="00401B3D" w:rsidP="0051072A">
      <w:pPr>
        <w:pStyle w:val="basic-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5DE3479" w14:textId="14ACE085" w:rsidR="006F0A0A" w:rsidRPr="000436EE" w:rsidRDefault="004D0118" w:rsidP="003459FF">
      <w:pPr>
        <w:pStyle w:val="basic-paragraph"/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2" w:name="_Hlk190335543"/>
      <w:r w:rsidRPr="000436EE">
        <w:rPr>
          <w:rFonts w:ascii="Times New Roman" w:hAnsi="Times New Roman"/>
          <w:sz w:val="24"/>
          <w:szCs w:val="24"/>
          <w:lang w:val="sr-Cyrl-CS"/>
        </w:rPr>
        <w:t xml:space="preserve">Максимални износи </w:t>
      </w:r>
      <w:r w:rsidR="00652B54" w:rsidRPr="000436EE">
        <w:rPr>
          <w:rFonts w:ascii="Times New Roman" w:hAnsi="Times New Roman"/>
          <w:sz w:val="24"/>
          <w:szCs w:val="24"/>
          <w:lang w:val="sr-Cyrl-CS"/>
        </w:rPr>
        <w:t xml:space="preserve">висине </w:t>
      </w:r>
      <w:r w:rsidRPr="000436EE">
        <w:rPr>
          <w:rFonts w:ascii="Times New Roman" w:hAnsi="Times New Roman"/>
          <w:sz w:val="24"/>
          <w:szCs w:val="24"/>
          <w:lang w:val="sr-Cyrl-CS"/>
        </w:rPr>
        <w:t>н</w:t>
      </w:r>
      <w:r w:rsidR="0051072A" w:rsidRPr="000436EE">
        <w:rPr>
          <w:rFonts w:ascii="Times New Roman" w:hAnsi="Times New Roman"/>
          <w:sz w:val="24"/>
          <w:szCs w:val="24"/>
          <w:lang w:val="sr-Cyrl-CS"/>
        </w:rPr>
        <w:t>акнад</w:t>
      </w:r>
      <w:r w:rsidRPr="000436EE">
        <w:rPr>
          <w:rFonts w:ascii="Times New Roman" w:hAnsi="Times New Roman"/>
          <w:sz w:val="24"/>
          <w:szCs w:val="24"/>
          <w:lang w:val="sr-Cyrl-CS"/>
        </w:rPr>
        <w:t>е</w:t>
      </w:r>
      <w:r w:rsidR="0051072A" w:rsidRPr="000436EE">
        <w:rPr>
          <w:rFonts w:ascii="Times New Roman" w:hAnsi="Times New Roman"/>
          <w:sz w:val="24"/>
          <w:szCs w:val="24"/>
          <w:lang w:val="sr-Cyrl-CS"/>
        </w:rPr>
        <w:t xml:space="preserve"> за заснивање права службености </w:t>
      </w:r>
      <w:r w:rsidR="008049B6" w:rsidRPr="000436EE">
        <w:rPr>
          <w:rFonts w:ascii="Times New Roman" w:hAnsi="Times New Roman"/>
          <w:sz w:val="24"/>
          <w:szCs w:val="24"/>
          <w:lang w:val="sr-Cyrl-CS"/>
        </w:rPr>
        <w:t>на непокретности</w:t>
      </w:r>
      <w:r w:rsidR="00804833" w:rsidRPr="000436EE">
        <w:rPr>
          <w:rFonts w:ascii="Times New Roman" w:hAnsi="Times New Roman"/>
          <w:sz w:val="24"/>
          <w:szCs w:val="24"/>
          <w:lang w:val="sr-Cyrl-CS"/>
        </w:rPr>
        <w:t>ма</w:t>
      </w:r>
      <w:r w:rsidR="008049B6" w:rsidRPr="000436EE">
        <w:rPr>
          <w:rFonts w:ascii="Times New Roman" w:hAnsi="Times New Roman"/>
          <w:sz w:val="24"/>
          <w:szCs w:val="24"/>
          <w:lang w:val="sr-Cyrl-CS"/>
        </w:rPr>
        <w:t xml:space="preserve"> у јавној својини приликом изградње </w:t>
      </w:r>
      <w:r w:rsidR="008E6369" w:rsidRPr="000436EE">
        <w:rPr>
          <w:rFonts w:ascii="Times New Roman" w:hAnsi="Times New Roman"/>
          <w:sz w:val="24"/>
          <w:szCs w:val="24"/>
          <w:lang w:val="sr-Cyrl-CS"/>
        </w:rPr>
        <w:t xml:space="preserve">електронске комуникационе мреже </w:t>
      </w:r>
      <w:bookmarkStart w:id="3" w:name="_Hlk190335476"/>
      <w:r w:rsidRPr="000436EE">
        <w:rPr>
          <w:rFonts w:ascii="Times New Roman" w:hAnsi="Times New Roman"/>
          <w:sz w:val="24"/>
          <w:szCs w:val="24"/>
          <w:lang w:val="sr-Cyrl-CS"/>
        </w:rPr>
        <w:t>одређују се једнообразно за целу територију Републике Србије,</w:t>
      </w:r>
      <w:r w:rsidR="0051072A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F0A0A" w:rsidRPr="000436EE">
        <w:rPr>
          <w:rFonts w:ascii="Times New Roman" w:hAnsi="Times New Roman"/>
          <w:sz w:val="24"/>
          <w:szCs w:val="24"/>
          <w:lang w:val="sr-Cyrl-CS"/>
        </w:rPr>
        <w:t xml:space="preserve">по дужном метру </w:t>
      </w:r>
      <w:r w:rsidRPr="000436EE">
        <w:rPr>
          <w:rFonts w:ascii="Times New Roman" w:hAnsi="Times New Roman"/>
          <w:sz w:val="24"/>
          <w:szCs w:val="24"/>
          <w:lang w:val="sr-Cyrl-CS"/>
        </w:rPr>
        <w:t xml:space="preserve">односно по квадратном метру </w:t>
      </w:r>
      <w:r w:rsidR="006F0A0A" w:rsidRPr="000436EE">
        <w:rPr>
          <w:rFonts w:ascii="Times New Roman" w:hAnsi="Times New Roman"/>
          <w:sz w:val="24"/>
          <w:szCs w:val="24"/>
          <w:lang w:val="sr-Cyrl-CS"/>
        </w:rPr>
        <w:t>земљишта</w:t>
      </w:r>
      <w:r w:rsidRPr="000436EE">
        <w:rPr>
          <w:rFonts w:ascii="Times New Roman" w:hAnsi="Times New Roman"/>
          <w:sz w:val="24"/>
          <w:szCs w:val="24"/>
          <w:lang w:val="sr-Cyrl-CS"/>
        </w:rPr>
        <w:t xml:space="preserve"> које се користи за изградњу електронске комуникационе мреже</w:t>
      </w:r>
      <w:r w:rsidR="00E33FF1" w:rsidRPr="000436EE">
        <w:rPr>
          <w:rFonts w:ascii="Times New Roman" w:hAnsi="Times New Roman"/>
          <w:sz w:val="24"/>
          <w:szCs w:val="24"/>
          <w:lang w:val="sr-Cyrl-CS"/>
        </w:rPr>
        <w:t xml:space="preserve"> и припадајућих средстава</w:t>
      </w:r>
      <w:bookmarkEnd w:id="3"/>
      <w:r w:rsidR="006F0A0A" w:rsidRPr="000436E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33FF1" w:rsidRPr="000436EE">
        <w:rPr>
          <w:rFonts w:ascii="Times New Roman" w:hAnsi="Times New Roman"/>
          <w:sz w:val="24"/>
          <w:szCs w:val="24"/>
          <w:lang w:val="sr-Cyrl-CS"/>
        </w:rPr>
        <w:t xml:space="preserve">нарочито </w:t>
      </w:r>
      <w:r w:rsidR="006F0A0A" w:rsidRPr="000436EE">
        <w:rPr>
          <w:rFonts w:ascii="Times New Roman" w:hAnsi="Times New Roman"/>
          <w:sz w:val="24"/>
          <w:szCs w:val="24"/>
          <w:lang w:val="sr-Cyrl-CS"/>
        </w:rPr>
        <w:t xml:space="preserve">узимајући у обзир </w:t>
      </w:r>
      <w:r w:rsidR="00E33FF1" w:rsidRPr="000436EE">
        <w:rPr>
          <w:rFonts w:ascii="Times New Roman" w:hAnsi="Times New Roman"/>
          <w:sz w:val="24"/>
          <w:szCs w:val="24"/>
          <w:lang w:val="sr-Cyrl-CS"/>
        </w:rPr>
        <w:t xml:space="preserve">различите категорије </w:t>
      </w:r>
      <w:r w:rsidR="006F0A0A" w:rsidRPr="000436EE">
        <w:rPr>
          <w:rFonts w:ascii="Times New Roman" w:hAnsi="Times New Roman"/>
          <w:sz w:val="24"/>
          <w:szCs w:val="24"/>
          <w:lang w:val="sr-Cyrl-CS"/>
        </w:rPr>
        <w:t>земљишта.</w:t>
      </w:r>
    </w:p>
    <w:bookmarkEnd w:id="2"/>
    <w:p w14:paraId="225D586F" w14:textId="6E6B53C3" w:rsidR="006F0A0A" w:rsidRPr="000436EE" w:rsidRDefault="00AD44BF" w:rsidP="00C37E87">
      <w:pPr>
        <w:pStyle w:val="basic-paragraph"/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 xml:space="preserve">Категорије </w:t>
      </w:r>
      <w:r w:rsidR="006F0A0A" w:rsidRPr="000436EE">
        <w:rPr>
          <w:rFonts w:ascii="Times New Roman" w:hAnsi="Times New Roman"/>
          <w:sz w:val="24"/>
          <w:szCs w:val="24"/>
          <w:lang w:val="sr-Cyrl-CS"/>
        </w:rPr>
        <w:t>земљишта из става 1. овог члана</w:t>
      </w:r>
      <w:r w:rsidR="00625B3E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04833" w:rsidRPr="000436EE">
        <w:rPr>
          <w:rFonts w:ascii="Times New Roman" w:hAnsi="Times New Roman"/>
          <w:sz w:val="24"/>
          <w:szCs w:val="24"/>
          <w:lang w:val="sr-Cyrl-CS"/>
        </w:rPr>
        <w:t>су</w:t>
      </w:r>
      <w:r w:rsidR="003459FF" w:rsidRPr="000436EE">
        <w:rPr>
          <w:rFonts w:ascii="Times New Roman" w:hAnsi="Times New Roman"/>
          <w:sz w:val="24"/>
          <w:szCs w:val="24"/>
          <w:lang w:val="sr-Cyrl-CS"/>
        </w:rPr>
        <w:t>:</w:t>
      </w:r>
    </w:p>
    <w:p w14:paraId="385CD8AD" w14:textId="373162FC" w:rsidR="003459FF" w:rsidRPr="000436EE" w:rsidRDefault="003459FF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strike/>
          <w:lang w:val="sr-Cyrl-CS"/>
        </w:rPr>
      </w:pPr>
      <w:r w:rsidRPr="000436EE">
        <w:rPr>
          <w:lang w:val="sr-Cyrl-CS"/>
        </w:rPr>
        <w:t xml:space="preserve">а) пољопривредно земљиште: </w:t>
      </w:r>
      <w:r w:rsidR="006366BB" w:rsidRPr="000436EE">
        <w:rPr>
          <w:lang w:val="sr-Cyrl-CS"/>
        </w:rPr>
        <w:t>земљиште које се користи за пољопривредну производњу (њиве, вртови, воћњаци, виногради, ливаде, пашњаци, рибњаци, трстици и мочваре) и земљиште које се може привести намени за пољопривредну производњу</w:t>
      </w:r>
      <w:r w:rsidRPr="000436EE">
        <w:rPr>
          <w:color w:val="333333"/>
          <w:shd w:val="clear" w:color="auto" w:fill="FFFFFF"/>
          <w:lang w:val="sr-Cyrl-CS"/>
        </w:rPr>
        <w:t xml:space="preserve"> </w:t>
      </w:r>
      <w:r w:rsidRPr="000436EE">
        <w:rPr>
          <w:lang w:val="sr-Cyrl-CS"/>
        </w:rPr>
        <w:t>(</w:t>
      </w:r>
      <w:r w:rsidR="00F637AD" w:rsidRPr="000436EE">
        <w:rPr>
          <w:lang w:val="sr-Cyrl-CS"/>
        </w:rPr>
        <w:t>ознака</w:t>
      </w:r>
      <w:r w:rsidRPr="000436EE">
        <w:rPr>
          <w:lang w:val="sr-Cyrl-CS"/>
        </w:rPr>
        <w:t xml:space="preserve"> А);</w:t>
      </w:r>
    </w:p>
    <w:p w14:paraId="5CF1383E" w14:textId="5579744A" w:rsidR="003459FF" w:rsidRPr="000436EE" w:rsidRDefault="003459FF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>б) шумско земљиште</w:t>
      </w:r>
      <w:r w:rsidR="006366BB" w:rsidRPr="000436EE">
        <w:rPr>
          <w:lang w:val="sr-Cyrl-CS"/>
        </w:rPr>
        <w:t xml:space="preserve"> </w:t>
      </w:r>
      <w:r w:rsidR="00C64310" w:rsidRPr="000436EE">
        <w:rPr>
          <w:lang w:val="sr-Cyrl-CS"/>
        </w:rPr>
        <w:t xml:space="preserve">и шуме </w:t>
      </w:r>
      <w:r w:rsidR="00F637AD" w:rsidRPr="000436EE">
        <w:rPr>
          <w:lang w:val="sr-Cyrl-CS"/>
        </w:rPr>
        <w:t>(ознака</w:t>
      </w:r>
      <w:r w:rsidRPr="000436EE">
        <w:rPr>
          <w:lang w:val="sr-Cyrl-CS"/>
        </w:rPr>
        <w:t xml:space="preserve"> Б); </w:t>
      </w:r>
    </w:p>
    <w:p w14:paraId="2D0782BC" w14:textId="5245CD59" w:rsidR="003459FF" w:rsidRPr="000436EE" w:rsidRDefault="003459FF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>в) вод</w:t>
      </w:r>
      <w:r w:rsidR="00240865" w:rsidRPr="000436EE">
        <w:rPr>
          <w:lang w:val="sr-Cyrl-CS"/>
        </w:rPr>
        <w:t>но земљиште:</w:t>
      </w:r>
      <w:r w:rsidRPr="000436EE">
        <w:rPr>
          <w:lang w:val="sr-Cyrl-CS"/>
        </w:rPr>
        <w:t xml:space="preserve"> реке, пото</w:t>
      </w:r>
      <w:r w:rsidR="00F637AD" w:rsidRPr="000436EE">
        <w:rPr>
          <w:lang w:val="sr-Cyrl-CS"/>
        </w:rPr>
        <w:t>ци</w:t>
      </w:r>
      <w:r w:rsidRPr="000436EE">
        <w:rPr>
          <w:lang w:val="sr-Cyrl-CS"/>
        </w:rPr>
        <w:t>, канал</w:t>
      </w:r>
      <w:r w:rsidR="00F637AD" w:rsidRPr="000436EE">
        <w:rPr>
          <w:lang w:val="sr-Cyrl-CS"/>
        </w:rPr>
        <w:t>и</w:t>
      </w:r>
      <w:r w:rsidRPr="000436EE">
        <w:rPr>
          <w:lang w:val="sr-Cyrl-CS"/>
        </w:rPr>
        <w:t xml:space="preserve">, </w:t>
      </w:r>
      <w:r w:rsidR="00240865" w:rsidRPr="000436EE">
        <w:rPr>
          <w:lang w:val="sr-Cyrl-CS"/>
        </w:rPr>
        <w:t xml:space="preserve">акумулација, </w:t>
      </w:r>
      <w:r w:rsidRPr="000436EE">
        <w:rPr>
          <w:lang w:val="sr-Cyrl-CS"/>
        </w:rPr>
        <w:t>језера, баре, мочваре</w:t>
      </w:r>
      <w:r w:rsidR="00240865" w:rsidRPr="000436EE">
        <w:rPr>
          <w:lang w:val="sr-Cyrl-CS"/>
        </w:rPr>
        <w:t>, бране, зацевљени водоток</w:t>
      </w:r>
      <w:r w:rsidRPr="000436EE">
        <w:rPr>
          <w:lang w:val="sr-Cyrl-CS"/>
        </w:rPr>
        <w:t xml:space="preserve"> (</w:t>
      </w:r>
      <w:r w:rsidR="00F637AD" w:rsidRPr="000436EE">
        <w:rPr>
          <w:lang w:val="sr-Cyrl-CS"/>
        </w:rPr>
        <w:t>ознака</w:t>
      </w:r>
      <w:r w:rsidRPr="000436EE">
        <w:rPr>
          <w:lang w:val="sr-Cyrl-CS"/>
        </w:rPr>
        <w:t xml:space="preserve"> </w:t>
      </w:r>
      <w:r w:rsidR="00F637AD" w:rsidRPr="000436EE">
        <w:rPr>
          <w:lang w:val="sr-Cyrl-CS"/>
        </w:rPr>
        <w:t>В</w:t>
      </w:r>
      <w:r w:rsidRPr="000436EE">
        <w:rPr>
          <w:lang w:val="sr-Cyrl-CS"/>
        </w:rPr>
        <w:t xml:space="preserve">); </w:t>
      </w:r>
    </w:p>
    <w:p w14:paraId="45BA20FA" w14:textId="3005B8F6" w:rsidR="00240865" w:rsidRPr="000436EE" w:rsidRDefault="003459FF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>г)</w:t>
      </w:r>
      <w:r w:rsidR="00240865" w:rsidRPr="000436EE">
        <w:rPr>
          <w:lang w:val="sr-Cyrl-CS"/>
        </w:rPr>
        <w:t xml:space="preserve"> грађевинско земљиште</w:t>
      </w:r>
      <w:r w:rsidR="00BD7E89" w:rsidRPr="000436EE">
        <w:rPr>
          <w:lang w:val="sr-Cyrl-CS"/>
        </w:rPr>
        <w:t>:</w:t>
      </w:r>
      <w:r w:rsidR="00240865" w:rsidRPr="000436EE">
        <w:rPr>
          <w:lang w:val="sr-Cyrl-CS"/>
        </w:rPr>
        <w:t xml:space="preserve"> површине за становање, за мешовите намене, за јавне намене, за привредне делатности, изван грађевинског подручја</w:t>
      </w:r>
      <w:r w:rsidR="00BD7E89" w:rsidRPr="000436EE">
        <w:rPr>
          <w:lang w:val="sr-Cyrl-CS"/>
        </w:rPr>
        <w:t xml:space="preserve"> (ознака Г)</w:t>
      </w:r>
      <w:r w:rsidR="00240865" w:rsidRPr="000436EE">
        <w:rPr>
          <w:lang w:val="sr-Cyrl-CS"/>
        </w:rPr>
        <w:t>;</w:t>
      </w:r>
      <w:r w:rsidRPr="000436EE">
        <w:rPr>
          <w:lang w:val="sr-Cyrl-CS"/>
        </w:rPr>
        <w:t xml:space="preserve"> </w:t>
      </w:r>
    </w:p>
    <w:p w14:paraId="142F2278" w14:textId="24FA6BD1" w:rsidR="003459FF" w:rsidRPr="000436EE" w:rsidRDefault="00240865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 xml:space="preserve">д) </w:t>
      </w:r>
      <w:r w:rsidR="00DD13A2" w:rsidRPr="000436EE">
        <w:rPr>
          <w:lang w:val="sr-Cyrl-CS"/>
        </w:rPr>
        <w:t>површине остале намене: површине посебне намене, површине за експлоатацију мине</w:t>
      </w:r>
      <w:r w:rsidR="00827551" w:rsidRPr="000436EE">
        <w:rPr>
          <w:lang w:val="sr-Cyrl-CS"/>
        </w:rPr>
        <w:t>р</w:t>
      </w:r>
      <w:r w:rsidR="00DD13A2" w:rsidRPr="000436EE">
        <w:rPr>
          <w:lang w:val="sr-Cyrl-CS"/>
        </w:rPr>
        <w:t xml:space="preserve">алних сировина, површине за рекултивацију и санацију као што је </w:t>
      </w:r>
      <w:r w:rsidR="003459FF" w:rsidRPr="000436EE">
        <w:rPr>
          <w:lang w:val="sr-Cyrl-CS"/>
        </w:rPr>
        <w:t>природнo неплодно земљиште</w:t>
      </w:r>
      <w:r w:rsidR="00E06FED" w:rsidRPr="000436EE">
        <w:rPr>
          <w:color w:val="000000"/>
          <w:lang w:val="sr-Cyrl-CS"/>
        </w:rPr>
        <w:t xml:space="preserve"> </w:t>
      </w:r>
      <w:r w:rsidR="003459FF" w:rsidRPr="000436EE">
        <w:rPr>
          <w:lang w:val="sr-Cyrl-CS"/>
        </w:rPr>
        <w:t xml:space="preserve">(ознака </w:t>
      </w:r>
      <w:r w:rsidR="00BD7E89" w:rsidRPr="000436EE">
        <w:rPr>
          <w:lang w:val="sr-Cyrl-CS"/>
        </w:rPr>
        <w:t>Д</w:t>
      </w:r>
      <w:r w:rsidR="00E06FED" w:rsidRPr="000436EE">
        <w:rPr>
          <w:lang w:val="sr-Cyrl-CS"/>
        </w:rPr>
        <w:t>)</w:t>
      </w:r>
      <w:r w:rsidR="000E46AC" w:rsidRPr="000436EE">
        <w:rPr>
          <w:lang w:val="sr-Cyrl-CS"/>
        </w:rPr>
        <w:t>;</w:t>
      </w:r>
    </w:p>
    <w:p w14:paraId="23139211" w14:textId="77777777" w:rsidR="00C64310" w:rsidRPr="000436EE" w:rsidRDefault="00C64310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68BA5015" w14:textId="7C8D735B" w:rsidR="00BD7E89" w:rsidRPr="000436EE" w:rsidRDefault="00BD7E89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lastRenderedPageBreak/>
        <w:t>ђ) саобраћајна инфраструктура</w:t>
      </w:r>
      <w:r w:rsidR="00827551" w:rsidRPr="000436EE">
        <w:rPr>
          <w:lang w:val="sr-Cyrl-CS"/>
        </w:rPr>
        <w:t>: инфраструктура карактеристична за више различитих видова саобраћаја, коридори јавне друмске и железничке инфраструктуре, површине у функцији друмског, железничког, водног и интермодалног саобраћаја</w:t>
      </w:r>
      <w:r w:rsidR="007612C1" w:rsidRPr="000436EE">
        <w:rPr>
          <w:lang w:val="sr-Cyrl-CS"/>
        </w:rPr>
        <w:t xml:space="preserve"> (ознака Ђ)</w:t>
      </w:r>
      <w:r w:rsidR="00DD13A2" w:rsidRPr="000436EE">
        <w:rPr>
          <w:lang w:val="sr-Cyrl-CS"/>
        </w:rPr>
        <w:t xml:space="preserve">; </w:t>
      </w:r>
    </w:p>
    <w:p w14:paraId="6F4A0399" w14:textId="2EDF0EE6" w:rsidR="003459FF" w:rsidRPr="000436EE" w:rsidRDefault="007612C1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>е</w:t>
      </w:r>
      <w:r w:rsidR="003459FF" w:rsidRPr="000436EE">
        <w:rPr>
          <w:lang w:val="sr-Cyrl-CS"/>
        </w:rPr>
        <w:t xml:space="preserve">) </w:t>
      </w:r>
      <w:r w:rsidR="00DD13A2" w:rsidRPr="000436EE">
        <w:rPr>
          <w:lang w:val="sr-Cyrl-CS"/>
        </w:rPr>
        <w:t>техничкa и комуналнa инфраструктурa</w:t>
      </w:r>
      <w:r w:rsidR="00827551" w:rsidRPr="000436EE">
        <w:rPr>
          <w:lang w:val="sr-Cyrl-CS"/>
        </w:rPr>
        <w:t>: инфраструктурни објекти, површине и објекти у фун</w:t>
      </w:r>
      <w:r w:rsidR="00F1296F" w:rsidRPr="000436EE">
        <w:rPr>
          <w:lang w:val="sr-Cyrl-CS"/>
        </w:rPr>
        <w:t>к</w:t>
      </w:r>
      <w:r w:rsidR="00827551" w:rsidRPr="000436EE">
        <w:rPr>
          <w:lang w:val="sr-Cyrl-CS"/>
        </w:rPr>
        <w:t>цији водопривредне</w:t>
      </w:r>
      <w:r w:rsidR="00307428" w:rsidRPr="000436EE">
        <w:rPr>
          <w:lang w:val="sr-Cyrl-CS"/>
        </w:rPr>
        <w:t xml:space="preserve"> и</w:t>
      </w:r>
      <w:r w:rsidR="00827551" w:rsidRPr="000436EE">
        <w:rPr>
          <w:lang w:val="sr-Cyrl-CS"/>
        </w:rPr>
        <w:t xml:space="preserve"> </w:t>
      </w:r>
      <w:r w:rsidR="00307428" w:rsidRPr="000436EE">
        <w:rPr>
          <w:lang w:val="sr-Cyrl-CS"/>
        </w:rPr>
        <w:t xml:space="preserve">енергетске </w:t>
      </w:r>
      <w:r w:rsidR="00827551" w:rsidRPr="000436EE">
        <w:rPr>
          <w:lang w:val="sr-Cyrl-CS"/>
        </w:rPr>
        <w:t>делат</w:t>
      </w:r>
      <w:r w:rsidR="00307428" w:rsidRPr="000436EE">
        <w:rPr>
          <w:lang w:val="sr-Cyrl-CS"/>
        </w:rPr>
        <w:t>ности, површине и објекти у функцији електронске комуникационе делатности, у функцији производње енергије, у функцији управљања отпадом, површине за гробља, остале површине и објекти за комуналне делатности</w:t>
      </w:r>
      <w:r w:rsidRPr="000436EE">
        <w:rPr>
          <w:lang w:val="sr-Cyrl-CS"/>
        </w:rPr>
        <w:t xml:space="preserve"> (ознака Е)</w:t>
      </w:r>
      <w:r w:rsidR="00F51557" w:rsidRPr="000436EE">
        <w:rPr>
          <w:lang w:val="sr-Cyrl-CS"/>
        </w:rPr>
        <w:t>;</w:t>
      </w:r>
    </w:p>
    <w:p w14:paraId="61F662C6" w14:textId="3C7778EB" w:rsidR="00F51557" w:rsidRPr="000436EE" w:rsidRDefault="00F51557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0436EE">
        <w:rPr>
          <w:lang w:val="sr-Cyrl-CS"/>
        </w:rPr>
        <w:t xml:space="preserve">ж) површине у којима се спроводе режими заштите и коришћења простора </w:t>
      </w:r>
      <w:r w:rsidR="00B21A74" w:rsidRPr="000436EE">
        <w:rPr>
          <w:lang w:val="sr-Cyrl-CS"/>
        </w:rPr>
        <w:t xml:space="preserve">у складу са </w:t>
      </w:r>
      <w:r w:rsidRPr="000436EE">
        <w:rPr>
          <w:lang w:val="sr-Cyrl-CS"/>
        </w:rPr>
        <w:t>посебним прописима</w:t>
      </w:r>
      <w:r w:rsidR="002A29FE" w:rsidRPr="000436EE">
        <w:rPr>
          <w:lang w:val="sr-Cyrl-CS"/>
        </w:rPr>
        <w:t>: природна добра (</w:t>
      </w:r>
      <w:r w:rsidR="005118B7" w:rsidRPr="000436EE">
        <w:rPr>
          <w:lang w:val="sr-Cyrl-CS"/>
        </w:rPr>
        <w:t xml:space="preserve">парк природе, </w:t>
      </w:r>
      <w:r w:rsidR="002A29FE" w:rsidRPr="000436EE">
        <w:rPr>
          <w:lang w:val="sr-Cyrl-CS"/>
        </w:rPr>
        <w:t xml:space="preserve">резерват природе, национални паркови, </w:t>
      </w:r>
      <w:r w:rsidR="005118B7" w:rsidRPr="000436EE">
        <w:rPr>
          <w:lang w:val="sr-Cyrl-CS"/>
        </w:rPr>
        <w:t>заштићено станиште</w:t>
      </w:r>
      <w:r w:rsidR="002A29FE" w:rsidRPr="000436EE">
        <w:rPr>
          <w:lang w:val="sr-Cyrl-CS"/>
        </w:rPr>
        <w:t>)</w:t>
      </w:r>
      <w:r w:rsidR="005118B7" w:rsidRPr="000436EE">
        <w:rPr>
          <w:lang w:val="sr-Cyrl-CS"/>
        </w:rPr>
        <w:t>,</w:t>
      </w:r>
      <w:r w:rsidR="002A29FE" w:rsidRPr="000436EE">
        <w:rPr>
          <w:lang w:val="sr-Cyrl-CS"/>
        </w:rPr>
        <w:t xml:space="preserve"> </w:t>
      </w:r>
      <w:r w:rsidR="005118B7" w:rsidRPr="000436EE">
        <w:rPr>
          <w:lang w:val="sr-Cyrl-CS"/>
        </w:rPr>
        <w:t>културна добра (споменик културе, археолошко налазиште), зоне изворишта за снабдевање водом, режими заштите животне средине, режими урбанистичке заштите, заштитни појасеви линијских инфраструктурних коридора</w:t>
      </w:r>
      <w:r w:rsidR="001C2B98" w:rsidRPr="000436EE">
        <w:rPr>
          <w:lang w:val="sr-Cyrl-CS"/>
        </w:rPr>
        <w:t xml:space="preserve"> (ознака Ж).</w:t>
      </w:r>
    </w:p>
    <w:p w14:paraId="51E5A282" w14:textId="21C3F09F" w:rsidR="00F637AD" w:rsidRPr="000436EE" w:rsidRDefault="00F637AD" w:rsidP="00F637AD">
      <w:pPr>
        <w:pStyle w:val="Normal1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76A2ED39" w14:textId="740C6741" w:rsidR="00F637AD" w:rsidRPr="000436EE" w:rsidRDefault="00F637AD" w:rsidP="00F637AD">
      <w:pPr>
        <w:pStyle w:val="Normal1"/>
        <w:shd w:val="clear" w:color="auto" w:fill="FFFFFF"/>
        <w:spacing w:before="0" w:beforeAutospacing="0" w:after="0" w:afterAutospacing="0"/>
        <w:ind w:firstLine="4678"/>
        <w:jc w:val="both"/>
        <w:rPr>
          <w:lang w:val="sr-Cyrl-CS"/>
        </w:rPr>
      </w:pPr>
      <w:r w:rsidRPr="000436EE">
        <w:rPr>
          <w:lang w:val="sr-Cyrl-CS"/>
        </w:rPr>
        <w:t>Члан 3.</w:t>
      </w:r>
    </w:p>
    <w:p w14:paraId="1AE220E0" w14:textId="77777777" w:rsidR="00330C26" w:rsidRPr="000436EE" w:rsidRDefault="00330C26" w:rsidP="00221AC0">
      <w:pPr>
        <w:pStyle w:val="Normal1"/>
        <w:shd w:val="clear" w:color="auto" w:fill="FFFFFF"/>
        <w:spacing w:before="0" w:beforeAutospacing="0" w:after="0" w:afterAutospacing="0"/>
        <w:ind w:firstLine="4678"/>
        <w:jc w:val="both"/>
        <w:rPr>
          <w:lang w:val="sr-Cyrl-CS"/>
        </w:rPr>
      </w:pPr>
    </w:p>
    <w:p w14:paraId="323B20F4" w14:textId="33AB40A3" w:rsidR="00C04E14" w:rsidRPr="000436EE" w:rsidRDefault="00E57D9D" w:rsidP="00017EC8">
      <w:pPr>
        <w:pStyle w:val="basic-paragraph"/>
        <w:spacing w:after="0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 xml:space="preserve">Максимални износ </w:t>
      </w:r>
      <w:r w:rsidR="00652B54" w:rsidRPr="000436EE">
        <w:rPr>
          <w:rFonts w:ascii="Times New Roman" w:hAnsi="Times New Roman"/>
          <w:sz w:val="24"/>
          <w:szCs w:val="24"/>
          <w:lang w:val="sr-Cyrl-CS"/>
        </w:rPr>
        <w:t xml:space="preserve">висине </w:t>
      </w:r>
      <w:r w:rsidR="00F915FE" w:rsidRPr="000436EE">
        <w:rPr>
          <w:rFonts w:ascii="Times New Roman" w:hAnsi="Times New Roman"/>
          <w:sz w:val="24"/>
          <w:szCs w:val="24"/>
          <w:lang w:val="sr-Cyrl-CS"/>
        </w:rPr>
        <w:t xml:space="preserve">накнаде </w:t>
      </w:r>
      <w:bookmarkStart w:id="4" w:name="_Hlk182476128"/>
      <w:r w:rsidR="00F915FE" w:rsidRPr="000436EE">
        <w:rPr>
          <w:rFonts w:ascii="Times New Roman" w:hAnsi="Times New Roman"/>
          <w:sz w:val="24"/>
          <w:szCs w:val="24"/>
          <w:lang w:val="sr-Cyrl-CS"/>
        </w:rPr>
        <w:t xml:space="preserve">за заснивање права службености </w:t>
      </w:r>
      <w:r w:rsidR="00A00A9D" w:rsidRPr="000436EE">
        <w:rPr>
          <w:rFonts w:ascii="Times New Roman" w:hAnsi="Times New Roman"/>
          <w:sz w:val="24"/>
          <w:szCs w:val="24"/>
          <w:lang w:val="sr-Cyrl-CS"/>
        </w:rPr>
        <w:t>на непокретности</w:t>
      </w:r>
      <w:r w:rsidRPr="000436EE">
        <w:rPr>
          <w:rFonts w:ascii="Times New Roman" w:hAnsi="Times New Roman"/>
          <w:sz w:val="24"/>
          <w:szCs w:val="24"/>
          <w:lang w:val="sr-Cyrl-CS"/>
        </w:rPr>
        <w:t>ма</w:t>
      </w:r>
      <w:r w:rsidR="00A00A9D" w:rsidRPr="000436EE">
        <w:rPr>
          <w:rFonts w:ascii="Times New Roman" w:hAnsi="Times New Roman"/>
          <w:sz w:val="24"/>
          <w:szCs w:val="24"/>
          <w:lang w:val="sr-Cyrl-CS"/>
        </w:rPr>
        <w:t xml:space="preserve"> у јавној својини приликом изградње</w:t>
      </w:r>
      <w:r w:rsidR="00504EFA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5" w:name="_Hlk182475297"/>
      <w:r w:rsidR="0070361E" w:rsidRPr="000436EE">
        <w:rPr>
          <w:rFonts w:ascii="Times New Roman" w:hAnsi="Times New Roman"/>
          <w:sz w:val="24"/>
          <w:szCs w:val="24"/>
          <w:lang w:val="sr-Cyrl-CS"/>
        </w:rPr>
        <w:t>електронске комуникационе мреже</w:t>
      </w:r>
      <w:bookmarkEnd w:id="5"/>
      <w:r w:rsidR="00C04E1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bookmarkStart w:id="6" w:name="_Hlk190337329"/>
      <w:bookmarkEnd w:id="4"/>
      <w:r w:rsidR="00221AC0" w:rsidRPr="000436EE">
        <w:rPr>
          <w:rFonts w:ascii="Times New Roman" w:hAnsi="Times New Roman"/>
          <w:sz w:val="24"/>
          <w:szCs w:val="24"/>
          <w:lang w:val="sr-Cyrl-CS"/>
        </w:rPr>
        <w:t>одређују се једнообразно за целу територију Републике Србије, по дужном метру односно по квадратном метру земљишта које се користи за изградњу електронске комуникационе мреже и припадајућих средстава</w:t>
      </w:r>
      <w:bookmarkEnd w:id="6"/>
      <w:r w:rsidR="00221AC0" w:rsidRPr="000436EE">
        <w:rPr>
          <w:rFonts w:ascii="Times New Roman" w:hAnsi="Times New Roman"/>
          <w:sz w:val="24"/>
          <w:szCs w:val="24"/>
          <w:lang w:val="sr-Cyrl-CS"/>
        </w:rPr>
        <w:t>,</w:t>
      </w:r>
      <w:r w:rsidR="00C04E1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21AC0" w:rsidRPr="000436EE">
        <w:rPr>
          <w:rFonts w:ascii="Times New Roman" w:hAnsi="Times New Roman"/>
          <w:sz w:val="24"/>
          <w:szCs w:val="24"/>
          <w:lang w:val="sr-Cyrl-CS"/>
        </w:rPr>
        <w:t>нарочито узимајући у обзир различите категорије земљишта.</w:t>
      </w:r>
      <w:r w:rsidR="00C04E14" w:rsidRPr="000436E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ED1A01A" w14:textId="062C9048" w:rsidR="00A40484" w:rsidRPr="000436EE" w:rsidRDefault="0084231A" w:rsidP="00221AC0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>Н</w:t>
      </w:r>
      <w:r w:rsidR="00F07DA6" w:rsidRPr="000436EE">
        <w:rPr>
          <w:rFonts w:cs="Times New Roman"/>
          <w:szCs w:val="24"/>
          <w:lang w:val="sr-Cyrl-CS"/>
        </w:rPr>
        <w:t>акнад</w:t>
      </w:r>
      <w:r w:rsidRPr="000436EE">
        <w:rPr>
          <w:rFonts w:cs="Times New Roman"/>
          <w:szCs w:val="24"/>
          <w:lang w:val="sr-Cyrl-CS"/>
        </w:rPr>
        <w:t>а из става 1. овог члана</w:t>
      </w:r>
      <w:r w:rsidR="00EA4FEE" w:rsidRPr="000436EE">
        <w:rPr>
          <w:rFonts w:cs="Times New Roman"/>
          <w:szCs w:val="24"/>
          <w:lang w:val="sr-Cyrl-CS"/>
        </w:rPr>
        <w:t xml:space="preserve"> </w:t>
      </w:r>
      <w:r w:rsidR="00BA70AD" w:rsidRPr="000436EE">
        <w:rPr>
          <w:rFonts w:cs="Times New Roman"/>
          <w:szCs w:val="24"/>
          <w:lang w:val="sr-Cyrl-CS"/>
        </w:rPr>
        <w:t xml:space="preserve">за </w:t>
      </w:r>
      <w:r w:rsidR="0093258C" w:rsidRPr="000436EE">
        <w:rPr>
          <w:rFonts w:cs="Times New Roman"/>
          <w:szCs w:val="24"/>
          <w:lang w:val="sr-Cyrl-CS"/>
        </w:rPr>
        <w:t>трасе</w:t>
      </w:r>
      <w:r w:rsidR="002E74D4" w:rsidRPr="000436EE">
        <w:rPr>
          <w:rFonts w:cs="Times New Roman"/>
          <w:szCs w:val="24"/>
          <w:lang w:val="sr-Cyrl-CS"/>
        </w:rPr>
        <w:t xml:space="preserve"> </w:t>
      </w:r>
      <w:r w:rsidR="00BA70AD" w:rsidRPr="000436EE">
        <w:rPr>
          <w:rFonts w:cs="Times New Roman"/>
          <w:szCs w:val="24"/>
          <w:lang w:val="sr-Cyrl-CS"/>
        </w:rPr>
        <w:t xml:space="preserve">подземне </w:t>
      </w:r>
      <w:r w:rsidR="002E74D4" w:rsidRPr="000436EE">
        <w:rPr>
          <w:rFonts w:cs="Times New Roman"/>
          <w:szCs w:val="24"/>
          <w:lang w:val="sr-Cyrl-CS"/>
        </w:rPr>
        <w:t>линијске инфраструктуре</w:t>
      </w:r>
      <w:r w:rsidR="009B04AD" w:rsidRPr="000436EE">
        <w:rPr>
          <w:rFonts w:cs="Times New Roman"/>
          <w:szCs w:val="24"/>
          <w:lang w:val="sr-Cyrl-CS"/>
        </w:rPr>
        <w:t>,</w:t>
      </w:r>
      <w:r w:rsidR="002E74D4" w:rsidRPr="000436EE">
        <w:rPr>
          <w:rFonts w:cs="Times New Roman"/>
          <w:szCs w:val="24"/>
          <w:lang w:val="sr-Cyrl-CS"/>
        </w:rPr>
        <w:t xml:space="preserve"> </w:t>
      </w:r>
      <w:r w:rsidR="00BA70AD" w:rsidRPr="000436EE">
        <w:rPr>
          <w:rFonts w:cs="Times New Roman"/>
          <w:szCs w:val="24"/>
          <w:lang w:val="sr-Cyrl-CS"/>
        </w:rPr>
        <w:t xml:space="preserve">ширине </w:t>
      </w:r>
      <w:r w:rsidR="00C17486" w:rsidRPr="000436EE">
        <w:rPr>
          <w:rFonts w:cs="Times New Roman"/>
          <w:szCs w:val="24"/>
          <w:lang w:val="sr-Cyrl-CS"/>
        </w:rPr>
        <w:t xml:space="preserve">рова </w:t>
      </w:r>
      <w:r w:rsidR="00BA70AD" w:rsidRPr="000436EE">
        <w:rPr>
          <w:rFonts w:cs="Times New Roman"/>
          <w:szCs w:val="24"/>
          <w:lang w:val="sr-Cyrl-CS"/>
        </w:rPr>
        <w:t>до 50 cm,</w:t>
      </w:r>
      <w:r w:rsidR="00F07DA6" w:rsidRPr="000436EE">
        <w:rPr>
          <w:rFonts w:cs="Times New Roman"/>
          <w:szCs w:val="24"/>
          <w:lang w:val="sr-Cyrl-CS"/>
        </w:rPr>
        <w:t xml:space="preserve"> </w:t>
      </w:r>
      <w:r w:rsidR="00ED6AD5" w:rsidRPr="000436EE">
        <w:rPr>
          <w:rFonts w:cs="Times New Roman"/>
          <w:szCs w:val="24"/>
          <w:lang w:val="sr-Cyrl-CS"/>
        </w:rPr>
        <w:t xml:space="preserve">за одговарајућу категорију земљишта </w:t>
      </w:r>
      <w:r w:rsidR="003A06DB" w:rsidRPr="000436EE">
        <w:rPr>
          <w:rFonts w:cs="Times New Roman"/>
          <w:szCs w:val="24"/>
          <w:lang w:val="sr-Cyrl-CS"/>
        </w:rPr>
        <w:t>утврђ</w:t>
      </w:r>
      <w:r w:rsidR="00ED6AD5" w:rsidRPr="000436EE">
        <w:rPr>
          <w:rFonts w:cs="Times New Roman"/>
          <w:szCs w:val="24"/>
          <w:lang w:val="sr-Cyrl-CS"/>
        </w:rPr>
        <w:t>ена је</w:t>
      </w:r>
      <w:r w:rsidR="00A216D5" w:rsidRPr="000436EE">
        <w:rPr>
          <w:rFonts w:cs="Times New Roman"/>
          <w:szCs w:val="24"/>
          <w:lang w:val="sr-Cyrl-CS"/>
        </w:rPr>
        <w:t xml:space="preserve"> Табелом 1</w:t>
      </w:r>
      <w:r w:rsidR="00F915FE" w:rsidRPr="000436EE">
        <w:rPr>
          <w:rFonts w:cs="Times New Roman"/>
          <w:szCs w:val="24"/>
          <w:lang w:val="sr-Cyrl-CS"/>
        </w:rPr>
        <w:t>:</w:t>
      </w:r>
    </w:p>
    <w:p w14:paraId="0CF1CF3C" w14:textId="77777777" w:rsidR="00221AC0" w:rsidRPr="000436EE" w:rsidRDefault="00221AC0" w:rsidP="00017EC8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2FC5B674" w14:textId="77777777" w:rsidR="004E6AAC" w:rsidRPr="000436EE" w:rsidRDefault="004E6AAC" w:rsidP="004E6AAC">
      <w:pPr>
        <w:spacing w:after="0" w:line="240" w:lineRule="auto"/>
        <w:ind w:firstLine="709"/>
        <w:jc w:val="right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>Табела 1.</w:t>
      </w:r>
    </w:p>
    <w:p w14:paraId="4EF557E2" w14:textId="77777777" w:rsidR="004E6AAC" w:rsidRPr="000436EE" w:rsidRDefault="004E6AAC" w:rsidP="004E6AAC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3240"/>
        <w:gridCol w:w="3685"/>
      </w:tblGrid>
      <w:tr w:rsidR="004E6AAC" w:rsidRPr="000436EE" w14:paraId="059E1A27" w14:textId="77777777" w:rsidTr="00CE1355">
        <w:tc>
          <w:tcPr>
            <w:tcW w:w="2425" w:type="dxa"/>
          </w:tcPr>
          <w:p w14:paraId="3539477A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 xml:space="preserve">РЕДНИ </w:t>
            </w:r>
          </w:p>
          <w:p w14:paraId="7177ED02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БРОЈ</w:t>
            </w:r>
          </w:p>
        </w:tc>
        <w:tc>
          <w:tcPr>
            <w:tcW w:w="3240" w:type="dxa"/>
          </w:tcPr>
          <w:p w14:paraId="20CC4FD4" w14:textId="77777777" w:rsidR="004E6AAC" w:rsidRPr="000436EE" w:rsidRDefault="004E6AAC" w:rsidP="00CE1355">
            <w:pPr>
              <w:pStyle w:val="basic-paragraph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36E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КАТЕГОРИЈА </w:t>
            </w:r>
          </w:p>
          <w:p w14:paraId="591F3348" w14:textId="77777777" w:rsidR="004E6AAC" w:rsidRPr="000436EE" w:rsidRDefault="004E6AAC" w:rsidP="00CE1355">
            <w:pPr>
              <w:pStyle w:val="basic-paragraph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436EE">
              <w:rPr>
                <w:rFonts w:ascii="Times New Roman" w:hAnsi="Times New Roman"/>
                <w:sz w:val="24"/>
                <w:szCs w:val="24"/>
                <w:lang w:val="sr-Cyrl-CS"/>
              </w:rPr>
              <w:t>ЗЕМЉИШТА</w:t>
            </w:r>
          </w:p>
          <w:p w14:paraId="1CFF44FF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(скраћене ознаке)</w:t>
            </w:r>
          </w:p>
        </w:tc>
        <w:tc>
          <w:tcPr>
            <w:tcW w:w="3685" w:type="dxa"/>
          </w:tcPr>
          <w:p w14:paraId="0806BD70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МАКСИМАЛНИ ИЗНОС ВИСИНЕ НАКНАДЕ ЗА ЗАСНИВАЊЕ ПРАВА СЛУЖБЕНОСТИ</w:t>
            </w:r>
          </w:p>
        </w:tc>
      </w:tr>
      <w:tr w:rsidR="004E6AAC" w:rsidRPr="000436EE" w14:paraId="3348E0BF" w14:textId="77777777" w:rsidTr="00CE1355">
        <w:tc>
          <w:tcPr>
            <w:tcW w:w="2425" w:type="dxa"/>
          </w:tcPr>
          <w:p w14:paraId="1D5E00F1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 xml:space="preserve">1. </w:t>
            </w:r>
          </w:p>
        </w:tc>
        <w:tc>
          <w:tcPr>
            <w:tcW w:w="3240" w:type="dxa"/>
          </w:tcPr>
          <w:p w14:paraId="3A56EEEC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А</w:t>
            </w:r>
          </w:p>
        </w:tc>
        <w:tc>
          <w:tcPr>
            <w:tcW w:w="3685" w:type="dxa"/>
          </w:tcPr>
          <w:p w14:paraId="3418B79D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1000 РСД / m</w:t>
            </w:r>
          </w:p>
        </w:tc>
      </w:tr>
      <w:tr w:rsidR="004E6AAC" w:rsidRPr="000436EE" w14:paraId="6A1D9F8E" w14:textId="77777777" w:rsidTr="00CE1355">
        <w:tc>
          <w:tcPr>
            <w:tcW w:w="2425" w:type="dxa"/>
          </w:tcPr>
          <w:p w14:paraId="0DE2C9A5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2.</w:t>
            </w:r>
          </w:p>
        </w:tc>
        <w:tc>
          <w:tcPr>
            <w:tcW w:w="3240" w:type="dxa"/>
          </w:tcPr>
          <w:p w14:paraId="505E72A4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Б</w:t>
            </w:r>
          </w:p>
        </w:tc>
        <w:tc>
          <w:tcPr>
            <w:tcW w:w="3685" w:type="dxa"/>
          </w:tcPr>
          <w:p w14:paraId="5260E427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450 РСД / m</w:t>
            </w:r>
          </w:p>
        </w:tc>
      </w:tr>
      <w:tr w:rsidR="004E6AAC" w:rsidRPr="000436EE" w14:paraId="68D86528" w14:textId="77777777" w:rsidTr="00CE1355">
        <w:tc>
          <w:tcPr>
            <w:tcW w:w="2425" w:type="dxa"/>
          </w:tcPr>
          <w:p w14:paraId="0D7F004D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3.</w:t>
            </w:r>
          </w:p>
        </w:tc>
        <w:tc>
          <w:tcPr>
            <w:tcW w:w="3240" w:type="dxa"/>
          </w:tcPr>
          <w:p w14:paraId="5C3B4B29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В</w:t>
            </w:r>
          </w:p>
        </w:tc>
        <w:tc>
          <w:tcPr>
            <w:tcW w:w="3685" w:type="dxa"/>
          </w:tcPr>
          <w:p w14:paraId="69BF3EC8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350 РСД / m</w:t>
            </w:r>
          </w:p>
        </w:tc>
      </w:tr>
      <w:tr w:rsidR="004E6AAC" w:rsidRPr="000436EE" w14:paraId="5C1DD4BE" w14:textId="77777777" w:rsidTr="00CE1355">
        <w:tc>
          <w:tcPr>
            <w:tcW w:w="2425" w:type="dxa"/>
          </w:tcPr>
          <w:p w14:paraId="50AD9BF4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4.</w:t>
            </w:r>
          </w:p>
        </w:tc>
        <w:tc>
          <w:tcPr>
            <w:tcW w:w="3240" w:type="dxa"/>
          </w:tcPr>
          <w:p w14:paraId="2F44B31D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Г</w:t>
            </w:r>
          </w:p>
        </w:tc>
        <w:tc>
          <w:tcPr>
            <w:tcW w:w="3685" w:type="dxa"/>
          </w:tcPr>
          <w:p w14:paraId="79982058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1.000 РСД / m</w:t>
            </w:r>
          </w:p>
        </w:tc>
      </w:tr>
      <w:tr w:rsidR="004E6AAC" w:rsidRPr="000436EE" w14:paraId="234607DF" w14:textId="77777777" w:rsidTr="00CE1355">
        <w:tc>
          <w:tcPr>
            <w:tcW w:w="2425" w:type="dxa"/>
          </w:tcPr>
          <w:p w14:paraId="7F7751C4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5.</w:t>
            </w:r>
          </w:p>
        </w:tc>
        <w:tc>
          <w:tcPr>
            <w:tcW w:w="3240" w:type="dxa"/>
          </w:tcPr>
          <w:p w14:paraId="1F88B6C1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Д</w:t>
            </w:r>
          </w:p>
        </w:tc>
        <w:tc>
          <w:tcPr>
            <w:tcW w:w="3685" w:type="dxa"/>
          </w:tcPr>
          <w:p w14:paraId="5AD7C8FA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600 РСД / m</w:t>
            </w:r>
          </w:p>
        </w:tc>
      </w:tr>
      <w:tr w:rsidR="004E6AAC" w:rsidRPr="000436EE" w14:paraId="16AB17A8" w14:textId="77777777" w:rsidTr="00CE1355">
        <w:tc>
          <w:tcPr>
            <w:tcW w:w="2425" w:type="dxa"/>
          </w:tcPr>
          <w:p w14:paraId="50A8C2D0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6.</w:t>
            </w:r>
          </w:p>
        </w:tc>
        <w:tc>
          <w:tcPr>
            <w:tcW w:w="3240" w:type="dxa"/>
          </w:tcPr>
          <w:p w14:paraId="7546865E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Ђ</w:t>
            </w:r>
          </w:p>
        </w:tc>
        <w:tc>
          <w:tcPr>
            <w:tcW w:w="3685" w:type="dxa"/>
          </w:tcPr>
          <w:p w14:paraId="2D9DB810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1.000 РСД / m</w:t>
            </w:r>
          </w:p>
        </w:tc>
      </w:tr>
      <w:tr w:rsidR="004E6AAC" w:rsidRPr="000436EE" w14:paraId="68E6CF09" w14:textId="77777777" w:rsidTr="00CE1355">
        <w:tc>
          <w:tcPr>
            <w:tcW w:w="2425" w:type="dxa"/>
          </w:tcPr>
          <w:p w14:paraId="3CB73357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7.</w:t>
            </w:r>
          </w:p>
        </w:tc>
        <w:tc>
          <w:tcPr>
            <w:tcW w:w="3240" w:type="dxa"/>
          </w:tcPr>
          <w:p w14:paraId="5B3969FE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Е</w:t>
            </w:r>
          </w:p>
        </w:tc>
        <w:tc>
          <w:tcPr>
            <w:tcW w:w="3685" w:type="dxa"/>
          </w:tcPr>
          <w:p w14:paraId="44A429DD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800 РСД / m</w:t>
            </w:r>
          </w:p>
        </w:tc>
      </w:tr>
      <w:tr w:rsidR="004E6AAC" w:rsidRPr="000436EE" w14:paraId="7DAB6C52" w14:textId="77777777" w:rsidTr="00CE1355">
        <w:tc>
          <w:tcPr>
            <w:tcW w:w="2425" w:type="dxa"/>
          </w:tcPr>
          <w:p w14:paraId="79A17E9B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8.</w:t>
            </w:r>
          </w:p>
        </w:tc>
        <w:tc>
          <w:tcPr>
            <w:tcW w:w="3240" w:type="dxa"/>
          </w:tcPr>
          <w:p w14:paraId="4383078E" w14:textId="77777777" w:rsidR="004E6AAC" w:rsidRPr="000436EE" w:rsidRDefault="004E6AAC" w:rsidP="00CE1355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Ж</w:t>
            </w:r>
          </w:p>
        </w:tc>
        <w:tc>
          <w:tcPr>
            <w:tcW w:w="3685" w:type="dxa"/>
          </w:tcPr>
          <w:p w14:paraId="14C5A72F" w14:textId="77777777" w:rsidR="004E6AAC" w:rsidRPr="000436EE" w:rsidRDefault="004E6AAC" w:rsidP="00CE1355">
            <w:pPr>
              <w:jc w:val="right"/>
              <w:rPr>
                <w:rFonts w:cs="Times New Roman"/>
                <w:szCs w:val="24"/>
                <w:lang w:val="sr-Cyrl-CS"/>
              </w:rPr>
            </w:pPr>
            <w:r w:rsidRPr="000436EE">
              <w:rPr>
                <w:rFonts w:cs="Times New Roman"/>
                <w:szCs w:val="24"/>
                <w:lang w:val="sr-Cyrl-CS"/>
              </w:rPr>
              <w:t>1.200 РСД / m</w:t>
            </w:r>
          </w:p>
        </w:tc>
      </w:tr>
    </w:tbl>
    <w:p w14:paraId="47849A86" w14:textId="77777777" w:rsidR="004E6AAC" w:rsidRPr="000436EE" w:rsidRDefault="004E6AAC" w:rsidP="00C043B4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</w:p>
    <w:p w14:paraId="5A21C99E" w14:textId="3A8CD2ED" w:rsidR="00D4661A" w:rsidRPr="000436EE" w:rsidRDefault="00D4661A" w:rsidP="00C043B4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Накнада из става 1. овог члана за трасе подземне линијске инфраструктуре, ширине рова  веће од 50 cm, </w:t>
      </w:r>
      <w:r w:rsidRPr="000436EE" w:rsidDel="00B10F7A">
        <w:rPr>
          <w:rFonts w:cs="Times New Roman"/>
          <w:szCs w:val="24"/>
          <w:lang w:val="sr-Cyrl-CS"/>
        </w:rPr>
        <w:t xml:space="preserve"> </w:t>
      </w:r>
      <w:r w:rsidRPr="000436EE">
        <w:rPr>
          <w:rFonts w:cs="Times New Roman"/>
          <w:szCs w:val="24"/>
          <w:lang w:val="sr-Cyrl-CS"/>
        </w:rPr>
        <w:t xml:space="preserve">обрачунава се у двоструком износу накнаде </w:t>
      </w:r>
      <w:r w:rsidR="000206D7" w:rsidRPr="000436EE">
        <w:rPr>
          <w:rFonts w:cs="Times New Roman"/>
          <w:szCs w:val="24"/>
          <w:lang w:val="sr-Cyrl-CS"/>
        </w:rPr>
        <w:t>обрачунате</w:t>
      </w:r>
      <w:r w:rsidRPr="000436EE">
        <w:rPr>
          <w:rFonts w:cs="Times New Roman"/>
          <w:szCs w:val="24"/>
          <w:lang w:val="sr-Cyrl-CS"/>
        </w:rPr>
        <w:t xml:space="preserve"> ставом 2. овог члана.</w:t>
      </w:r>
    </w:p>
    <w:p w14:paraId="27147065" w14:textId="66958636" w:rsidR="00BA70AD" w:rsidRPr="000436EE" w:rsidRDefault="00996CFB" w:rsidP="00C60178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lastRenderedPageBreak/>
        <w:t>Накнада из става 1. овог члана</w:t>
      </w:r>
      <w:r w:rsidR="00BA70AD" w:rsidRPr="000436EE">
        <w:rPr>
          <w:rFonts w:cs="Times New Roman"/>
          <w:szCs w:val="24"/>
          <w:lang w:val="sr-Cyrl-CS"/>
        </w:rPr>
        <w:t xml:space="preserve"> за трасе надзем</w:t>
      </w:r>
      <w:r w:rsidR="0093258C" w:rsidRPr="000436EE">
        <w:rPr>
          <w:rFonts w:cs="Times New Roman"/>
          <w:szCs w:val="24"/>
          <w:lang w:val="sr-Cyrl-CS"/>
        </w:rPr>
        <w:t>не линијске инфраструктуре</w:t>
      </w:r>
      <w:r w:rsidR="00BB2E8A" w:rsidRPr="000436EE">
        <w:rPr>
          <w:rFonts w:cs="Times New Roman"/>
          <w:szCs w:val="24"/>
          <w:lang w:val="sr-Cyrl-CS"/>
        </w:rPr>
        <w:t xml:space="preserve"> </w:t>
      </w:r>
      <w:r w:rsidR="004437A6" w:rsidRPr="000436EE">
        <w:rPr>
          <w:rFonts w:cs="Times New Roman"/>
          <w:szCs w:val="24"/>
          <w:lang w:val="sr-Cyrl-CS"/>
        </w:rPr>
        <w:t xml:space="preserve">износи </w:t>
      </w:r>
      <w:r w:rsidR="00BB2E8A" w:rsidRPr="000436EE">
        <w:rPr>
          <w:rFonts w:cs="Times New Roman"/>
          <w:szCs w:val="24"/>
          <w:lang w:val="sr-Cyrl-CS"/>
        </w:rPr>
        <w:t>60% накнаде</w:t>
      </w:r>
      <w:r w:rsidR="00E0797E" w:rsidRPr="000436EE">
        <w:rPr>
          <w:rFonts w:cs="Times New Roman"/>
          <w:szCs w:val="24"/>
          <w:lang w:val="sr-Cyrl-CS"/>
        </w:rPr>
        <w:t xml:space="preserve"> </w:t>
      </w:r>
      <w:r w:rsidR="00C60178" w:rsidRPr="000436EE">
        <w:rPr>
          <w:rFonts w:cs="Times New Roman"/>
          <w:szCs w:val="24"/>
          <w:lang w:val="sr-Cyrl-CS"/>
        </w:rPr>
        <w:t>утврђене</w:t>
      </w:r>
      <w:r w:rsidR="00E0797E" w:rsidRPr="000436EE">
        <w:rPr>
          <w:rFonts w:cs="Times New Roman"/>
          <w:szCs w:val="24"/>
          <w:lang w:val="sr-Cyrl-CS"/>
        </w:rPr>
        <w:t xml:space="preserve"> став</w:t>
      </w:r>
      <w:r w:rsidR="00C60178" w:rsidRPr="000436EE">
        <w:rPr>
          <w:rFonts w:cs="Times New Roman"/>
          <w:szCs w:val="24"/>
          <w:lang w:val="sr-Cyrl-CS"/>
        </w:rPr>
        <w:t>ом</w:t>
      </w:r>
      <w:r w:rsidR="00E0797E" w:rsidRPr="000436EE">
        <w:rPr>
          <w:rFonts w:cs="Times New Roman"/>
          <w:szCs w:val="24"/>
          <w:lang w:val="sr-Cyrl-CS"/>
        </w:rPr>
        <w:t xml:space="preserve"> 2</w:t>
      </w:r>
      <w:r w:rsidR="00B90F3C" w:rsidRPr="000436EE">
        <w:rPr>
          <w:rFonts w:cs="Times New Roman"/>
          <w:szCs w:val="24"/>
          <w:lang w:val="sr-Cyrl-CS"/>
        </w:rPr>
        <w:t>.</w:t>
      </w:r>
      <w:r w:rsidR="00E0797E" w:rsidRPr="000436EE">
        <w:rPr>
          <w:rFonts w:cs="Times New Roman"/>
          <w:szCs w:val="24"/>
          <w:lang w:val="sr-Cyrl-CS"/>
        </w:rPr>
        <w:t xml:space="preserve"> овог члана</w:t>
      </w:r>
      <w:r w:rsidR="00BB2E8A" w:rsidRPr="000436EE">
        <w:rPr>
          <w:rFonts w:cs="Times New Roman"/>
          <w:szCs w:val="24"/>
          <w:lang w:val="sr-Cyrl-CS"/>
        </w:rPr>
        <w:t>.</w:t>
      </w:r>
    </w:p>
    <w:p w14:paraId="6A51BC4A" w14:textId="347B8916" w:rsidR="00F21001" w:rsidRPr="000436EE" w:rsidRDefault="006B563F" w:rsidP="00017EC8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Максимални износ </w:t>
      </w:r>
      <w:r w:rsidR="00652B54" w:rsidRPr="000436EE">
        <w:rPr>
          <w:rFonts w:cs="Times New Roman"/>
          <w:szCs w:val="24"/>
          <w:lang w:val="sr-Cyrl-CS"/>
        </w:rPr>
        <w:t xml:space="preserve">висине </w:t>
      </w:r>
      <w:r w:rsidR="000F4983" w:rsidRPr="000436EE">
        <w:rPr>
          <w:rFonts w:cs="Times New Roman"/>
          <w:szCs w:val="24"/>
          <w:lang w:val="sr-Cyrl-CS"/>
        </w:rPr>
        <w:t xml:space="preserve">накнаде </w:t>
      </w:r>
      <w:r w:rsidR="00504EFA" w:rsidRPr="000436EE">
        <w:rPr>
          <w:rFonts w:cs="Times New Roman"/>
          <w:szCs w:val="24"/>
          <w:lang w:val="sr-Cyrl-CS"/>
        </w:rPr>
        <w:t>из става 1. овог члана,</w:t>
      </w:r>
      <w:r w:rsidR="00652B54" w:rsidRPr="000436EE">
        <w:rPr>
          <w:rFonts w:cs="Times New Roman"/>
          <w:szCs w:val="24"/>
          <w:lang w:val="sr-Cyrl-CS"/>
        </w:rPr>
        <w:t xml:space="preserve"> </w:t>
      </w:r>
      <w:r w:rsidR="00221AC0" w:rsidRPr="000436EE">
        <w:rPr>
          <w:rFonts w:cs="Times New Roman"/>
          <w:szCs w:val="24"/>
          <w:lang w:val="sr-Cyrl-CS"/>
        </w:rPr>
        <w:t xml:space="preserve">приликом постављања </w:t>
      </w:r>
      <w:r w:rsidR="00E61D95" w:rsidRPr="000436EE">
        <w:rPr>
          <w:rFonts w:cs="Times New Roman"/>
          <w:szCs w:val="24"/>
          <w:lang w:val="sr-Cyrl-CS"/>
        </w:rPr>
        <w:t>стуб</w:t>
      </w:r>
      <w:r w:rsidR="00EE783C" w:rsidRPr="000436EE">
        <w:rPr>
          <w:rFonts w:cs="Times New Roman"/>
          <w:szCs w:val="24"/>
          <w:lang w:val="sr-Cyrl-CS"/>
        </w:rPr>
        <w:t>а</w:t>
      </w:r>
      <w:r w:rsidR="00E61D95" w:rsidRPr="000436EE">
        <w:rPr>
          <w:rFonts w:cs="Times New Roman"/>
          <w:szCs w:val="24"/>
          <w:lang w:val="sr-Cyrl-CS"/>
        </w:rPr>
        <w:t xml:space="preserve"> електронске комуникационе мреже</w:t>
      </w:r>
      <w:r w:rsidR="00504EFA" w:rsidRPr="000436EE">
        <w:rPr>
          <w:rFonts w:cs="Times New Roman"/>
          <w:szCs w:val="24"/>
          <w:lang w:val="sr-Cyrl-CS"/>
        </w:rPr>
        <w:t>,</w:t>
      </w:r>
      <w:r w:rsidR="00E61D95" w:rsidRPr="000436EE">
        <w:rPr>
          <w:rFonts w:cs="Times New Roman"/>
          <w:szCs w:val="24"/>
          <w:lang w:val="sr-Cyrl-CS"/>
        </w:rPr>
        <w:t xml:space="preserve"> </w:t>
      </w:r>
      <w:r w:rsidR="00C04E14" w:rsidRPr="000436EE">
        <w:rPr>
          <w:rFonts w:cs="Times New Roman"/>
          <w:szCs w:val="24"/>
          <w:lang w:val="sr-Cyrl-CS"/>
        </w:rPr>
        <w:t>одређуј</w:t>
      </w:r>
      <w:r w:rsidR="00504EFA" w:rsidRPr="000436EE">
        <w:rPr>
          <w:rFonts w:cs="Times New Roman"/>
          <w:szCs w:val="24"/>
          <w:lang w:val="sr-Cyrl-CS"/>
        </w:rPr>
        <w:t>е</w:t>
      </w:r>
      <w:r w:rsidR="00C04E14" w:rsidRPr="000436EE">
        <w:rPr>
          <w:rFonts w:cs="Times New Roman"/>
          <w:szCs w:val="24"/>
          <w:lang w:val="sr-Cyrl-CS"/>
        </w:rPr>
        <w:t xml:space="preserve"> се </w:t>
      </w:r>
      <w:r w:rsidR="00F21001" w:rsidRPr="000436EE">
        <w:rPr>
          <w:rFonts w:cs="Times New Roman"/>
          <w:szCs w:val="24"/>
          <w:lang w:val="sr-Cyrl-CS"/>
        </w:rPr>
        <w:t>у</w:t>
      </w:r>
      <w:r w:rsidR="00221AC0" w:rsidRPr="000436EE">
        <w:rPr>
          <w:rFonts w:cs="Times New Roman"/>
          <w:szCs w:val="24"/>
          <w:lang w:val="sr-Cyrl-CS"/>
        </w:rPr>
        <w:t xml:space="preserve"> </w:t>
      </w:r>
      <w:r w:rsidR="00F21001" w:rsidRPr="000436EE">
        <w:rPr>
          <w:rFonts w:cs="Times New Roman"/>
          <w:szCs w:val="24"/>
          <w:lang w:val="sr-Cyrl-CS"/>
        </w:rPr>
        <w:t>износу од 2</w:t>
      </w:r>
      <w:r w:rsidR="00946BE9" w:rsidRPr="000436EE">
        <w:rPr>
          <w:rFonts w:cs="Times New Roman"/>
          <w:szCs w:val="24"/>
          <w:lang w:val="sr-Cyrl-CS"/>
        </w:rPr>
        <w:t xml:space="preserve">.500 </w:t>
      </w:r>
      <w:r w:rsidR="00697BDA" w:rsidRPr="000436EE">
        <w:rPr>
          <w:rFonts w:cs="Times New Roman"/>
          <w:szCs w:val="24"/>
          <w:lang w:val="sr-Cyrl-CS"/>
        </w:rPr>
        <w:t>динара</w:t>
      </w:r>
      <w:r w:rsidR="00946BE9" w:rsidRPr="000436EE">
        <w:rPr>
          <w:rFonts w:cs="Times New Roman"/>
          <w:szCs w:val="24"/>
          <w:lang w:val="sr-Cyrl-CS"/>
        </w:rPr>
        <w:t>.</w:t>
      </w:r>
      <w:r w:rsidR="00EE7E8C" w:rsidRPr="000436EE">
        <w:rPr>
          <w:rFonts w:cs="Times New Roman"/>
          <w:szCs w:val="24"/>
          <w:lang w:val="sr-Cyrl-CS"/>
        </w:rPr>
        <w:t xml:space="preserve"> </w:t>
      </w:r>
      <w:r w:rsidR="00F21001" w:rsidRPr="000436EE">
        <w:rPr>
          <w:rFonts w:cs="Times New Roman"/>
          <w:szCs w:val="24"/>
          <w:lang w:val="sr-Cyrl-CS"/>
        </w:rPr>
        <w:t xml:space="preserve">Површина </w:t>
      </w:r>
      <w:r w:rsidR="00652B54" w:rsidRPr="000436EE">
        <w:rPr>
          <w:rFonts w:cs="Times New Roman"/>
          <w:szCs w:val="24"/>
          <w:lang w:val="sr-Cyrl-CS"/>
        </w:rPr>
        <w:t xml:space="preserve"> </w:t>
      </w:r>
      <w:r w:rsidR="00F21001" w:rsidRPr="000436EE">
        <w:rPr>
          <w:rFonts w:cs="Times New Roman"/>
          <w:szCs w:val="24"/>
          <w:lang w:val="sr-Cyrl-CS"/>
        </w:rPr>
        <w:t xml:space="preserve">земљишта за коју се прописује ова накнада је </w:t>
      </w:r>
      <w:r w:rsidR="00655624" w:rsidRPr="000436EE">
        <w:rPr>
          <w:rFonts w:cs="Times New Roman"/>
          <w:szCs w:val="24"/>
          <w:lang w:val="sr-Cyrl-CS"/>
        </w:rPr>
        <w:t>1</w:t>
      </w:r>
      <w:r w:rsidR="00F21001" w:rsidRPr="000436EE">
        <w:rPr>
          <w:rFonts w:cs="Times New Roman"/>
          <w:szCs w:val="24"/>
          <w:lang w:val="sr-Cyrl-CS"/>
        </w:rPr>
        <w:t xml:space="preserve"> </w:t>
      </w:r>
      <w:r w:rsidR="00330F15" w:rsidRPr="000436EE">
        <w:rPr>
          <w:rFonts w:cs="Times New Roman"/>
          <w:szCs w:val="24"/>
        </w:rPr>
        <w:t>m</w:t>
      </w:r>
      <w:r w:rsidR="00F21001" w:rsidRPr="000436EE">
        <w:rPr>
          <w:rFonts w:cs="Times New Roman"/>
          <w:szCs w:val="24"/>
          <w:lang w:val="sr-Cyrl-CS"/>
        </w:rPr>
        <w:t xml:space="preserve">². </w:t>
      </w:r>
    </w:p>
    <w:p w14:paraId="2F1833F4" w14:textId="736F7C10" w:rsidR="00E61D95" w:rsidRPr="000436EE" w:rsidRDefault="00F21001" w:rsidP="00323942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Максимални износ </w:t>
      </w:r>
      <w:r w:rsidR="00652B54" w:rsidRPr="000436EE">
        <w:rPr>
          <w:rFonts w:cs="Times New Roman"/>
          <w:szCs w:val="24"/>
          <w:lang w:val="sr-Cyrl-CS"/>
        </w:rPr>
        <w:t xml:space="preserve">висине </w:t>
      </w:r>
      <w:r w:rsidRPr="000436EE">
        <w:rPr>
          <w:rFonts w:cs="Times New Roman"/>
          <w:szCs w:val="24"/>
          <w:lang w:val="sr-Cyrl-CS"/>
        </w:rPr>
        <w:t xml:space="preserve">накнаде из става 1. овог члана </w:t>
      </w:r>
      <w:r w:rsidR="00504EFA" w:rsidRPr="000436EE">
        <w:rPr>
          <w:rFonts w:cs="Times New Roman"/>
          <w:szCs w:val="24"/>
          <w:lang w:val="sr-Cyrl-CS"/>
        </w:rPr>
        <w:t>з</w:t>
      </w:r>
      <w:r w:rsidR="00E61D95" w:rsidRPr="000436EE">
        <w:rPr>
          <w:rFonts w:cs="Times New Roman"/>
          <w:szCs w:val="24"/>
          <w:lang w:val="sr-Cyrl-CS"/>
        </w:rPr>
        <w:t xml:space="preserve">а сваку </w:t>
      </w:r>
      <w:r w:rsidR="00504EFA" w:rsidRPr="000436EE">
        <w:rPr>
          <w:rFonts w:cs="Times New Roman"/>
          <w:szCs w:val="24"/>
          <w:lang w:val="sr-Cyrl-CS"/>
        </w:rPr>
        <w:t xml:space="preserve">наредну календарску </w:t>
      </w:r>
      <w:r w:rsidR="00E61D95" w:rsidRPr="000436EE">
        <w:rPr>
          <w:rFonts w:cs="Times New Roman"/>
          <w:szCs w:val="24"/>
          <w:lang w:val="sr-Cyrl-CS"/>
        </w:rPr>
        <w:t>годину</w:t>
      </w:r>
      <w:r w:rsidR="008A346E" w:rsidRPr="000436EE">
        <w:rPr>
          <w:rFonts w:cs="Times New Roman"/>
          <w:szCs w:val="24"/>
          <w:lang w:val="sr-Cyrl-CS"/>
        </w:rPr>
        <w:t xml:space="preserve"> </w:t>
      </w:r>
      <w:r w:rsidR="004437A6" w:rsidRPr="000436EE">
        <w:rPr>
          <w:rFonts w:cs="Times New Roman"/>
          <w:szCs w:val="24"/>
          <w:lang w:val="sr-Cyrl-CS"/>
        </w:rPr>
        <w:t>износи</w:t>
      </w:r>
      <w:r w:rsidR="006C26E5" w:rsidRPr="000436EE">
        <w:rPr>
          <w:rFonts w:cs="Times New Roman"/>
          <w:szCs w:val="24"/>
          <w:lang w:val="sr-Cyrl-CS"/>
        </w:rPr>
        <w:t xml:space="preserve"> </w:t>
      </w:r>
      <w:r w:rsidR="00B11030" w:rsidRPr="000436EE">
        <w:rPr>
          <w:rFonts w:cs="Times New Roman"/>
          <w:szCs w:val="24"/>
          <w:lang w:val="sr-Cyrl-CS"/>
        </w:rPr>
        <w:t>3</w:t>
      </w:r>
      <w:r w:rsidR="006F6EEB" w:rsidRPr="000436EE">
        <w:rPr>
          <w:rFonts w:cs="Times New Roman"/>
          <w:szCs w:val="24"/>
          <w:lang w:val="sr-Cyrl-CS"/>
        </w:rPr>
        <w:t xml:space="preserve">0% накнаде </w:t>
      </w:r>
      <w:r w:rsidR="00651B42" w:rsidRPr="000436EE">
        <w:rPr>
          <w:rFonts w:cs="Times New Roman"/>
          <w:szCs w:val="24"/>
          <w:lang w:val="sr-Cyrl-CS"/>
        </w:rPr>
        <w:t>утврђене</w:t>
      </w:r>
      <w:r w:rsidR="005A0541" w:rsidRPr="000436EE">
        <w:rPr>
          <w:rFonts w:cs="Times New Roman"/>
          <w:szCs w:val="24"/>
          <w:lang w:val="sr-Cyrl-CS"/>
        </w:rPr>
        <w:t xml:space="preserve"> ст</w:t>
      </w:r>
      <w:r w:rsidR="00E54081" w:rsidRPr="000436EE">
        <w:rPr>
          <w:rFonts w:cs="Times New Roman"/>
          <w:szCs w:val="24"/>
          <w:lang w:val="sr-Cyrl-CS"/>
        </w:rPr>
        <w:t>.</w:t>
      </w:r>
      <w:r w:rsidR="005A0541" w:rsidRPr="000436EE">
        <w:rPr>
          <w:rFonts w:cs="Times New Roman"/>
          <w:szCs w:val="24"/>
          <w:lang w:val="sr-Cyrl-CS"/>
        </w:rPr>
        <w:t xml:space="preserve"> 2</w:t>
      </w:r>
      <w:r w:rsidR="00651B42" w:rsidRPr="000436EE">
        <w:rPr>
          <w:rFonts w:cs="Times New Roman"/>
          <w:szCs w:val="24"/>
          <w:lang w:val="sr-Cyrl-CS"/>
        </w:rPr>
        <w:t>-</w:t>
      </w:r>
      <w:r w:rsidR="001B3FC0">
        <w:rPr>
          <w:rFonts w:cs="Times New Roman"/>
          <w:szCs w:val="24"/>
        </w:rPr>
        <w:t>4</w:t>
      </w:r>
      <w:r w:rsidR="00A224C9" w:rsidRPr="000436EE">
        <w:rPr>
          <w:rFonts w:cs="Times New Roman"/>
          <w:szCs w:val="24"/>
          <w:lang w:val="sr-Cyrl-CS"/>
        </w:rPr>
        <w:t>.</w:t>
      </w:r>
      <w:r w:rsidR="005A0541" w:rsidRPr="000436EE">
        <w:rPr>
          <w:rFonts w:cs="Times New Roman"/>
          <w:szCs w:val="24"/>
          <w:lang w:val="sr-Cyrl-CS"/>
        </w:rPr>
        <w:t xml:space="preserve"> овог члана.</w:t>
      </w:r>
    </w:p>
    <w:p w14:paraId="3940C503" w14:textId="7CD2FBE5" w:rsidR="00F07DA6" w:rsidRPr="000436EE" w:rsidRDefault="00F07DA6" w:rsidP="00323942">
      <w:pPr>
        <w:spacing w:after="0" w:line="240" w:lineRule="auto"/>
        <w:ind w:firstLine="567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Износ накнаде </w:t>
      </w:r>
      <w:r w:rsidR="00314C60" w:rsidRPr="000436EE">
        <w:rPr>
          <w:rFonts w:cs="Times New Roman"/>
          <w:szCs w:val="24"/>
          <w:lang w:val="sr-Cyrl-CS"/>
        </w:rPr>
        <w:t>из ст</w:t>
      </w:r>
      <w:r w:rsidR="00E54081" w:rsidRPr="000436EE">
        <w:rPr>
          <w:rFonts w:cs="Times New Roman"/>
          <w:szCs w:val="24"/>
          <w:lang w:val="sr-Cyrl-CS"/>
        </w:rPr>
        <w:t>.</w:t>
      </w:r>
      <w:r w:rsidR="00314C60" w:rsidRPr="000436EE">
        <w:rPr>
          <w:rFonts w:cs="Times New Roman"/>
          <w:szCs w:val="24"/>
          <w:lang w:val="sr-Cyrl-CS"/>
        </w:rPr>
        <w:t xml:space="preserve"> 2-5. овог члана </w:t>
      </w:r>
      <w:r w:rsidRPr="000436EE">
        <w:rPr>
          <w:rFonts w:cs="Times New Roman"/>
          <w:szCs w:val="24"/>
          <w:lang w:val="sr-Cyrl-CS"/>
        </w:rPr>
        <w:t xml:space="preserve">увећава </w:t>
      </w:r>
      <w:r w:rsidR="00314C60" w:rsidRPr="000436EE">
        <w:rPr>
          <w:rFonts w:cs="Times New Roman"/>
          <w:szCs w:val="24"/>
          <w:lang w:val="sr-Cyrl-CS"/>
        </w:rPr>
        <w:t xml:space="preserve">се </w:t>
      </w:r>
      <w:r w:rsidRPr="000436EE">
        <w:rPr>
          <w:rFonts w:cs="Times New Roman"/>
          <w:szCs w:val="24"/>
          <w:lang w:val="sr-Cyrl-CS"/>
        </w:rPr>
        <w:t>за раст цена на мало.</w:t>
      </w:r>
    </w:p>
    <w:p w14:paraId="21F07C09" w14:textId="09AAFD0A" w:rsidR="007024C2" w:rsidRPr="000436EE" w:rsidRDefault="007024C2" w:rsidP="0074230C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73705F6E" w14:textId="77777777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4F18E562" w14:textId="1381DB24" w:rsidR="00FA05A5" w:rsidRPr="000436EE" w:rsidRDefault="00FA05A5" w:rsidP="00FA05A5">
      <w:pPr>
        <w:spacing w:after="0" w:line="240" w:lineRule="auto"/>
        <w:ind w:firstLine="709"/>
        <w:jc w:val="center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>Члан 4.</w:t>
      </w:r>
    </w:p>
    <w:p w14:paraId="105B2407" w14:textId="77777777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5658D759" w14:textId="5C654E72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>Обавеза плаћања накнаде за право службености се не примењује уколико је на непокретностима установљено неко друго право у смислу Закона о накнадама за коришћење јавних добара (</w:t>
      </w:r>
      <w:r w:rsidRPr="000436EE">
        <w:rPr>
          <w:rFonts w:cs="Times New Roman"/>
          <w:szCs w:val="24"/>
          <w:shd w:val="clear" w:color="auto" w:fill="FFFFFF"/>
          <w:lang w:val="sr-Cyrl-CS"/>
        </w:rPr>
        <w:t>„Службени гласник РС</w:t>
      </w:r>
      <w:r w:rsidR="00AD5880" w:rsidRPr="000436EE">
        <w:rPr>
          <w:rFonts w:cs="Times New Roman"/>
          <w:szCs w:val="24"/>
          <w:shd w:val="clear" w:color="auto" w:fill="FFFFFF"/>
          <w:lang w:val="sr-Cyrl-CS"/>
        </w:rPr>
        <w:t>ˮ</w:t>
      </w:r>
      <w:r w:rsidRPr="000436EE">
        <w:rPr>
          <w:rFonts w:cs="Times New Roman"/>
          <w:szCs w:val="24"/>
          <w:shd w:val="clear" w:color="auto" w:fill="FFFFFF"/>
          <w:lang w:val="sr-Cyrl-CS"/>
        </w:rPr>
        <w:t xml:space="preserve">, бр. 95/18, 49/19 и 92/23), </w:t>
      </w:r>
      <w:r w:rsidRPr="000436EE">
        <w:rPr>
          <w:rFonts w:cs="Times New Roman"/>
          <w:szCs w:val="24"/>
          <w:lang w:val="sr-Cyrl-CS"/>
        </w:rPr>
        <w:t>на основу којег оператор плаћа накнаду за коришћење тих непокретности.</w:t>
      </w:r>
    </w:p>
    <w:p w14:paraId="294A53CA" w14:textId="77777777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>Ова уредба се примењује и на право службености оператора засновано на непокретностима у јавној својини применом прописа који регулишу својинско правне односе.</w:t>
      </w:r>
    </w:p>
    <w:p w14:paraId="237D39C9" w14:textId="77777777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Обавеза плаћања накнаде за право службености се не примењује када је Република Србија инвеститор електронске комуникационе мреже. </w:t>
      </w:r>
    </w:p>
    <w:p w14:paraId="161E9FDA" w14:textId="77777777" w:rsidR="00FA05A5" w:rsidRPr="000436EE" w:rsidRDefault="00FA05A5" w:rsidP="00FA05A5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110DB2F5" w14:textId="55971980" w:rsidR="00795C1D" w:rsidRPr="000436EE" w:rsidRDefault="00795C1D" w:rsidP="00055F3E">
      <w:pPr>
        <w:spacing w:after="0" w:line="240" w:lineRule="auto"/>
        <w:ind w:firstLine="709"/>
        <w:rPr>
          <w:rFonts w:cs="Times New Roman"/>
          <w:szCs w:val="24"/>
          <w:lang w:val="sr-Cyrl-CS"/>
        </w:rPr>
      </w:pPr>
    </w:p>
    <w:p w14:paraId="20BA1BB1" w14:textId="3528016A" w:rsidR="00795C1D" w:rsidRPr="000436EE" w:rsidRDefault="00795C1D" w:rsidP="00795C1D">
      <w:pPr>
        <w:spacing w:after="0" w:line="240" w:lineRule="auto"/>
        <w:ind w:firstLine="709"/>
        <w:jc w:val="center"/>
        <w:rPr>
          <w:rFonts w:cs="Times New Roman"/>
          <w:szCs w:val="24"/>
          <w:lang w:val="sr-Cyrl-CS"/>
        </w:rPr>
      </w:pPr>
      <w:r w:rsidRPr="000436EE">
        <w:rPr>
          <w:rFonts w:cs="Times New Roman"/>
          <w:szCs w:val="24"/>
          <w:lang w:val="sr-Cyrl-CS"/>
        </w:rPr>
        <w:t xml:space="preserve">Члан </w:t>
      </w:r>
      <w:r w:rsidR="00FA05A5" w:rsidRPr="000436EE">
        <w:rPr>
          <w:rFonts w:cs="Times New Roman"/>
          <w:szCs w:val="24"/>
          <w:lang w:val="sr-Cyrl-CS"/>
        </w:rPr>
        <w:t>5</w:t>
      </w:r>
      <w:r w:rsidRPr="000436EE">
        <w:rPr>
          <w:rFonts w:cs="Times New Roman"/>
          <w:szCs w:val="24"/>
          <w:lang w:val="sr-Cyrl-CS"/>
        </w:rPr>
        <w:t>.</w:t>
      </w:r>
    </w:p>
    <w:p w14:paraId="02964BEF" w14:textId="77777777" w:rsidR="004E0DE0" w:rsidRPr="000436EE" w:rsidRDefault="004E0DE0" w:rsidP="00795C1D">
      <w:pPr>
        <w:spacing w:after="0" w:line="240" w:lineRule="auto"/>
        <w:ind w:firstLine="709"/>
        <w:jc w:val="center"/>
        <w:rPr>
          <w:rFonts w:cs="Times New Roman"/>
          <w:szCs w:val="24"/>
          <w:lang w:val="sr-Cyrl-CS"/>
        </w:rPr>
      </w:pPr>
    </w:p>
    <w:p w14:paraId="02717430" w14:textId="13E85D0E" w:rsidR="00795C1D" w:rsidRPr="000436EE" w:rsidRDefault="00795C1D" w:rsidP="00795C1D">
      <w:pPr>
        <w:pStyle w:val="basic-paragraph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436EE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491DD654" w14:textId="77777777" w:rsidR="004E0DE0" w:rsidRPr="000436EE" w:rsidRDefault="004E0DE0" w:rsidP="00795C1D">
      <w:pPr>
        <w:pStyle w:val="potpis"/>
        <w:spacing w:before="0" w:beforeAutospacing="0" w:after="150" w:afterAutospacing="0"/>
        <w:jc w:val="left"/>
        <w:rPr>
          <w:lang w:val="sr-Cyrl-CS"/>
        </w:rPr>
      </w:pPr>
    </w:p>
    <w:p w14:paraId="346339E5" w14:textId="444AEE20" w:rsidR="000436EE" w:rsidRPr="000436EE" w:rsidRDefault="000436EE" w:rsidP="000436EE">
      <w:pPr>
        <w:pStyle w:val="potpis"/>
        <w:spacing w:before="0" w:beforeAutospacing="0" w:after="150" w:afterAutospacing="0"/>
        <w:jc w:val="left"/>
        <w:rPr>
          <w:lang w:val="sr-Cyrl-CS"/>
        </w:rPr>
      </w:pPr>
      <w:r w:rsidRPr="000436EE">
        <w:rPr>
          <w:lang w:val="sr-Cyrl-CS"/>
        </w:rPr>
        <w:t>Број: 110-1656/2025-</w:t>
      </w:r>
      <w:r w:rsidR="00A86407">
        <w:rPr>
          <w:lang w:val="sr-Cyrl-CS"/>
        </w:rPr>
        <w:t>2</w:t>
      </w:r>
    </w:p>
    <w:p w14:paraId="5DB0CAC0" w14:textId="77777777" w:rsidR="000436EE" w:rsidRPr="000436EE" w:rsidRDefault="000436EE" w:rsidP="000436EE">
      <w:pPr>
        <w:pStyle w:val="potpis"/>
        <w:spacing w:before="0" w:beforeAutospacing="0" w:after="150" w:afterAutospacing="0"/>
        <w:jc w:val="left"/>
        <w:rPr>
          <w:lang w:val="sr-Cyrl-CS"/>
        </w:rPr>
      </w:pPr>
      <w:r w:rsidRPr="000436EE">
        <w:rPr>
          <w:lang w:val="sr-Cyrl-CS"/>
        </w:rPr>
        <w:t xml:space="preserve">У Београду,  27. фебруара 2025. године </w:t>
      </w:r>
    </w:p>
    <w:p w14:paraId="625F094E" w14:textId="77777777" w:rsidR="000436EE" w:rsidRPr="000436EE" w:rsidRDefault="000436EE" w:rsidP="000436EE">
      <w:pPr>
        <w:pStyle w:val="potpis"/>
        <w:spacing w:before="0" w:beforeAutospacing="0" w:after="150" w:afterAutospacing="0"/>
        <w:jc w:val="left"/>
        <w:rPr>
          <w:lang w:val="sr-Cyrl-CS"/>
        </w:rPr>
      </w:pPr>
    </w:p>
    <w:p w14:paraId="72F4E234" w14:textId="77777777" w:rsidR="000436EE" w:rsidRPr="000436EE" w:rsidRDefault="000436EE" w:rsidP="000436EE">
      <w:pPr>
        <w:pStyle w:val="potpis"/>
        <w:spacing w:before="0" w:beforeAutospacing="0" w:after="150" w:afterAutospacing="0"/>
        <w:ind w:left="6480" w:firstLine="720"/>
        <w:jc w:val="left"/>
        <w:rPr>
          <w:lang w:val="sr-Cyrl-CS"/>
        </w:rPr>
      </w:pPr>
      <w:r w:rsidRPr="000436EE">
        <w:rPr>
          <w:lang w:val="sr-Cyrl-CS"/>
        </w:rPr>
        <w:t>ПРЕДСЕДНИК</w:t>
      </w:r>
    </w:p>
    <w:p w14:paraId="3796E22C" w14:textId="77777777" w:rsidR="000436EE" w:rsidRPr="000436EE" w:rsidRDefault="000436EE" w:rsidP="000436EE">
      <w:pPr>
        <w:pStyle w:val="potpis"/>
        <w:spacing w:before="0" w:beforeAutospacing="0" w:after="150" w:afterAutospacing="0"/>
        <w:ind w:left="6480" w:firstLine="720"/>
        <w:jc w:val="left"/>
        <w:rPr>
          <w:lang w:val="sr-Cyrl-CS"/>
        </w:rPr>
      </w:pPr>
    </w:p>
    <w:p w14:paraId="326F806F" w14:textId="77777777" w:rsidR="000436EE" w:rsidRPr="000436EE" w:rsidRDefault="000436EE" w:rsidP="000436EE">
      <w:pPr>
        <w:pStyle w:val="potpis"/>
        <w:spacing w:before="0" w:beforeAutospacing="0" w:after="150" w:afterAutospacing="0"/>
        <w:ind w:left="6480" w:firstLine="720"/>
        <w:jc w:val="left"/>
        <w:rPr>
          <w:rStyle w:val="bold2"/>
          <w:b w:val="0"/>
          <w:bCs w:val="0"/>
          <w:lang w:val="sr-Cyrl-CS"/>
        </w:rPr>
      </w:pPr>
      <w:r w:rsidRPr="000436EE">
        <w:rPr>
          <w:lang w:val="sr-Cyrl-CS"/>
        </w:rPr>
        <w:t>Милош Вучевић</w:t>
      </w:r>
    </w:p>
    <w:p w14:paraId="3058C019" w14:textId="3D385009" w:rsidR="00795C1D" w:rsidRPr="000436EE" w:rsidRDefault="00795C1D" w:rsidP="000436EE">
      <w:pPr>
        <w:pStyle w:val="potpis"/>
        <w:spacing w:before="0" w:beforeAutospacing="0" w:after="150" w:afterAutospacing="0"/>
        <w:jc w:val="left"/>
        <w:rPr>
          <w:rStyle w:val="bold2"/>
          <w:b w:val="0"/>
          <w:bCs w:val="0"/>
          <w:lang w:val="sr-Cyrl-CS"/>
        </w:rPr>
      </w:pPr>
    </w:p>
    <w:sectPr w:rsidR="00795C1D" w:rsidRPr="000436EE" w:rsidSect="00A86407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5ABCC" w14:textId="77777777" w:rsidR="003B1B46" w:rsidRDefault="003B1B46" w:rsidP="00B712D9">
      <w:pPr>
        <w:spacing w:after="0" w:line="240" w:lineRule="auto"/>
      </w:pPr>
      <w:r>
        <w:separator/>
      </w:r>
    </w:p>
  </w:endnote>
  <w:endnote w:type="continuationSeparator" w:id="0">
    <w:p w14:paraId="2EA5E4AD" w14:textId="77777777" w:rsidR="003B1B46" w:rsidRDefault="003B1B46" w:rsidP="00B7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6261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8E8EF6" w14:textId="2AFBED88" w:rsidR="00A86407" w:rsidRDefault="00A864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D1D8BC" w14:textId="77777777" w:rsidR="00A86407" w:rsidRDefault="00A86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51410" w14:textId="77777777" w:rsidR="003B1B46" w:rsidRDefault="003B1B46" w:rsidP="00B712D9">
      <w:pPr>
        <w:spacing w:after="0" w:line="240" w:lineRule="auto"/>
      </w:pPr>
      <w:r>
        <w:separator/>
      </w:r>
    </w:p>
  </w:footnote>
  <w:footnote w:type="continuationSeparator" w:id="0">
    <w:p w14:paraId="1CA7FD32" w14:textId="77777777" w:rsidR="003B1B46" w:rsidRDefault="003B1B46" w:rsidP="00B71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238"/>
    <w:rsid w:val="00015FFA"/>
    <w:rsid w:val="00017EC8"/>
    <w:rsid w:val="000206D7"/>
    <w:rsid w:val="00022AF8"/>
    <w:rsid w:val="00025CFA"/>
    <w:rsid w:val="00035B5D"/>
    <w:rsid w:val="00037031"/>
    <w:rsid w:val="000436EE"/>
    <w:rsid w:val="00055F3E"/>
    <w:rsid w:val="00061FBE"/>
    <w:rsid w:val="000809FD"/>
    <w:rsid w:val="00083957"/>
    <w:rsid w:val="00084238"/>
    <w:rsid w:val="0008687E"/>
    <w:rsid w:val="000901C5"/>
    <w:rsid w:val="000A2CD6"/>
    <w:rsid w:val="000B5D3C"/>
    <w:rsid w:val="000C0A2C"/>
    <w:rsid w:val="000D460E"/>
    <w:rsid w:val="000E46AC"/>
    <w:rsid w:val="000E4BD9"/>
    <w:rsid w:val="000F4174"/>
    <w:rsid w:val="000F4983"/>
    <w:rsid w:val="000F4D1A"/>
    <w:rsid w:val="000F6593"/>
    <w:rsid w:val="00102F58"/>
    <w:rsid w:val="0011183B"/>
    <w:rsid w:val="001120AE"/>
    <w:rsid w:val="001144FD"/>
    <w:rsid w:val="001155EE"/>
    <w:rsid w:val="00116230"/>
    <w:rsid w:val="00116FFB"/>
    <w:rsid w:val="001273AE"/>
    <w:rsid w:val="0014253F"/>
    <w:rsid w:val="0016668F"/>
    <w:rsid w:val="00181576"/>
    <w:rsid w:val="001861D2"/>
    <w:rsid w:val="00195F4C"/>
    <w:rsid w:val="001A2E4C"/>
    <w:rsid w:val="001A75AA"/>
    <w:rsid w:val="001B0EF0"/>
    <w:rsid w:val="001B3FC0"/>
    <w:rsid w:val="001C2B98"/>
    <w:rsid w:val="001D6F47"/>
    <w:rsid w:val="001E13FA"/>
    <w:rsid w:val="001F0FEC"/>
    <w:rsid w:val="002075EA"/>
    <w:rsid w:val="00221AC0"/>
    <w:rsid w:val="00222755"/>
    <w:rsid w:val="00230F54"/>
    <w:rsid w:val="00240865"/>
    <w:rsid w:val="002412A3"/>
    <w:rsid w:val="00245CD3"/>
    <w:rsid w:val="002468D7"/>
    <w:rsid w:val="00263491"/>
    <w:rsid w:val="00274AD7"/>
    <w:rsid w:val="00283F03"/>
    <w:rsid w:val="00287890"/>
    <w:rsid w:val="00291EF8"/>
    <w:rsid w:val="002956C9"/>
    <w:rsid w:val="002A29FE"/>
    <w:rsid w:val="002A37FA"/>
    <w:rsid w:val="002A5737"/>
    <w:rsid w:val="002B1B6C"/>
    <w:rsid w:val="002B1DEB"/>
    <w:rsid w:val="002B4101"/>
    <w:rsid w:val="002D21D5"/>
    <w:rsid w:val="002E05AE"/>
    <w:rsid w:val="002E46A5"/>
    <w:rsid w:val="002E74D4"/>
    <w:rsid w:val="002F2BBD"/>
    <w:rsid w:val="00306434"/>
    <w:rsid w:val="0030695F"/>
    <w:rsid w:val="00307428"/>
    <w:rsid w:val="00314C60"/>
    <w:rsid w:val="00323942"/>
    <w:rsid w:val="0032490A"/>
    <w:rsid w:val="00324986"/>
    <w:rsid w:val="00330C26"/>
    <w:rsid w:val="00330F15"/>
    <w:rsid w:val="003416FD"/>
    <w:rsid w:val="003419A8"/>
    <w:rsid w:val="0034483D"/>
    <w:rsid w:val="003459FF"/>
    <w:rsid w:val="003472AB"/>
    <w:rsid w:val="00360310"/>
    <w:rsid w:val="003639B5"/>
    <w:rsid w:val="00365C24"/>
    <w:rsid w:val="0037533D"/>
    <w:rsid w:val="00375BB4"/>
    <w:rsid w:val="00386158"/>
    <w:rsid w:val="003A06DB"/>
    <w:rsid w:val="003B1B46"/>
    <w:rsid w:val="003B4582"/>
    <w:rsid w:val="003B70E0"/>
    <w:rsid w:val="003C798F"/>
    <w:rsid w:val="003D296B"/>
    <w:rsid w:val="003D7F6F"/>
    <w:rsid w:val="003E09ED"/>
    <w:rsid w:val="003E2EAA"/>
    <w:rsid w:val="00401B3D"/>
    <w:rsid w:val="00417A30"/>
    <w:rsid w:val="00426372"/>
    <w:rsid w:val="00430AC1"/>
    <w:rsid w:val="00436FAC"/>
    <w:rsid w:val="004417B3"/>
    <w:rsid w:val="004436E5"/>
    <w:rsid w:val="004437A6"/>
    <w:rsid w:val="004441A3"/>
    <w:rsid w:val="00473CAD"/>
    <w:rsid w:val="0048470C"/>
    <w:rsid w:val="00486418"/>
    <w:rsid w:val="004A0636"/>
    <w:rsid w:val="004A2F45"/>
    <w:rsid w:val="004A6EC9"/>
    <w:rsid w:val="004B3F90"/>
    <w:rsid w:val="004C01D4"/>
    <w:rsid w:val="004C5E97"/>
    <w:rsid w:val="004D0118"/>
    <w:rsid w:val="004E0DE0"/>
    <w:rsid w:val="004E12ED"/>
    <w:rsid w:val="004E49C6"/>
    <w:rsid w:val="004E4F22"/>
    <w:rsid w:val="004E6AAC"/>
    <w:rsid w:val="004F7B79"/>
    <w:rsid w:val="00504DBC"/>
    <w:rsid w:val="00504EFA"/>
    <w:rsid w:val="0051072A"/>
    <w:rsid w:val="0051147A"/>
    <w:rsid w:val="005118B7"/>
    <w:rsid w:val="005210AF"/>
    <w:rsid w:val="0052416D"/>
    <w:rsid w:val="00534FF5"/>
    <w:rsid w:val="0054346D"/>
    <w:rsid w:val="00564048"/>
    <w:rsid w:val="00564E4E"/>
    <w:rsid w:val="00594B7A"/>
    <w:rsid w:val="00595745"/>
    <w:rsid w:val="005A0541"/>
    <w:rsid w:val="005B0A20"/>
    <w:rsid w:val="005B1A08"/>
    <w:rsid w:val="005B6AF0"/>
    <w:rsid w:val="005D0E32"/>
    <w:rsid w:val="005D2327"/>
    <w:rsid w:val="005D6460"/>
    <w:rsid w:val="005D664F"/>
    <w:rsid w:val="005E70C7"/>
    <w:rsid w:val="005F42F8"/>
    <w:rsid w:val="00605EC8"/>
    <w:rsid w:val="00610ECA"/>
    <w:rsid w:val="00624DBA"/>
    <w:rsid w:val="00625B3E"/>
    <w:rsid w:val="0063452A"/>
    <w:rsid w:val="006366BB"/>
    <w:rsid w:val="00641AB8"/>
    <w:rsid w:val="00651B42"/>
    <w:rsid w:val="00652B54"/>
    <w:rsid w:val="00655624"/>
    <w:rsid w:val="0068400A"/>
    <w:rsid w:val="00686979"/>
    <w:rsid w:val="00687068"/>
    <w:rsid w:val="006917F1"/>
    <w:rsid w:val="006925EE"/>
    <w:rsid w:val="00694EB1"/>
    <w:rsid w:val="00697BDA"/>
    <w:rsid w:val="006A198A"/>
    <w:rsid w:val="006A4180"/>
    <w:rsid w:val="006B2E47"/>
    <w:rsid w:val="006B4381"/>
    <w:rsid w:val="006B563F"/>
    <w:rsid w:val="006C11F6"/>
    <w:rsid w:val="006C26E5"/>
    <w:rsid w:val="006F0A0A"/>
    <w:rsid w:val="006F130B"/>
    <w:rsid w:val="006F6EEB"/>
    <w:rsid w:val="006F7637"/>
    <w:rsid w:val="007024C2"/>
    <w:rsid w:val="0070361E"/>
    <w:rsid w:val="00712510"/>
    <w:rsid w:val="00714F64"/>
    <w:rsid w:val="007243B4"/>
    <w:rsid w:val="00726ABF"/>
    <w:rsid w:val="0072786B"/>
    <w:rsid w:val="007348AA"/>
    <w:rsid w:val="00740537"/>
    <w:rsid w:val="00740701"/>
    <w:rsid w:val="0074230C"/>
    <w:rsid w:val="007612C1"/>
    <w:rsid w:val="00772E45"/>
    <w:rsid w:val="0078433A"/>
    <w:rsid w:val="00791EBB"/>
    <w:rsid w:val="00795C1D"/>
    <w:rsid w:val="007B3AE3"/>
    <w:rsid w:val="007E421F"/>
    <w:rsid w:val="007E576E"/>
    <w:rsid w:val="007F1E65"/>
    <w:rsid w:val="00804833"/>
    <w:rsid w:val="008049B6"/>
    <w:rsid w:val="00804FA9"/>
    <w:rsid w:val="008062A1"/>
    <w:rsid w:val="008073ED"/>
    <w:rsid w:val="008122CE"/>
    <w:rsid w:val="00827551"/>
    <w:rsid w:val="00830666"/>
    <w:rsid w:val="0084231A"/>
    <w:rsid w:val="00854A59"/>
    <w:rsid w:val="00856784"/>
    <w:rsid w:val="008643F1"/>
    <w:rsid w:val="0088019D"/>
    <w:rsid w:val="00884093"/>
    <w:rsid w:val="0089217F"/>
    <w:rsid w:val="008A1268"/>
    <w:rsid w:val="008A149B"/>
    <w:rsid w:val="008A346E"/>
    <w:rsid w:val="008A677D"/>
    <w:rsid w:val="008A7B6E"/>
    <w:rsid w:val="008C38CE"/>
    <w:rsid w:val="008D33D7"/>
    <w:rsid w:val="008D3DC9"/>
    <w:rsid w:val="008D5FCE"/>
    <w:rsid w:val="008E5DE2"/>
    <w:rsid w:val="008E6369"/>
    <w:rsid w:val="008E7011"/>
    <w:rsid w:val="008F71F1"/>
    <w:rsid w:val="00900A41"/>
    <w:rsid w:val="00902F88"/>
    <w:rsid w:val="00915DE2"/>
    <w:rsid w:val="0093258C"/>
    <w:rsid w:val="00946BE9"/>
    <w:rsid w:val="00972624"/>
    <w:rsid w:val="009729D2"/>
    <w:rsid w:val="00982D5B"/>
    <w:rsid w:val="009837A3"/>
    <w:rsid w:val="00992ADC"/>
    <w:rsid w:val="00996CFB"/>
    <w:rsid w:val="009B04AD"/>
    <w:rsid w:val="009C0C47"/>
    <w:rsid w:val="009D5E1F"/>
    <w:rsid w:val="009E2969"/>
    <w:rsid w:val="009F418F"/>
    <w:rsid w:val="00A00A9D"/>
    <w:rsid w:val="00A14F28"/>
    <w:rsid w:val="00A15C56"/>
    <w:rsid w:val="00A16258"/>
    <w:rsid w:val="00A216D5"/>
    <w:rsid w:val="00A224C9"/>
    <w:rsid w:val="00A40484"/>
    <w:rsid w:val="00A46C52"/>
    <w:rsid w:val="00A636D4"/>
    <w:rsid w:val="00A73115"/>
    <w:rsid w:val="00A77BB0"/>
    <w:rsid w:val="00A84EEE"/>
    <w:rsid w:val="00A86407"/>
    <w:rsid w:val="00A95B67"/>
    <w:rsid w:val="00AA1508"/>
    <w:rsid w:val="00AA3010"/>
    <w:rsid w:val="00AA7275"/>
    <w:rsid w:val="00AB776D"/>
    <w:rsid w:val="00AC16B3"/>
    <w:rsid w:val="00AD44BF"/>
    <w:rsid w:val="00AD5880"/>
    <w:rsid w:val="00AD59F1"/>
    <w:rsid w:val="00AD63C4"/>
    <w:rsid w:val="00AD7881"/>
    <w:rsid w:val="00AF0B67"/>
    <w:rsid w:val="00AF1C55"/>
    <w:rsid w:val="00B00288"/>
    <w:rsid w:val="00B0618A"/>
    <w:rsid w:val="00B06D44"/>
    <w:rsid w:val="00B07731"/>
    <w:rsid w:val="00B07A7B"/>
    <w:rsid w:val="00B10F7A"/>
    <w:rsid w:val="00B11030"/>
    <w:rsid w:val="00B21A74"/>
    <w:rsid w:val="00B3507A"/>
    <w:rsid w:val="00B47163"/>
    <w:rsid w:val="00B50BE2"/>
    <w:rsid w:val="00B512A0"/>
    <w:rsid w:val="00B712D9"/>
    <w:rsid w:val="00B83490"/>
    <w:rsid w:val="00B83E4B"/>
    <w:rsid w:val="00B85DBB"/>
    <w:rsid w:val="00B90F3C"/>
    <w:rsid w:val="00B96E1B"/>
    <w:rsid w:val="00BA4EC6"/>
    <w:rsid w:val="00BA70AD"/>
    <w:rsid w:val="00BB2E8A"/>
    <w:rsid w:val="00BB3CC0"/>
    <w:rsid w:val="00BB6B91"/>
    <w:rsid w:val="00BC3915"/>
    <w:rsid w:val="00BD507A"/>
    <w:rsid w:val="00BD6924"/>
    <w:rsid w:val="00BD7E89"/>
    <w:rsid w:val="00BE23E3"/>
    <w:rsid w:val="00BE34C0"/>
    <w:rsid w:val="00BE3B80"/>
    <w:rsid w:val="00BF71FA"/>
    <w:rsid w:val="00C043B4"/>
    <w:rsid w:val="00C04E14"/>
    <w:rsid w:val="00C10CA4"/>
    <w:rsid w:val="00C17486"/>
    <w:rsid w:val="00C17654"/>
    <w:rsid w:val="00C220AF"/>
    <w:rsid w:val="00C25EDC"/>
    <w:rsid w:val="00C333E4"/>
    <w:rsid w:val="00C33C4F"/>
    <w:rsid w:val="00C37E87"/>
    <w:rsid w:val="00C47C46"/>
    <w:rsid w:val="00C52BE5"/>
    <w:rsid w:val="00C60178"/>
    <w:rsid w:val="00C64310"/>
    <w:rsid w:val="00C81BDD"/>
    <w:rsid w:val="00C81CE7"/>
    <w:rsid w:val="00C84F91"/>
    <w:rsid w:val="00CA0F43"/>
    <w:rsid w:val="00CA63D8"/>
    <w:rsid w:val="00CA6DFD"/>
    <w:rsid w:val="00CB3831"/>
    <w:rsid w:val="00CB44C4"/>
    <w:rsid w:val="00CD70B3"/>
    <w:rsid w:val="00CE3270"/>
    <w:rsid w:val="00CE3F49"/>
    <w:rsid w:val="00CE7F43"/>
    <w:rsid w:val="00CF0AC3"/>
    <w:rsid w:val="00CF3D1A"/>
    <w:rsid w:val="00D079B7"/>
    <w:rsid w:val="00D20E7B"/>
    <w:rsid w:val="00D230F2"/>
    <w:rsid w:val="00D31D3C"/>
    <w:rsid w:val="00D3759B"/>
    <w:rsid w:val="00D44CB1"/>
    <w:rsid w:val="00D4661A"/>
    <w:rsid w:val="00D65282"/>
    <w:rsid w:val="00D74887"/>
    <w:rsid w:val="00DA1E86"/>
    <w:rsid w:val="00DA64BC"/>
    <w:rsid w:val="00DA68D0"/>
    <w:rsid w:val="00DA74A3"/>
    <w:rsid w:val="00DD13A2"/>
    <w:rsid w:val="00DD153C"/>
    <w:rsid w:val="00DD27E9"/>
    <w:rsid w:val="00DD3859"/>
    <w:rsid w:val="00DF3982"/>
    <w:rsid w:val="00DF5B23"/>
    <w:rsid w:val="00E0081F"/>
    <w:rsid w:val="00E02960"/>
    <w:rsid w:val="00E058D5"/>
    <w:rsid w:val="00E06FED"/>
    <w:rsid w:val="00E0797E"/>
    <w:rsid w:val="00E127C0"/>
    <w:rsid w:val="00E17295"/>
    <w:rsid w:val="00E33FF1"/>
    <w:rsid w:val="00E36776"/>
    <w:rsid w:val="00E417CE"/>
    <w:rsid w:val="00E44CBB"/>
    <w:rsid w:val="00E5051E"/>
    <w:rsid w:val="00E526D0"/>
    <w:rsid w:val="00E534CC"/>
    <w:rsid w:val="00E54081"/>
    <w:rsid w:val="00E57D9D"/>
    <w:rsid w:val="00E61D95"/>
    <w:rsid w:val="00E631EA"/>
    <w:rsid w:val="00E6604F"/>
    <w:rsid w:val="00E763D3"/>
    <w:rsid w:val="00E9528C"/>
    <w:rsid w:val="00E96FF6"/>
    <w:rsid w:val="00EA4FEE"/>
    <w:rsid w:val="00EA63AD"/>
    <w:rsid w:val="00EB13CC"/>
    <w:rsid w:val="00EC0570"/>
    <w:rsid w:val="00ED6AD5"/>
    <w:rsid w:val="00EE33F5"/>
    <w:rsid w:val="00EE783C"/>
    <w:rsid w:val="00EE7E8C"/>
    <w:rsid w:val="00EF59BD"/>
    <w:rsid w:val="00EF7EEA"/>
    <w:rsid w:val="00F07DA6"/>
    <w:rsid w:val="00F1296F"/>
    <w:rsid w:val="00F21001"/>
    <w:rsid w:val="00F33500"/>
    <w:rsid w:val="00F40A25"/>
    <w:rsid w:val="00F51557"/>
    <w:rsid w:val="00F56160"/>
    <w:rsid w:val="00F61809"/>
    <w:rsid w:val="00F63283"/>
    <w:rsid w:val="00F637AD"/>
    <w:rsid w:val="00F652FC"/>
    <w:rsid w:val="00F8536E"/>
    <w:rsid w:val="00F915FE"/>
    <w:rsid w:val="00F929BF"/>
    <w:rsid w:val="00F92C08"/>
    <w:rsid w:val="00FA05A5"/>
    <w:rsid w:val="00FA18F6"/>
    <w:rsid w:val="00FA4391"/>
    <w:rsid w:val="00FC2831"/>
    <w:rsid w:val="00FD486A"/>
    <w:rsid w:val="00FD68D9"/>
    <w:rsid w:val="00FE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304C9"/>
  <w15:chartTrackingRefBased/>
  <w15:docId w15:val="{D3390F9E-2718-4DF0-A3A0-2ADAC7D66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76D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084238"/>
    <w:pPr>
      <w:spacing w:after="150" w:line="240" w:lineRule="auto"/>
      <w:jc w:val="left"/>
    </w:pPr>
    <w:rPr>
      <w:rFonts w:ascii="Verdana" w:eastAsiaTheme="minorEastAsia" w:hAnsi="Verdana" w:cs="Times New Roman"/>
      <w:sz w:val="22"/>
      <w:lang w:val="sr-Latn-RS" w:eastAsia="sr-Latn-RS"/>
      <w14:ligatures w14:val="standardContextual"/>
    </w:rPr>
  </w:style>
  <w:style w:type="paragraph" w:customStyle="1" w:styleId="clan">
    <w:name w:val="clan"/>
    <w:basedOn w:val="Normal"/>
    <w:rsid w:val="00084238"/>
    <w:pPr>
      <w:spacing w:before="100" w:beforeAutospacing="1" w:after="100" w:afterAutospacing="1" w:line="240" w:lineRule="auto"/>
      <w:jc w:val="left"/>
    </w:pPr>
    <w:rPr>
      <w:rFonts w:eastAsiaTheme="minorEastAsia" w:cs="Times New Roman"/>
      <w:szCs w:val="24"/>
      <w:lang w:val="sr-Latn-RS" w:eastAsia="sr-Latn-RS"/>
      <w14:ligatures w14:val="standardContextual"/>
    </w:rPr>
  </w:style>
  <w:style w:type="paragraph" w:customStyle="1" w:styleId="Normal1">
    <w:name w:val="Normal1"/>
    <w:basedOn w:val="Normal"/>
    <w:rsid w:val="003459FF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C043B4"/>
    <w:pPr>
      <w:ind w:left="720"/>
      <w:contextualSpacing/>
    </w:pPr>
  </w:style>
  <w:style w:type="table" w:styleId="TableGrid">
    <w:name w:val="Table Grid"/>
    <w:basedOn w:val="TableNormal"/>
    <w:uiPriority w:val="39"/>
    <w:rsid w:val="00D7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tpis">
    <w:name w:val="potpis"/>
    <w:basedOn w:val="Normal"/>
    <w:rsid w:val="00795C1D"/>
    <w:pPr>
      <w:spacing w:before="100" w:beforeAutospacing="1" w:after="100" w:afterAutospacing="1" w:line="240" w:lineRule="auto"/>
      <w:jc w:val="right"/>
    </w:pPr>
    <w:rPr>
      <w:rFonts w:eastAsiaTheme="minorEastAsia" w:cs="Times New Roman"/>
      <w:szCs w:val="24"/>
      <w:lang w:val="sr-Latn-RS" w:eastAsia="sr-Latn-RS"/>
      <w14:ligatures w14:val="standardContextual"/>
    </w:rPr>
  </w:style>
  <w:style w:type="character" w:customStyle="1" w:styleId="bold2">
    <w:name w:val="bold2"/>
    <w:basedOn w:val="DefaultParagraphFont"/>
    <w:rsid w:val="00795C1D"/>
    <w:rPr>
      <w:b/>
      <w:bCs/>
    </w:rPr>
  </w:style>
  <w:style w:type="paragraph" w:styleId="Revision">
    <w:name w:val="Revision"/>
    <w:hidden/>
    <w:uiPriority w:val="99"/>
    <w:semiHidden/>
    <w:rsid w:val="00B712D9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B71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2D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71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2D9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41A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1A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1AB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A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AB8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29A3C-C07D-4E29-969E-64330B63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Edvin Bojadžić</dc:creator>
  <cp:keywords>Klasifikacija: POVERLJIVO</cp:keywords>
  <dc:description/>
  <cp:lastModifiedBy>Ivana Vojinović</cp:lastModifiedBy>
  <cp:revision>2</cp:revision>
  <cp:lastPrinted>2025-02-27T14:26:00Z</cp:lastPrinted>
  <dcterms:created xsi:type="dcterms:W3CDTF">2025-02-28T14:36:00Z</dcterms:created>
  <dcterms:modified xsi:type="dcterms:W3CDTF">2025-02-28T14:36:00Z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9fab05f0-fd38-4c91-a7b5-398fe8cdcb1d</vt:lpwstr>
  </property>
  <property fmtid="{D5CDD505-2E9C-101B-9397-08002B2CF9AE}" pid="3" name="TelekomSerbiaKLASIFIKACIJA">
    <vt:lpwstr>Poverljivo</vt:lpwstr>
  </property>
</Properties>
</file>